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8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confidentially submitted to the Securities and Exchange Commission on March 13, 2019.</w:t>
      </w:r>
    </w:p>
    <w:p>
      <w:pPr>
        <w:ind w:left="8260" w:right="160" w:hanging="7855"/>
        <w:spacing w:after="0" w:line="297" w:lineRule="auto"/>
        <w:rPr>
          <w:sz w:val="20"/>
          <w:szCs w:val="20"/>
          <w:color w:val="auto"/>
        </w:rPr>
      </w:pPr>
      <w:r>
        <w:rPr>
          <w:rFonts w:ascii="Arial" w:cs="Arial" w:eastAsia="Arial" w:hAnsi="Arial"/>
          <w:sz w:val="10"/>
          <w:szCs w:val="10"/>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606933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6933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143510</wp:posOffset>
            </wp:positionV>
            <wp:extent cx="6069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16"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Confidential Draft Submission No. 2</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jc w:val="center"/>
        <w:spacing w:after="0" w:line="229" w:lineRule="auto"/>
        <w:rPr>
          <w:sz w:val="20"/>
          <w:szCs w:val="20"/>
          <w:color w:val="auto"/>
        </w:rPr>
      </w:pPr>
      <w:r>
        <w:rPr>
          <w:rFonts w:ascii="Arial" w:cs="Arial" w:eastAsia="Arial" w:hAnsi="Arial"/>
          <w:sz w:val="18"/>
          <w:szCs w:val="18"/>
          <w:b w:val="1"/>
          <w:bCs w:val="1"/>
          <w:color w:val="auto"/>
        </w:rPr>
        <w:t>REGISTRATION STATEMENT</w:t>
      </w:r>
    </w:p>
    <w:p>
      <w:pPr>
        <w:jc w:val="center"/>
        <w:spacing w:after="0" w:line="219" w:lineRule="auto"/>
        <w:rPr>
          <w:sz w:val="20"/>
          <w:szCs w:val="20"/>
          <w:color w:val="auto"/>
        </w:rPr>
      </w:pPr>
      <w:r>
        <w:rPr>
          <w:rFonts w:ascii="Arial" w:cs="Arial" w:eastAsia="Arial" w:hAnsi="Arial"/>
          <w:sz w:val="18"/>
          <w:szCs w:val="18"/>
          <w:b w:val="1"/>
          <w:bCs w:val="1"/>
          <w:i w:val="1"/>
          <w:iCs w:val="1"/>
          <w:color w:val="auto"/>
        </w:rPr>
        <w:t>UNDER</w:t>
      </w:r>
    </w:p>
    <w:p>
      <w:pPr>
        <w:jc w:val="center"/>
        <w:spacing w:after="0" w:line="233" w:lineRule="auto"/>
        <w:rPr>
          <w:sz w:val="20"/>
          <w:szCs w:val="20"/>
          <w:color w:val="auto"/>
        </w:rPr>
      </w:pPr>
      <w:r>
        <w:rPr>
          <w:rFonts w:ascii="Arial" w:cs="Arial" w:eastAsia="Arial" w:hAnsi="Arial"/>
          <w:sz w:val="18"/>
          <w:szCs w:val="18"/>
          <w:b w:val="1"/>
          <w:bCs w:val="1"/>
          <w:i w:val="1"/>
          <w:iCs w:val="1"/>
          <w:color w:val="auto"/>
        </w:rPr>
        <w:t>THE SECURITIES ACT OF 1933</w:t>
      </w:r>
    </w:p>
    <w:p>
      <w:pPr>
        <w:jc w:val="center"/>
        <w:spacing w:after="0" w:line="197" w:lineRule="auto"/>
        <w:rPr>
          <w:sz w:val="20"/>
          <w:szCs w:val="20"/>
          <w:color w:val="auto"/>
        </w:rPr>
      </w:pPr>
      <w:r>
        <w:rPr>
          <w:rFonts w:ascii="Arial" w:cs="Arial" w:eastAsia="Arial" w:hAnsi="Arial"/>
          <w:sz w:val="29"/>
          <w:szCs w:val="29"/>
          <w:b w:val="1"/>
          <w:bCs w:val="1"/>
          <w:color w:val="auto"/>
        </w:rPr>
        <w:t>South Plains Financial,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68" w:lineRule="exact"/>
        <w:rPr>
          <w:sz w:val="24"/>
          <w:szCs w:val="24"/>
          <w:color w:val="auto"/>
        </w:rPr>
      </w:pPr>
    </w:p>
    <w:tbl>
      <w:tblPr>
        <w:tblLayout w:type="fixed"/>
        <w:tblInd w:w="500" w:type="dxa"/>
        <w:tblCellMar>
          <w:top w:w="0" w:type="dxa"/>
          <w:left w:w="0" w:type="dxa"/>
          <w:bottom w:w="0" w:type="dxa"/>
          <w:right w:w="0" w:type="dxa"/>
        </w:tblCellMar>
      </w:tblPr>
      <w:tr>
        <w:trPr>
          <w:trHeight w:val="210"/>
        </w:trPr>
        <w:tc>
          <w:tcPr>
            <w:tcW w:w="2600" w:type="dxa"/>
            <w:vAlign w:val="bottom"/>
          </w:tcPr>
          <w:p>
            <w:pPr>
              <w:jc w:val="center"/>
              <w:ind w:right="559"/>
              <w:spacing w:after="0"/>
              <w:rPr>
                <w:sz w:val="20"/>
                <w:szCs w:val="20"/>
                <w:color w:val="auto"/>
              </w:rPr>
            </w:pPr>
            <w:r>
              <w:rPr>
                <w:rFonts w:ascii="Arial" w:cs="Arial" w:eastAsia="Arial" w:hAnsi="Arial"/>
                <w:sz w:val="16"/>
                <w:szCs w:val="16"/>
                <w:b w:val="1"/>
                <w:bCs w:val="1"/>
                <w:color w:val="auto"/>
                <w:w w:val="88"/>
              </w:rPr>
              <w:t>Texas</w:t>
            </w:r>
          </w:p>
        </w:tc>
        <w:tc>
          <w:tcPr>
            <w:tcW w:w="33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6022</w:t>
            </w:r>
          </w:p>
        </w:tc>
        <w:tc>
          <w:tcPr>
            <w:tcW w:w="2300" w:type="dxa"/>
            <w:vAlign w:val="bottom"/>
          </w:tcPr>
          <w:p>
            <w:pPr>
              <w:jc w:val="center"/>
              <w:ind w:left="719"/>
              <w:spacing w:after="0"/>
              <w:rPr>
                <w:sz w:val="20"/>
                <w:szCs w:val="20"/>
                <w:color w:val="auto"/>
              </w:rPr>
            </w:pPr>
            <w:r>
              <w:rPr>
                <w:rFonts w:ascii="Arial" w:cs="Arial" w:eastAsia="Arial" w:hAnsi="Arial"/>
                <w:sz w:val="16"/>
                <w:szCs w:val="16"/>
                <w:b w:val="1"/>
                <w:bCs w:val="1"/>
                <w:color w:val="auto"/>
                <w:w w:val="91"/>
              </w:rPr>
              <w:t>75-2453320</w:t>
            </w:r>
          </w:p>
        </w:tc>
      </w:tr>
      <w:tr>
        <w:trPr>
          <w:trHeight w:val="226"/>
        </w:trPr>
        <w:tc>
          <w:tcPr>
            <w:tcW w:w="2600" w:type="dxa"/>
            <w:vAlign w:val="bottom"/>
          </w:tcPr>
          <w:p>
            <w:pPr>
              <w:jc w:val="center"/>
              <w:ind w:right="559"/>
              <w:spacing w:after="0"/>
              <w:rPr>
                <w:sz w:val="20"/>
                <w:szCs w:val="20"/>
                <w:color w:val="auto"/>
              </w:rPr>
            </w:pPr>
            <w:r>
              <w:rPr>
                <w:rFonts w:ascii="Arial" w:cs="Arial" w:eastAsia="Arial" w:hAnsi="Arial"/>
                <w:sz w:val="16"/>
                <w:szCs w:val="16"/>
                <w:color w:val="auto"/>
                <w:w w:val="93"/>
              </w:rPr>
              <w:t>(State or other jurisdiction of</w:t>
            </w:r>
          </w:p>
        </w:tc>
        <w:tc>
          <w:tcPr>
            <w:tcW w:w="3340" w:type="dxa"/>
            <w:vAlign w:val="bottom"/>
          </w:tcPr>
          <w:p>
            <w:pPr>
              <w:jc w:val="center"/>
              <w:ind w:right="79"/>
              <w:spacing w:after="0"/>
              <w:rPr>
                <w:sz w:val="20"/>
                <w:szCs w:val="20"/>
                <w:color w:val="auto"/>
              </w:rPr>
            </w:pPr>
            <w:r>
              <w:rPr>
                <w:rFonts w:ascii="Arial" w:cs="Arial" w:eastAsia="Arial" w:hAnsi="Arial"/>
                <w:sz w:val="16"/>
                <w:szCs w:val="16"/>
                <w:color w:val="auto"/>
                <w:w w:val="93"/>
              </w:rPr>
              <w:t>(Primary Standard Industrial</w:t>
            </w:r>
          </w:p>
        </w:tc>
        <w:tc>
          <w:tcPr>
            <w:tcW w:w="2300" w:type="dxa"/>
            <w:vAlign w:val="bottom"/>
          </w:tcPr>
          <w:p>
            <w:pPr>
              <w:jc w:val="center"/>
              <w:ind w:left="739"/>
              <w:spacing w:after="0"/>
              <w:rPr>
                <w:sz w:val="20"/>
                <w:szCs w:val="20"/>
                <w:color w:val="auto"/>
              </w:rPr>
            </w:pPr>
            <w:r>
              <w:rPr>
                <w:rFonts w:ascii="Arial" w:cs="Arial" w:eastAsia="Arial" w:hAnsi="Arial"/>
                <w:sz w:val="16"/>
                <w:szCs w:val="16"/>
                <w:color w:val="auto"/>
                <w:w w:val="95"/>
              </w:rPr>
              <w:t>(I.R.S. Employer</w:t>
            </w:r>
          </w:p>
        </w:tc>
      </w:tr>
      <w:tr>
        <w:trPr>
          <w:trHeight w:val="206"/>
        </w:trPr>
        <w:tc>
          <w:tcPr>
            <w:tcW w:w="2600" w:type="dxa"/>
            <w:vAlign w:val="bottom"/>
          </w:tcPr>
          <w:p>
            <w:pPr>
              <w:jc w:val="center"/>
              <w:ind w:right="559"/>
              <w:spacing w:after="0"/>
              <w:rPr>
                <w:sz w:val="20"/>
                <w:szCs w:val="20"/>
                <w:color w:val="auto"/>
              </w:rPr>
            </w:pPr>
            <w:r>
              <w:rPr>
                <w:rFonts w:ascii="Arial" w:cs="Arial" w:eastAsia="Arial" w:hAnsi="Arial"/>
                <w:sz w:val="16"/>
                <w:szCs w:val="16"/>
                <w:color w:val="auto"/>
                <w:w w:val="94"/>
              </w:rPr>
              <w:t>incorporation or organization)</w:t>
            </w:r>
          </w:p>
        </w:tc>
        <w:tc>
          <w:tcPr>
            <w:tcW w:w="3340" w:type="dxa"/>
            <w:vAlign w:val="bottom"/>
          </w:tcPr>
          <w:p>
            <w:pPr>
              <w:jc w:val="center"/>
              <w:ind w:right="79"/>
              <w:spacing w:after="0"/>
              <w:rPr>
                <w:sz w:val="20"/>
                <w:szCs w:val="20"/>
                <w:color w:val="auto"/>
              </w:rPr>
            </w:pPr>
            <w:r>
              <w:rPr>
                <w:rFonts w:ascii="Arial" w:cs="Arial" w:eastAsia="Arial" w:hAnsi="Arial"/>
                <w:sz w:val="16"/>
                <w:szCs w:val="16"/>
                <w:color w:val="auto"/>
                <w:w w:val="93"/>
              </w:rPr>
              <w:t>Classification Code Number)</w:t>
            </w:r>
          </w:p>
        </w:tc>
        <w:tc>
          <w:tcPr>
            <w:tcW w:w="2300" w:type="dxa"/>
            <w:vAlign w:val="bottom"/>
          </w:tcPr>
          <w:p>
            <w:pPr>
              <w:jc w:val="center"/>
              <w:ind w:left="719"/>
              <w:spacing w:after="0"/>
              <w:rPr>
                <w:sz w:val="20"/>
                <w:szCs w:val="20"/>
                <w:color w:val="auto"/>
              </w:rPr>
            </w:pPr>
            <w:r>
              <w:rPr>
                <w:rFonts w:ascii="Arial" w:cs="Arial" w:eastAsia="Arial" w:hAnsi="Arial"/>
                <w:sz w:val="16"/>
                <w:szCs w:val="16"/>
                <w:color w:val="auto"/>
                <w:w w:val="95"/>
              </w:rPr>
              <w:t>Identification Number)</w:t>
            </w:r>
          </w:p>
        </w:tc>
      </w:tr>
    </w:tbl>
    <w:p>
      <w:pPr>
        <w:spacing w:after="0" w:line="50"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65" w:lineRule="exact"/>
        <w:rPr>
          <w:sz w:val="24"/>
          <w:szCs w:val="24"/>
          <w:color w:val="auto"/>
        </w:rPr>
      </w:pPr>
    </w:p>
    <w:p>
      <w:pPr>
        <w:ind w:left="4180"/>
        <w:spacing w:after="0"/>
        <w:rPr>
          <w:sz w:val="20"/>
          <w:szCs w:val="20"/>
          <w:color w:val="auto"/>
        </w:rPr>
      </w:pPr>
      <w:r>
        <w:rPr>
          <w:rFonts w:ascii="Arial" w:cs="Arial" w:eastAsia="Arial" w:hAnsi="Arial"/>
          <w:sz w:val="16"/>
          <w:szCs w:val="16"/>
          <w:b w:val="1"/>
          <w:bCs w:val="1"/>
          <w:color w:val="auto"/>
        </w:rPr>
        <w:t>Curtis C. Griffith</w:t>
      </w:r>
    </w:p>
    <w:p>
      <w:pPr>
        <w:jc w:val="center"/>
        <w:spacing w:after="0" w:line="211" w:lineRule="auto"/>
        <w:rPr>
          <w:sz w:val="20"/>
          <w:szCs w:val="20"/>
          <w:color w:val="auto"/>
        </w:rPr>
      </w:pPr>
      <w:r>
        <w:rPr>
          <w:rFonts w:ascii="Arial" w:cs="Arial" w:eastAsia="Arial" w:hAnsi="Arial"/>
          <w:sz w:val="16"/>
          <w:szCs w:val="16"/>
          <w:b w:val="1"/>
          <w:bCs w:val="1"/>
          <w:color w:val="auto"/>
        </w:rPr>
        <w:t>Chairman and Chief Executive Officer</w:t>
      </w:r>
    </w:p>
    <w:p>
      <w:pPr>
        <w:jc w:val="center"/>
        <w:spacing w:after="0" w:line="211" w:lineRule="auto"/>
        <w:rPr>
          <w:sz w:val="20"/>
          <w:szCs w:val="20"/>
          <w:color w:val="auto"/>
        </w:rPr>
      </w:pPr>
      <w:r>
        <w:rPr>
          <w:rFonts w:ascii="Arial" w:cs="Arial" w:eastAsia="Arial" w:hAnsi="Arial"/>
          <w:sz w:val="16"/>
          <w:szCs w:val="16"/>
          <w:b w:val="1"/>
          <w:bCs w:val="1"/>
          <w:color w:val="auto"/>
        </w:rPr>
        <w:t>5219 City Bank Parkway</w:t>
      </w:r>
    </w:p>
    <w:p>
      <w:pPr>
        <w:jc w:val="center"/>
        <w:spacing w:after="0" w:line="211" w:lineRule="auto"/>
        <w:rPr>
          <w:sz w:val="20"/>
          <w:szCs w:val="20"/>
          <w:color w:val="auto"/>
        </w:rPr>
      </w:pPr>
      <w:r>
        <w:rPr>
          <w:rFonts w:ascii="Arial" w:cs="Arial" w:eastAsia="Arial" w:hAnsi="Arial"/>
          <w:sz w:val="16"/>
          <w:szCs w:val="16"/>
          <w:b w:val="1"/>
          <w:bCs w:val="1"/>
          <w:color w:val="auto"/>
        </w:rPr>
        <w:t>Lubbock, Texas 79407</w:t>
      </w:r>
    </w:p>
    <w:p>
      <w:pPr>
        <w:jc w:val="center"/>
        <w:spacing w:after="0" w:line="212" w:lineRule="auto"/>
        <w:rPr>
          <w:sz w:val="20"/>
          <w:szCs w:val="20"/>
          <w:color w:val="auto"/>
        </w:rPr>
      </w:pPr>
      <w:r>
        <w:rPr>
          <w:rFonts w:ascii="Arial" w:cs="Arial" w:eastAsia="Arial" w:hAnsi="Arial"/>
          <w:sz w:val="16"/>
          <w:szCs w:val="16"/>
          <w:b w:val="1"/>
          <w:bCs w:val="1"/>
          <w:color w:val="auto"/>
        </w:rPr>
        <w:t>(806) 792-7101</w:t>
      </w: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54" w:lineRule="exact"/>
        <w:rPr>
          <w:sz w:val="24"/>
          <w:szCs w:val="24"/>
          <w:color w:val="auto"/>
        </w:rPr>
      </w:pPr>
    </w:p>
    <w:tbl>
      <w:tblPr>
        <w:tblLayout w:type="fixed"/>
        <w:tblInd w:w="128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p>
        </w:tc>
        <w:tc>
          <w:tcPr>
            <w:tcW w:w="4660" w:type="dxa"/>
            <w:vAlign w:val="bottom"/>
          </w:tcPr>
          <w:p>
            <w:pPr>
              <w:ind w:left="560"/>
              <w:spacing w:after="0"/>
              <w:rPr>
                <w:sz w:val="20"/>
                <w:szCs w:val="20"/>
                <w:color w:val="auto"/>
              </w:rPr>
            </w:pPr>
            <w:r>
              <w:rPr>
                <w:rFonts w:ascii="Arial" w:cs="Arial" w:eastAsia="Arial" w:hAnsi="Arial"/>
                <w:sz w:val="18"/>
                <w:szCs w:val="18"/>
                <w:i w:val="1"/>
                <w:iCs w:val="1"/>
                <w:color w:val="auto"/>
              </w:rPr>
              <w:t>Copies to:</w:t>
            </w:r>
          </w:p>
        </w:tc>
      </w:tr>
      <w:tr>
        <w:trPr>
          <w:trHeight w:val="256"/>
        </w:trPr>
        <w:tc>
          <w:tcPr>
            <w:tcW w:w="2580" w:type="dxa"/>
            <w:vAlign w:val="bottom"/>
          </w:tcPr>
          <w:p>
            <w:pPr>
              <w:jc w:val="center"/>
              <w:ind w:right="479"/>
              <w:spacing w:after="0"/>
              <w:rPr>
                <w:sz w:val="20"/>
                <w:szCs w:val="20"/>
                <w:color w:val="auto"/>
              </w:rPr>
            </w:pPr>
            <w:r>
              <w:rPr>
                <w:rFonts w:ascii="Arial" w:cs="Arial" w:eastAsia="Arial" w:hAnsi="Arial"/>
                <w:sz w:val="16"/>
                <w:szCs w:val="16"/>
                <w:b w:val="1"/>
                <w:bCs w:val="1"/>
                <w:color w:val="auto"/>
                <w:w w:val="91"/>
              </w:rPr>
              <w:t>Peter G. Weinstock</w:t>
            </w:r>
          </w:p>
        </w:tc>
        <w:tc>
          <w:tcPr>
            <w:tcW w:w="4660" w:type="dxa"/>
            <w:vAlign w:val="bottom"/>
          </w:tcPr>
          <w:p>
            <w:pPr>
              <w:jc w:val="center"/>
              <w:ind w:left="1898"/>
              <w:spacing w:after="0"/>
              <w:rPr>
                <w:sz w:val="20"/>
                <w:szCs w:val="20"/>
                <w:color w:val="auto"/>
              </w:rPr>
            </w:pPr>
            <w:r>
              <w:rPr>
                <w:rFonts w:ascii="Arial" w:cs="Arial" w:eastAsia="Arial" w:hAnsi="Arial"/>
                <w:sz w:val="16"/>
                <w:szCs w:val="16"/>
                <w:b w:val="1"/>
                <w:bCs w:val="1"/>
                <w:color w:val="auto"/>
                <w:w w:val="93"/>
              </w:rPr>
              <w:t>Chet A. Fenimore</w:t>
            </w:r>
          </w:p>
        </w:tc>
      </w:tr>
      <w:tr>
        <w:trPr>
          <w:trHeight w:val="203"/>
        </w:trPr>
        <w:tc>
          <w:tcPr>
            <w:tcW w:w="2580" w:type="dxa"/>
            <w:vAlign w:val="bottom"/>
          </w:tcPr>
          <w:p>
            <w:pPr>
              <w:jc w:val="center"/>
              <w:ind w:right="459"/>
              <w:spacing w:after="0"/>
              <w:rPr>
                <w:sz w:val="20"/>
                <w:szCs w:val="20"/>
                <w:color w:val="auto"/>
              </w:rPr>
            </w:pPr>
            <w:r>
              <w:rPr>
                <w:rFonts w:ascii="Arial" w:cs="Arial" w:eastAsia="Arial" w:hAnsi="Arial"/>
                <w:sz w:val="16"/>
                <w:szCs w:val="16"/>
                <w:b w:val="1"/>
                <w:bCs w:val="1"/>
                <w:color w:val="auto"/>
                <w:w w:val="93"/>
              </w:rPr>
              <w:t>Heather A. Eastep</w:t>
            </w:r>
          </w:p>
        </w:tc>
        <w:tc>
          <w:tcPr>
            <w:tcW w:w="4660" w:type="dxa"/>
            <w:vAlign w:val="bottom"/>
          </w:tcPr>
          <w:p>
            <w:pPr>
              <w:jc w:val="center"/>
              <w:ind w:left="1898"/>
              <w:spacing w:after="0"/>
              <w:rPr>
                <w:sz w:val="20"/>
                <w:szCs w:val="20"/>
                <w:color w:val="auto"/>
              </w:rPr>
            </w:pPr>
            <w:r>
              <w:rPr>
                <w:rFonts w:ascii="Arial" w:cs="Arial" w:eastAsia="Arial" w:hAnsi="Arial"/>
                <w:sz w:val="16"/>
                <w:szCs w:val="16"/>
                <w:b w:val="1"/>
                <w:bCs w:val="1"/>
                <w:color w:val="auto"/>
                <w:w w:val="95"/>
              </w:rPr>
              <w:t>Derek W. McGee</w:t>
            </w:r>
          </w:p>
        </w:tc>
      </w:tr>
      <w:tr>
        <w:trPr>
          <w:trHeight w:val="203"/>
        </w:trPr>
        <w:tc>
          <w:tcPr>
            <w:tcW w:w="2580" w:type="dxa"/>
            <w:vAlign w:val="bottom"/>
          </w:tcPr>
          <w:p>
            <w:pPr>
              <w:jc w:val="center"/>
              <w:ind w:right="479"/>
              <w:spacing w:after="0"/>
              <w:rPr>
                <w:sz w:val="20"/>
                <w:szCs w:val="20"/>
                <w:color w:val="auto"/>
              </w:rPr>
            </w:pPr>
            <w:r>
              <w:rPr>
                <w:rFonts w:ascii="Arial" w:cs="Arial" w:eastAsia="Arial" w:hAnsi="Arial"/>
                <w:sz w:val="16"/>
                <w:szCs w:val="16"/>
                <w:b w:val="1"/>
                <w:bCs w:val="1"/>
                <w:color w:val="auto"/>
                <w:w w:val="96"/>
              </w:rPr>
              <w:t>Hunton Andrews Kurth LLP</w:t>
            </w:r>
          </w:p>
        </w:tc>
        <w:tc>
          <w:tcPr>
            <w:tcW w:w="4660" w:type="dxa"/>
            <w:vAlign w:val="bottom"/>
          </w:tcPr>
          <w:p>
            <w:pPr>
              <w:jc w:val="center"/>
              <w:ind w:left="1898"/>
              <w:spacing w:after="0"/>
              <w:rPr>
                <w:sz w:val="20"/>
                <w:szCs w:val="20"/>
                <w:color w:val="auto"/>
              </w:rPr>
            </w:pPr>
            <w:r>
              <w:rPr>
                <w:rFonts w:ascii="Arial" w:cs="Arial" w:eastAsia="Arial" w:hAnsi="Arial"/>
                <w:sz w:val="16"/>
                <w:szCs w:val="16"/>
                <w:b w:val="1"/>
                <w:bCs w:val="1"/>
                <w:color w:val="auto"/>
                <w:w w:val="95"/>
              </w:rPr>
              <w:t>Fenimore, Kay, Harrison &amp; Ford, LLP</w:t>
            </w:r>
          </w:p>
        </w:tc>
      </w:tr>
      <w:tr>
        <w:trPr>
          <w:trHeight w:val="203"/>
        </w:trPr>
        <w:tc>
          <w:tcPr>
            <w:tcW w:w="2580" w:type="dxa"/>
            <w:vAlign w:val="bottom"/>
          </w:tcPr>
          <w:p>
            <w:pPr>
              <w:jc w:val="center"/>
              <w:ind w:right="459"/>
              <w:spacing w:after="0"/>
              <w:rPr>
                <w:sz w:val="20"/>
                <w:szCs w:val="20"/>
                <w:color w:val="auto"/>
              </w:rPr>
            </w:pPr>
            <w:r>
              <w:rPr>
                <w:rFonts w:ascii="Arial" w:cs="Arial" w:eastAsia="Arial" w:hAnsi="Arial"/>
                <w:sz w:val="16"/>
                <w:szCs w:val="16"/>
                <w:b w:val="1"/>
                <w:bCs w:val="1"/>
                <w:color w:val="auto"/>
                <w:w w:val="88"/>
              </w:rPr>
              <w:t>1445 Ross Avenue, Suite 3700</w:t>
            </w:r>
          </w:p>
        </w:tc>
        <w:tc>
          <w:tcPr>
            <w:tcW w:w="4660" w:type="dxa"/>
            <w:vAlign w:val="bottom"/>
          </w:tcPr>
          <w:p>
            <w:pPr>
              <w:jc w:val="center"/>
              <w:ind w:left="1898"/>
              <w:spacing w:after="0"/>
              <w:rPr>
                <w:sz w:val="20"/>
                <w:szCs w:val="20"/>
                <w:color w:val="auto"/>
              </w:rPr>
            </w:pPr>
            <w:r>
              <w:rPr>
                <w:rFonts w:ascii="Arial" w:cs="Arial" w:eastAsia="Arial" w:hAnsi="Arial"/>
                <w:sz w:val="16"/>
                <w:szCs w:val="16"/>
                <w:b w:val="1"/>
                <w:bCs w:val="1"/>
                <w:color w:val="auto"/>
                <w:w w:val="91"/>
              </w:rPr>
              <w:t>812 San Antonio Street, Suite 600</w:t>
            </w:r>
          </w:p>
        </w:tc>
      </w:tr>
      <w:tr>
        <w:trPr>
          <w:trHeight w:val="203"/>
        </w:trPr>
        <w:tc>
          <w:tcPr>
            <w:tcW w:w="2580" w:type="dxa"/>
            <w:vAlign w:val="bottom"/>
          </w:tcPr>
          <w:p>
            <w:pPr>
              <w:jc w:val="center"/>
              <w:ind w:right="479"/>
              <w:spacing w:after="0"/>
              <w:rPr>
                <w:sz w:val="20"/>
                <w:szCs w:val="20"/>
                <w:color w:val="auto"/>
              </w:rPr>
            </w:pPr>
            <w:r>
              <w:rPr>
                <w:rFonts w:ascii="Arial" w:cs="Arial" w:eastAsia="Arial" w:hAnsi="Arial"/>
                <w:sz w:val="16"/>
                <w:szCs w:val="16"/>
                <w:b w:val="1"/>
                <w:bCs w:val="1"/>
                <w:color w:val="auto"/>
                <w:w w:val="89"/>
              </w:rPr>
              <w:t>Dallas, Texas 75202</w:t>
            </w:r>
          </w:p>
        </w:tc>
        <w:tc>
          <w:tcPr>
            <w:tcW w:w="4660" w:type="dxa"/>
            <w:vAlign w:val="bottom"/>
          </w:tcPr>
          <w:p>
            <w:pPr>
              <w:jc w:val="center"/>
              <w:ind w:left="1898"/>
              <w:spacing w:after="0"/>
              <w:rPr>
                <w:sz w:val="20"/>
                <w:szCs w:val="20"/>
                <w:color w:val="auto"/>
              </w:rPr>
            </w:pPr>
            <w:r>
              <w:rPr>
                <w:rFonts w:ascii="Arial" w:cs="Arial" w:eastAsia="Arial" w:hAnsi="Arial"/>
                <w:sz w:val="16"/>
                <w:szCs w:val="16"/>
                <w:b w:val="1"/>
                <w:bCs w:val="1"/>
                <w:color w:val="auto"/>
                <w:w w:val="88"/>
              </w:rPr>
              <w:t>Austin, Texas 78701</w:t>
            </w:r>
          </w:p>
        </w:tc>
      </w:tr>
      <w:tr>
        <w:trPr>
          <w:trHeight w:val="203"/>
        </w:trPr>
        <w:tc>
          <w:tcPr>
            <w:tcW w:w="2580" w:type="dxa"/>
            <w:vAlign w:val="bottom"/>
          </w:tcPr>
          <w:p>
            <w:pPr>
              <w:jc w:val="center"/>
              <w:ind w:right="479"/>
              <w:spacing w:after="0"/>
              <w:rPr>
                <w:sz w:val="20"/>
                <w:szCs w:val="20"/>
                <w:color w:val="auto"/>
              </w:rPr>
            </w:pPr>
            <w:r>
              <w:rPr>
                <w:rFonts w:ascii="Arial" w:cs="Arial" w:eastAsia="Arial" w:hAnsi="Arial"/>
                <w:sz w:val="16"/>
                <w:szCs w:val="16"/>
                <w:b w:val="1"/>
                <w:bCs w:val="1"/>
                <w:color w:val="auto"/>
                <w:w w:val="93"/>
              </w:rPr>
              <w:t>(214) 979-3000</w:t>
            </w:r>
          </w:p>
        </w:tc>
        <w:tc>
          <w:tcPr>
            <w:tcW w:w="4660" w:type="dxa"/>
            <w:vAlign w:val="bottom"/>
          </w:tcPr>
          <w:p>
            <w:pPr>
              <w:jc w:val="center"/>
              <w:ind w:left="1898"/>
              <w:spacing w:after="0"/>
              <w:rPr>
                <w:sz w:val="20"/>
                <w:szCs w:val="20"/>
                <w:color w:val="auto"/>
              </w:rPr>
            </w:pPr>
            <w:r>
              <w:rPr>
                <w:rFonts w:ascii="Arial" w:cs="Arial" w:eastAsia="Arial" w:hAnsi="Arial"/>
                <w:sz w:val="16"/>
                <w:szCs w:val="16"/>
                <w:b w:val="1"/>
                <w:bCs w:val="1"/>
                <w:color w:val="auto"/>
                <w:w w:val="91"/>
              </w:rPr>
              <w:t>(512) 583-5900</w:t>
            </w:r>
          </w:p>
        </w:tc>
      </w:tr>
      <w:tr>
        <w:trPr>
          <w:trHeight w:val="210"/>
        </w:trPr>
        <w:tc>
          <w:tcPr>
            <w:tcW w:w="2580" w:type="dxa"/>
            <w:vAlign w:val="bottom"/>
          </w:tcPr>
          <w:p>
            <w:pPr>
              <w:jc w:val="center"/>
              <w:ind w:right="459"/>
              <w:spacing w:after="0"/>
              <w:rPr>
                <w:sz w:val="20"/>
                <w:szCs w:val="20"/>
                <w:color w:val="auto"/>
              </w:rPr>
            </w:pPr>
            <w:r>
              <w:rPr>
                <w:rFonts w:ascii="Arial" w:cs="Arial" w:eastAsia="Arial" w:hAnsi="Arial"/>
                <w:sz w:val="16"/>
                <w:szCs w:val="16"/>
                <w:b w:val="1"/>
                <w:bCs w:val="1"/>
                <w:color w:val="auto"/>
                <w:w w:val="91"/>
              </w:rPr>
              <w:t>(214) 880-0011 (facsimile)</w:t>
            </w:r>
          </w:p>
        </w:tc>
        <w:tc>
          <w:tcPr>
            <w:tcW w:w="4660" w:type="dxa"/>
            <w:vAlign w:val="bottom"/>
          </w:tcPr>
          <w:p>
            <w:pPr>
              <w:jc w:val="center"/>
              <w:ind w:left="1898"/>
              <w:spacing w:after="0"/>
              <w:rPr>
                <w:sz w:val="20"/>
                <w:szCs w:val="20"/>
                <w:color w:val="auto"/>
              </w:rPr>
            </w:pPr>
            <w:r>
              <w:rPr>
                <w:rFonts w:ascii="Arial" w:cs="Arial" w:eastAsia="Arial" w:hAnsi="Arial"/>
                <w:sz w:val="16"/>
                <w:szCs w:val="16"/>
                <w:b w:val="1"/>
                <w:bCs w:val="1"/>
                <w:color w:val="auto"/>
                <w:w w:val="91"/>
              </w:rPr>
              <w:t>(512) 583-5940 (facsimile)</w:t>
            </w:r>
          </w:p>
        </w:tc>
      </w:tr>
    </w:tbl>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Approximate date of commencement of proposed sale to the public:</w:t>
      </w:r>
    </w:p>
    <w:p>
      <w:pPr>
        <w:jc w:val="center"/>
        <w:spacing w:after="0"/>
        <w:rPr>
          <w:sz w:val="20"/>
          <w:szCs w:val="20"/>
          <w:color w:val="auto"/>
        </w:rPr>
      </w:pPr>
      <w:r>
        <w:rPr>
          <w:rFonts w:ascii="Arial" w:cs="Arial" w:eastAsia="Arial" w:hAnsi="Arial"/>
          <w:sz w:val="16"/>
          <w:szCs w:val="16"/>
          <w:b w:val="1"/>
          <w:bCs w:val="1"/>
          <w:color w:val="auto"/>
        </w:rPr>
        <w:t>As soon as practicable after the effective date of this registration statement.</w:t>
      </w:r>
    </w:p>
    <w:p>
      <w:pPr>
        <w:spacing w:after="0" w:line="72" w:lineRule="exact"/>
        <w:rPr>
          <w:sz w:val="24"/>
          <w:szCs w:val="24"/>
          <w:color w:val="auto"/>
        </w:rPr>
      </w:pPr>
    </w:p>
    <w:p>
      <w:pPr>
        <w:ind w:right="500" w:firstLine="360"/>
        <w:spacing w:after="0"/>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o</w:t>
      </w:r>
    </w:p>
    <w:p>
      <w:pPr>
        <w:spacing w:after="0" w:line="118" w:lineRule="exact"/>
        <w:rPr>
          <w:sz w:val="24"/>
          <w:szCs w:val="24"/>
          <w:color w:val="auto"/>
        </w:rPr>
      </w:pPr>
    </w:p>
    <w:p>
      <w:pPr>
        <w:ind w:right="80" w:firstLine="360"/>
        <w:spacing w:after="0" w:line="272" w:lineRule="auto"/>
        <w:rPr>
          <w:sz w:val="20"/>
          <w:szCs w:val="20"/>
          <w:color w:val="auto"/>
        </w:rPr>
      </w:pPr>
      <w:r>
        <w:rPr>
          <w:rFonts w:ascii="Arial" w:cs="Arial" w:eastAsia="Arial" w:hAnsi="Arial"/>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95" w:lineRule="exact"/>
        <w:rPr>
          <w:sz w:val="24"/>
          <w:szCs w:val="24"/>
          <w:color w:val="auto"/>
        </w:rPr>
      </w:pPr>
    </w:p>
    <w:p>
      <w:pPr>
        <w:ind w:right="520" w:firstLine="3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18" w:lineRule="exact"/>
        <w:rPr>
          <w:sz w:val="24"/>
          <w:szCs w:val="24"/>
          <w:color w:val="auto"/>
        </w:rPr>
      </w:pPr>
    </w:p>
    <w:p>
      <w:pPr>
        <w:ind w:right="500" w:firstLine="360"/>
        <w:spacing w:after="0"/>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18" w:lineRule="exact"/>
        <w:rPr>
          <w:sz w:val="24"/>
          <w:szCs w:val="24"/>
          <w:color w:val="auto"/>
        </w:rPr>
      </w:pPr>
    </w:p>
    <w:p>
      <w:pPr>
        <w:ind w:right="280" w:firstLine="36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ind w:left="2340" w:right="240" w:hanging="4070"/>
        <w:spacing w:after="0" w:line="233" w:lineRule="exact"/>
        <w:tabs>
          <w:tab w:leader="none" w:pos="232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 xml:space="preserve">Accelerated filer o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o (Do not check if a smaller reporting company)</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0" w:lineRule="exact"/>
        <w:rPr>
          <w:sz w:val="24"/>
          <w:szCs w:val="24"/>
          <w:color w:val="auto"/>
        </w:rPr>
      </w:pPr>
    </w:p>
    <w:p>
      <w:pPr>
        <w:ind w:right="140" w:firstLine="3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41"/>
        </w:trPr>
        <w:tc>
          <w:tcPr>
            <w:tcW w:w="1060" w:type="dxa"/>
            <w:vAlign w:val="bottom"/>
            <w:tcBorders>
              <w:top w:val="single" w:sz="8" w:color="auto"/>
              <w:bottom w:val="single" w:sz="8" w:color="auto"/>
            </w:tcBorders>
          </w:tcPr>
          <w:p>
            <w:pPr>
              <w:spacing w:after="0"/>
              <w:rPr>
                <w:sz w:val="3"/>
                <w:szCs w:val="3"/>
                <w:color w:val="auto"/>
              </w:rPr>
            </w:pPr>
          </w:p>
        </w:tc>
        <w:tc>
          <w:tcPr>
            <w:tcW w:w="53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19"/>
        </w:trPr>
        <w:tc>
          <w:tcPr>
            <w:tcW w:w="1060" w:type="dxa"/>
            <w:vAlign w:val="bottom"/>
          </w:tcPr>
          <w:p>
            <w:pPr>
              <w:spacing w:after="0"/>
              <w:rPr>
                <w:sz w:val="10"/>
                <w:szCs w:val="10"/>
                <w:color w:val="auto"/>
              </w:rPr>
            </w:pPr>
          </w:p>
        </w:tc>
        <w:tc>
          <w:tcPr>
            <w:tcW w:w="53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Proposed Maximum</w:t>
            </w:r>
          </w:p>
        </w:tc>
        <w:tc>
          <w:tcPr>
            <w:tcW w:w="1540" w:type="dxa"/>
            <w:vAlign w:val="bottom"/>
          </w:tcPr>
          <w:p>
            <w:pPr>
              <w:spacing w:after="0"/>
              <w:rPr>
                <w:sz w:val="10"/>
                <w:szCs w:val="10"/>
                <w:color w:val="auto"/>
              </w:rPr>
            </w:pPr>
          </w:p>
        </w:tc>
      </w:tr>
      <w:tr>
        <w:trPr>
          <w:trHeight w:val="145"/>
        </w:trPr>
        <w:tc>
          <w:tcPr>
            <w:tcW w:w="1060" w:type="dxa"/>
            <w:vAlign w:val="bottom"/>
          </w:tcPr>
          <w:p>
            <w:pPr>
              <w:spacing w:after="0"/>
              <w:rPr>
                <w:sz w:val="12"/>
                <w:szCs w:val="12"/>
                <w:color w:val="auto"/>
              </w:rPr>
            </w:pPr>
          </w:p>
        </w:tc>
        <w:tc>
          <w:tcPr>
            <w:tcW w:w="5340" w:type="dxa"/>
            <w:vAlign w:val="bottom"/>
            <w:tcBorders>
              <w:right w:val="single" w:sz="8" w:color="auto"/>
            </w:tcBorders>
          </w:tcPr>
          <w:p>
            <w:pPr>
              <w:jc w:val="center"/>
              <w:ind w:right="1048"/>
              <w:spacing w:after="0" w:line="145" w:lineRule="exact"/>
              <w:rPr>
                <w:sz w:val="20"/>
                <w:szCs w:val="20"/>
                <w:color w:val="auto"/>
              </w:rPr>
            </w:pPr>
            <w:r>
              <w:rPr>
                <w:rFonts w:ascii="Arial" w:cs="Arial" w:eastAsia="Arial" w:hAnsi="Arial"/>
                <w:sz w:val="14"/>
                <w:szCs w:val="14"/>
                <w:b w:val="1"/>
                <w:bCs w:val="1"/>
                <w:color w:val="auto"/>
                <w:w w:val="91"/>
              </w:rPr>
              <w:t>Title of Each Class of</w:t>
            </w: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Aggregate</w:t>
            </w: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Amount of</w:t>
            </w:r>
          </w:p>
        </w:tc>
      </w:tr>
      <w:tr>
        <w:trPr>
          <w:trHeight w:val="202"/>
        </w:trPr>
        <w:tc>
          <w:tcPr>
            <w:tcW w:w="1060" w:type="dxa"/>
            <w:vAlign w:val="bottom"/>
            <w:tcBorders>
              <w:bottom w:val="single" w:sz="8" w:color="auto"/>
            </w:tcBorders>
          </w:tcPr>
          <w:p>
            <w:pPr>
              <w:spacing w:after="0"/>
              <w:rPr>
                <w:sz w:val="17"/>
                <w:szCs w:val="17"/>
                <w:color w:val="auto"/>
              </w:rPr>
            </w:pPr>
          </w:p>
        </w:tc>
        <w:tc>
          <w:tcPr>
            <w:tcW w:w="5340" w:type="dxa"/>
            <w:vAlign w:val="bottom"/>
            <w:tcBorders>
              <w:bottom w:val="single" w:sz="8" w:color="auto"/>
              <w:right w:val="single" w:sz="8" w:color="auto"/>
            </w:tcBorders>
          </w:tcPr>
          <w:p>
            <w:pPr>
              <w:jc w:val="center"/>
              <w:ind w:right="1068"/>
              <w:spacing w:after="0"/>
              <w:rPr>
                <w:sz w:val="20"/>
                <w:szCs w:val="20"/>
                <w:color w:val="auto"/>
              </w:rPr>
            </w:pPr>
            <w:r>
              <w:rPr>
                <w:rFonts w:ascii="Arial" w:cs="Arial" w:eastAsia="Arial" w:hAnsi="Arial"/>
                <w:sz w:val="14"/>
                <w:szCs w:val="14"/>
                <w:b w:val="1"/>
                <w:bCs w:val="1"/>
                <w:color w:val="auto"/>
                <w:w w:val="90"/>
              </w:rPr>
              <w:t>Securities to Be Registered</w:t>
            </w:r>
          </w:p>
        </w:tc>
        <w:tc>
          <w:tcPr>
            <w:tcW w:w="16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Offering Price</w:t>
            </w:r>
            <w:r>
              <w:rPr>
                <w:rFonts w:ascii="Arial" w:cs="Arial" w:eastAsia="Arial" w:hAnsi="Arial"/>
                <w:sz w:val="23"/>
                <w:szCs w:val="23"/>
                <w:b w:val="1"/>
                <w:bCs w:val="1"/>
                <w:color w:val="auto"/>
                <w:w w:val="89"/>
                <w:vertAlign w:val="superscript"/>
              </w:rPr>
              <w:t>(1)(2)</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r>
      <w:tr>
        <w:trPr>
          <w:trHeight w:val="217"/>
        </w:trPr>
        <w:tc>
          <w:tcPr>
            <w:tcW w:w="64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Common Stock, par value $1.00 per share</w:t>
            </w:r>
          </w:p>
        </w:tc>
        <w:tc>
          <w:tcPr>
            <w:tcW w:w="1620" w:type="dxa"/>
            <w:vAlign w:val="bottom"/>
            <w:tcBorders>
              <w:bottom w:val="single" w:sz="8" w:color="auto"/>
              <w:right w:val="single" w:sz="8" w:color="auto"/>
            </w:tcBorders>
          </w:tcPr>
          <w:p>
            <w:pPr>
              <w:jc w:val="right"/>
              <w:ind w:right="1388"/>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305"/>
              <w:spacing w:after="0"/>
              <w:rPr>
                <w:sz w:val="20"/>
                <w:szCs w:val="20"/>
                <w:color w:val="auto"/>
              </w:rPr>
            </w:pPr>
            <w:r>
              <w:rPr>
                <w:rFonts w:ascii="Arial" w:cs="Arial" w:eastAsia="Arial" w:hAnsi="Arial"/>
                <w:sz w:val="16"/>
                <w:szCs w:val="16"/>
                <w:color w:val="auto"/>
              </w:rPr>
              <w:t>$</w:t>
            </w:r>
          </w:p>
        </w:tc>
      </w:tr>
      <w:tr>
        <w:trPr>
          <w:trHeight w:val="67"/>
        </w:trPr>
        <w:tc>
          <w:tcPr>
            <w:tcW w:w="1060" w:type="dxa"/>
            <w:vAlign w:val="bottom"/>
            <w:tcBorders>
              <w:bottom w:val="single" w:sz="8" w:color="auto"/>
            </w:tcBorders>
          </w:tcPr>
          <w:p>
            <w:pPr>
              <w:spacing w:after="0"/>
              <w:rPr>
                <w:sz w:val="5"/>
                <w:szCs w:val="5"/>
                <w:color w:val="auto"/>
              </w:rPr>
            </w:pPr>
          </w:p>
        </w:tc>
        <w:tc>
          <w:tcPr>
            <w:tcW w:w="8500" w:type="dxa"/>
            <w:vAlign w:val="bottom"/>
            <w:tcBorders>
              <w:bottom w:val="single" w:sz="8" w:color="auto"/>
            </w:tcBorders>
            <w:gridSpan w:val="3"/>
          </w:tcPr>
          <w:p>
            <w:pPr>
              <w:spacing w:after="0"/>
              <w:rPr>
                <w:sz w:val="5"/>
                <w:szCs w:val="5"/>
                <w:color w:val="auto"/>
              </w:rPr>
            </w:pPr>
          </w:p>
        </w:tc>
      </w:tr>
      <w:tr>
        <w:trPr>
          <w:trHeight w:val="353"/>
        </w:trPr>
        <w:tc>
          <w:tcPr>
            <w:tcW w:w="1060" w:type="dxa"/>
            <w:vAlign w:val="bottom"/>
          </w:tcPr>
          <w:p>
            <w:pPr>
              <w:spacing w:after="0"/>
              <w:rPr>
                <w:sz w:val="20"/>
                <w:szCs w:val="20"/>
                <w:color w:val="auto"/>
              </w:rPr>
            </w:pPr>
            <w:r>
              <w:rPr>
                <w:rFonts w:ascii="Arial" w:cs="Arial" w:eastAsia="Arial" w:hAnsi="Arial"/>
                <w:sz w:val="14"/>
                <w:szCs w:val="14"/>
                <w:color w:val="auto"/>
              </w:rPr>
              <w:t>(1)   Includes</w:t>
            </w:r>
          </w:p>
        </w:tc>
        <w:tc>
          <w:tcPr>
            <w:tcW w:w="8500" w:type="dxa"/>
            <w:vAlign w:val="bottom"/>
            <w:gridSpan w:val="3"/>
          </w:tcPr>
          <w:p>
            <w:pPr>
              <w:jc w:val="right"/>
              <w:ind w:right="505"/>
              <w:spacing w:after="0"/>
              <w:rPr>
                <w:sz w:val="20"/>
                <w:szCs w:val="20"/>
                <w:color w:val="auto"/>
              </w:rPr>
            </w:pPr>
            <w:r>
              <w:rPr>
                <w:rFonts w:ascii="Arial" w:cs="Arial" w:eastAsia="Arial" w:hAnsi="Arial"/>
                <w:sz w:val="14"/>
                <w:szCs w:val="14"/>
                <w:color w:val="auto"/>
                <w:w w:val="94"/>
              </w:rPr>
              <w:t>shares of common stock issuable upon the exercise of the underwriters’ option to purchase additional shares of common stock from the</w:t>
            </w:r>
          </w:p>
        </w:tc>
      </w:tr>
      <w:tr>
        <w:trPr>
          <w:trHeight w:val="182"/>
        </w:trPr>
        <w:tc>
          <w:tcPr>
            <w:tcW w:w="1060" w:type="dxa"/>
            <w:vAlign w:val="bottom"/>
          </w:tcPr>
          <w:p>
            <w:pPr>
              <w:ind w:left="360"/>
              <w:spacing w:after="0"/>
              <w:rPr>
                <w:sz w:val="20"/>
                <w:szCs w:val="20"/>
                <w:color w:val="auto"/>
              </w:rPr>
            </w:pPr>
            <w:r>
              <w:rPr>
                <w:rFonts w:ascii="Arial" w:cs="Arial" w:eastAsia="Arial" w:hAnsi="Arial"/>
                <w:sz w:val="14"/>
                <w:szCs w:val="14"/>
                <w:color w:val="auto"/>
              </w:rPr>
              <w:t>registrant.</w:t>
            </w:r>
          </w:p>
        </w:tc>
        <w:tc>
          <w:tcPr>
            <w:tcW w:w="5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40" w:type="dxa"/>
            <w:vAlign w:val="bottom"/>
          </w:tcPr>
          <w:p>
            <w:pPr>
              <w:spacing w:after="0"/>
              <w:rPr>
                <w:sz w:val="15"/>
                <w:szCs w:val="15"/>
                <w:color w:val="auto"/>
              </w:rPr>
            </w:pPr>
          </w:p>
        </w:tc>
      </w:tr>
    </w:tbl>
    <w:p>
      <w:pPr>
        <w:spacing w:after="0" w:line="88" w:lineRule="exact"/>
        <w:rPr>
          <w:sz w:val="24"/>
          <w:szCs w:val="24"/>
          <w:color w:val="auto"/>
        </w:rPr>
      </w:pPr>
    </w:p>
    <w:p>
      <w:pPr>
        <w:ind w:left="360" w:right="160" w:hanging="355"/>
        <w:spacing w:after="0" w:line="273"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in accordance with Rule 457(o) under the Securities Act of 1933, as amended, based upon an estimate of the maximum aggregate offering price.</w:t>
      </w:r>
    </w:p>
    <w:p>
      <w:pPr>
        <w:spacing w:after="0" w:line="44" w:lineRule="exact"/>
        <w:rPr>
          <w:sz w:val="24"/>
          <w:szCs w:val="24"/>
          <w:color w:val="auto"/>
        </w:rPr>
      </w:pPr>
    </w:p>
    <w:p>
      <w:pPr>
        <w:jc w:val="both"/>
        <w:ind w:right="120" w:firstLine="360"/>
        <w:spacing w:after="0" w:line="242"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6069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167005</wp:posOffset>
            </wp:positionV>
            <wp:extent cx="606933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6933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475615</wp:posOffset>
            </wp:positionV>
            <wp:extent cx="60693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38" w:right="117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We and the selling shareholders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4"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18"/>
          <w:szCs w:val="18"/>
          <w:b w:val="1"/>
          <w:bCs w:val="1"/>
          <w:color w:val="FC0014"/>
        </w:rPr>
        <w:t>SUBJECT TO COMPLETION, DATED</w:t>
      </w:r>
      <w:r>
        <w:rPr>
          <w:sz w:val="20"/>
          <w:szCs w:val="20"/>
          <w:color w:val="auto"/>
        </w:rPr>
        <w:tab/>
      </w:r>
      <w:r>
        <w:rPr>
          <w:rFonts w:ascii="Arial" w:cs="Arial" w:eastAsia="Arial" w:hAnsi="Arial"/>
          <w:sz w:val="15"/>
          <w:szCs w:val="15"/>
          <w:b w:val="1"/>
          <w:bCs w:val="1"/>
          <w:color w:val="FC0014"/>
        </w:rPr>
        <w:t>, 2019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214630</wp:posOffset>
            </wp:positionV>
            <wp:extent cx="343725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329"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This is the initial public offering of South Plains Financial, Inc. We are offering shares of our common stock and the selling shareholders are offering shares of our common stock. We will not receive any proceeds from the sale of shares by the selling shareholders.</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this offering, there has been no established public market for our common stock. We anticipate that the public offering</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price of our common stock will be between $ and $ . We have applied to list our common stock on the NASDAQ Global Select Market under the symbol “SPFI.”</w:t>
      </w:r>
    </w:p>
    <w:p>
      <w:pPr>
        <w:spacing w:after="0" w:line="262" w:lineRule="exact"/>
        <w:rPr>
          <w:sz w:val="20"/>
          <w:szCs w:val="20"/>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risk. See “Risk Factors” beginning on page </w:t>
      </w:r>
      <w:hyperlink w:anchor="page20">
        <w:r>
          <w:rPr>
            <w:rFonts w:ascii="Arial" w:cs="Arial" w:eastAsia="Arial" w:hAnsi="Arial"/>
            <w:sz w:val="18"/>
            <w:szCs w:val="18"/>
            <w:b w:val="1"/>
            <w:bCs w:val="1"/>
            <w:u w:val="single" w:color="auto"/>
            <w:color w:val="0000EE"/>
          </w:rPr>
          <w:t>13</w:t>
        </w:r>
      </w:hyperlink>
      <w:r>
        <w:rPr>
          <w:rFonts w:ascii="Arial" w:cs="Arial" w:eastAsia="Arial" w:hAnsi="Arial"/>
          <w:sz w:val="18"/>
          <w:szCs w:val="18"/>
          <w:b w:val="1"/>
          <w:bCs w:val="1"/>
          <w:color w:val="auto"/>
        </w:rPr>
        <w:t>.</w:t>
      </w:r>
    </w:p>
    <w:p>
      <w:pPr>
        <w:spacing w:after="0" w:line="320" w:lineRule="exact"/>
        <w:rPr>
          <w:sz w:val="20"/>
          <w:szCs w:val="20"/>
          <w:color w:val="auto"/>
        </w:rPr>
      </w:pPr>
    </w:p>
    <w:p>
      <w:pPr>
        <w:ind w:firstLine="360"/>
        <w:spacing w:after="0" w:line="282" w:lineRule="auto"/>
        <w:rPr>
          <w:sz w:val="20"/>
          <w:szCs w:val="20"/>
          <w:color w:val="auto"/>
        </w:rPr>
      </w:pPr>
      <w:r>
        <w:rPr>
          <w:rFonts w:ascii="Arial" w:cs="Arial" w:eastAsia="Arial" w:hAnsi="Arial"/>
          <w:sz w:val="18"/>
          <w:szCs w:val="18"/>
          <w:b w:val="1"/>
          <w:bCs w:val="1"/>
          <w:color w:val="auto"/>
        </w:rPr>
        <w:t>We are an “emerging growth company” under the federal securities laws and will be subject to reduced public company reporting requirements.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20" w:type="dxa"/>
            <w:vAlign w:val="bottom"/>
          </w:tcPr>
          <w:p>
            <w:pPr>
              <w:spacing w:after="0"/>
              <w:rPr>
                <w:sz w:val="15"/>
                <w:szCs w:val="15"/>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43"/>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43"/>
        </w:trPr>
        <w:tc>
          <w:tcPr>
            <w:tcW w:w="7620" w:type="dxa"/>
            <w:vAlign w:val="bottom"/>
          </w:tcPr>
          <w:p>
            <w:pPr>
              <w:spacing w:after="0" w:line="243" w:lineRule="exact"/>
              <w:rPr>
                <w:sz w:val="20"/>
                <w:szCs w:val="20"/>
                <w:color w:val="auto"/>
              </w:rPr>
            </w:pPr>
            <w:r>
              <w:rPr>
                <w:rFonts w:ascii="Arial" w:cs="Arial" w:eastAsia="Arial" w:hAnsi="Arial"/>
                <w:sz w:val="17"/>
                <w:szCs w:val="17"/>
                <w:color w:val="auto"/>
              </w:rPr>
              <w:t>Underwriting discounts</w:t>
            </w:r>
            <w:r>
              <w:rPr>
                <w:rFonts w:ascii="Arial" w:cs="Arial" w:eastAsia="Arial" w:hAnsi="Arial"/>
                <w:sz w:val="28"/>
                <w:szCs w:val="28"/>
                <w:color w:val="auto"/>
                <w:vertAlign w:val="superscript"/>
              </w:rPr>
              <w:t>(1)</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Proceeds to the selling shareholders, before expenses</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968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98" w:lineRule="exact"/>
        <w:rPr>
          <w:sz w:val="20"/>
          <w:szCs w:val="20"/>
          <w:color w:val="auto"/>
        </w:rPr>
      </w:pPr>
    </w:p>
    <w:p>
      <w:pPr>
        <w:ind w:left="360" w:hanging="355"/>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underwriting compensation.</w:t>
      </w:r>
    </w:p>
    <w:p>
      <w:pPr>
        <w:sectPr>
          <w:pgSz w:w="11900" w:h="16838" w:orient="portrait"/>
          <w:cols w:equalWidth="0" w:num="1">
            <w:col w:w="9560"/>
          </w:cols>
          <w:pgMar w:left="1160" w:top="279" w:right="1179" w:bottom="1440" w:gutter="0" w:footer="0" w:header="0"/>
        </w:sectPr>
      </w:pPr>
    </w:p>
    <w:p>
      <w:pPr>
        <w:spacing w:after="0" w:line="289"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underwriters have an option to purchase up to an additional underwriting discount, within 30 days from the date of this prospectus.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shares from us at the public offering price, less the</w:t>
      </w:r>
    </w:p>
    <w:p>
      <w:pPr>
        <w:spacing w:after="0" w:line="540" w:lineRule="exact"/>
        <w:rPr>
          <w:sz w:val="20"/>
          <w:szCs w:val="20"/>
          <w:color w:val="auto"/>
        </w:rPr>
      </w:pPr>
    </w:p>
    <w:p>
      <w:pPr>
        <w:sectPr>
          <w:pgSz w:w="11900" w:h="16838" w:orient="portrait"/>
          <w:cols w:equalWidth="0" w:num="2">
            <w:col w:w="5100" w:space="320"/>
            <w:col w:w="4140"/>
          </w:cols>
          <w:pgMar w:left="1160" w:top="279" w:right="1179" w:bottom="1440" w:gutter="0" w:footer="0" w:header="0"/>
          <w:type w:val="continuous"/>
        </w:sectPr>
      </w:pPr>
    </w:p>
    <w:p>
      <w:pPr>
        <w:spacing w:after="0" w:line="14" w:lineRule="exact"/>
        <w:rPr>
          <w:sz w:val="20"/>
          <w:szCs w:val="20"/>
          <w:color w:val="auto"/>
        </w:rPr>
      </w:pPr>
    </w:p>
    <w:p>
      <w:pPr>
        <w:ind w:right="12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70" w:lineRule="exact"/>
        <w:rPr>
          <w:sz w:val="20"/>
          <w:szCs w:val="20"/>
          <w:color w:val="auto"/>
        </w:rPr>
      </w:pPr>
    </w:p>
    <w:p>
      <w:pPr>
        <w:ind w:right="400" w:firstLine="360"/>
        <w:spacing w:after="0" w:line="282" w:lineRule="auto"/>
        <w:rPr>
          <w:sz w:val="20"/>
          <w:szCs w:val="20"/>
          <w:color w:val="auto"/>
        </w:rPr>
      </w:pPr>
      <w:r>
        <w:rPr>
          <w:rFonts w:ascii="Arial" w:cs="Arial" w:eastAsia="Arial" w:hAnsi="Arial"/>
          <w:sz w:val="18"/>
          <w:szCs w:val="18"/>
          <w:b w:val="1"/>
          <w:bCs w:val="1"/>
          <w:color w:val="auto"/>
        </w:rPr>
        <w:t>Shares of our common stock are not savings accounts or deposits and are not insured or guaranteed by the Federal Deposit Insurance Corporation or any other government agency.</w:t>
      </w:r>
    </w:p>
    <w:p>
      <w:pPr>
        <w:spacing w:after="0" w:line="24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w w:val="95"/>
              </w:rPr>
              <w:t>The shares of common stock will be ready for delivery on or about</w:t>
            </w:r>
          </w:p>
        </w:tc>
        <w:tc>
          <w:tcPr>
            <w:tcW w:w="72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26"/>
        </w:trPr>
        <w:tc>
          <w:tcPr>
            <w:tcW w:w="3140" w:type="dxa"/>
            <w:vAlign w:val="bottom"/>
          </w:tcPr>
          <w:p>
            <w:pPr>
              <w:jc w:val="right"/>
              <w:spacing w:after="0"/>
              <w:rPr>
                <w:sz w:val="20"/>
                <w:szCs w:val="20"/>
                <w:color w:val="auto"/>
              </w:rPr>
            </w:pPr>
            <w:r>
              <w:rPr>
                <w:rFonts w:ascii="Arial" w:cs="Arial" w:eastAsia="Arial" w:hAnsi="Arial"/>
                <w:sz w:val="25"/>
                <w:szCs w:val="25"/>
                <w:b w:val="1"/>
                <w:bCs w:val="1"/>
                <w:color w:val="auto"/>
              </w:rPr>
              <w:t>Keefe, Bruyette &amp; Woods</w:t>
            </w:r>
          </w:p>
        </w:tc>
        <w:tc>
          <w:tcPr>
            <w:tcW w:w="6420" w:type="dxa"/>
            <w:vAlign w:val="bottom"/>
            <w:gridSpan w:val="2"/>
          </w:tcPr>
          <w:p>
            <w:pPr>
              <w:jc w:val="center"/>
              <w:ind w:right="370"/>
              <w:spacing w:after="0"/>
              <w:rPr>
                <w:sz w:val="20"/>
                <w:szCs w:val="20"/>
                <w:color w:val="auto"/>
              </w:rPr>
            </w:pPr>
            <w:r>
              <w:rPr>
                <w:rFonts w:ascii="Arial" w:cs="Arial" w:eastAsia="Arial" w:hAnsi="Arial"/>
                <w:sz w:val="25"/>
                <w:szCs w:val="25"/>
                <w:b w:val="1"/>
                <w:bCs w:val="1"/>
                <w:color w:val="auto"/>
                <w:w w:val="93"/>
              </w:rPr>
              <w:t>Sandler O’Neill + Partners, L.P.</w:t>
            </w:r>
          </w:p>
        </w:tc>
      </w:tr>
      <w:tr>
        <w:trPr>
          <w:trHeight w:val="274"/>
        </w:trPr>
        <w:tc>
          <w:tcPr>
            <w:tcW w:w="3140" w:type="dxa"/>
            <w:vAlign w:val="bottom"/>
          </w:tcPr>
          <w:p>
            <w:pPr>
              <w:jc w:val="right"/>
              <w:spacing w:after="0"/>
              <w:rPr>
                <w:sz w:val="20"/>
                <w:szCs w:val="20"/>
                <w:color w:val="auto"/>
              </w:rPr>
            </w:pPr>
            <w:r>
              <w:rPr>
                <w:rFonts w:ascii="Arial" w:cs="Arial" w:eastAsia="Arial" w:hAnsi="Arial"/>
                <w:sz w:val="22"/>
                <w:szCs w:val="22"/>
                <w:i w:val="1"/>
                <w:iCs w:val="1"/>
                <w:color w:val="auto"/>
              </w:rPr>
              <w:t>A Stifel Company</w:t>
            </w:r>
          </w:p>
        </w:tc>
        <w:tc>
          <w:tcPr>
            <w:tcW w:w="2520" w:type="dxa"/>
            <w:vAlign w:val="bottom"/>
          </w:tcPr>
          <w:p>
            <w:pPr>
              <w:spacing w:after="0"/>
              <w:rPr>
                <w:sz w:val="23"/>
                <w:szCs w:val="23"/>
                <w:color w:val="auto"/>
              </w:rPr>
            </w:pPr>
          </w:p>
        </w:tc>
        <w:tc>
          <w:tcPr>
            <w:tcW w:w="3900" w:type="dxa"/>
            <w:vAlign w:val="bottom"/>
          </w:tcPr>
          <w:p>
            <w:pPr>
              <w:spacing w:after="0"/>
              <w:rPr>
                <w:sz w:val="23"/>
                <w:szCs w:val="23"/>
                <w:color w:val="auto"/>
              </w:rPr>
            </w:pPr>
          </w:p>
        </w:tc>
      </w:tr>
      <w:tr>
        <w:trPr>
          <w:trHeight w:val="651"/>
        </w:trPr>
        <w:tc>
          <w:tcPr>
            <w:tcW w:w="3140" w:type="dxa"/>
            <w:vAlign w:val="bottom"/>
          </w:tcPr>
          <w:p>
            <w:pPr>
              <w:spacing w:after="0"/>
              <w:rPr>
                <w:sz w:val="24"/>
                <w:szCs w:val="24"/>
                <w:color w:val="auto"/>
              </w:rPr>
            </w:pPr>
          </w:p>
        </w:tc>
        <w:tc>
          <w:tcPr>
            <w:tcW w:w="2520" w:type="dxa"/>
            <w:vAlign w:val="bottom"/>
          </w:tcPr>
          <w:p>
            <w:pPr>
              <w:ind w:left="60"/>
              <w:spacing w:after="0"/>
              <w:rPr>
                <w:sz w:val="20"/>
                <w:szCs w:val="20"/>
                <w:color w:val="auto"/>
              </w:rPr>
            </w:pPr>
            <w:r>
              <w:rPr>
                <w:rFonts w:ascii="Arial" w:cs="Arial" w:eastAsia="Arial" w:hAnsi="Arial"/>
                <w:sz w:val="18"/>
                <w:szCs w:val="18"/>
                <w:b w:val="1"/>
                <w:bCs w:val="1"/>
                <w:color w:val="auto"/>
                <w:w w:val="95"/>
              </w:rPr>
              <w:t>The date of this prospectus is</w:t>
            </w:r>
          </w:p>
        </w:tc>
        <w:tc>
          <w:tcPr>
            <w:tcW w:w="3900" w:type="dxa"/>
            <w:vAlign w:val="bottom"/>
          </w:tcPr>
          <w:p>
            <w:pPr>
              <w:jc w:val="right"/>
              <w:ind w:right="3090"/>
              <w:spacing w:after="0"/>
              <w:rPr>
                <w:sz w:val="20"/>
                <w:szCs w:val="20"/>
                <w:color w:val="auto"/>
              </w:rPr>
            </w:pPr>
            <w:r>
              <w:rPr>
                <w:rFonts w:ascii="Arial" w:cs="Arial" w:eastAsia="Arial" w:hAnsi="Arial"/>
                <w:sz w:val="18"/>
                <w:szCs w:val="18"/>
                <w:b w:val="1"/>
                <w:bCs w:val="1"/>
                <w:color w:val="auto"/>
              </w:rPr>
              <w:t>, 2019.</w:t>
            </w:r>
          </w:p>
        </w:tc>
      </w:tr>
      <w:tr>
        <w:trPr>
          <w:trHeight w:val="459"/>
        </w:trPr>
        <w:tc>
          <w:tcPr>
            <w:tcW w:w="3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68"/>
        </w:trPr>
        <w:tc>
          <w:tcPr>
            <w:tcW w:w="3140" w:type="dxa"/>
            <w:vAlign w:val="bottom"/>
            <w:shd w:val="clear" w:color="auto" w:fill="000000"/>
          </w:tcPr>
          <w:p>
            <w:pPr>
              <w:spacing w:after="0"/>
              <w:rPr>
                <w:sz w:val="5"/>
                <w:szCs w:val="5"/>
                <w:color w:val="auto"/>
              </w:rPr>
            </w:pPr>
          </w:p>
        </w:tc>
        <w:tc>
          <w:tcPr>
            <w:tcW w:w="2520" w:type="dxa"/>
            <w:vAlign w:val="bottom"/>
            <w:shd w:val="clear" w:color="auto" w:fill="000000"/>
          </w:tcPr>
          <w:p>
            <w:pPr>
              <w:spacing w:after="0"/>
              <w:rPr>
                <w:sz w:val="5"/>
                <w:szCs w:val="5"/>
                <w:color w:val="auto"/>
              </w:rPr>
            </w:pPr>
          </w:p>
        </w:tc>
        <w:tc>
          <w:tcPr>
            <w:tcW w:w="39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6643370" cy="906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9069705"/>
                    </a:xfrm>
                    <a:prstGeom prst="rect">
                      <a:avLst/>
                    </a:prstGeom>
                    <a:noFill/>
                  </pic:spPr>
                </pic:pic>
              </a:graphicData>
            </a:graphic>
          </wp:anchor>
        </w:drawing>
      </w:r>
    </w:p>
    <w:p>
      <w:pPr>
        <w:sectPr>
          <w:pgSz w:w="11900" w:h="16838" w:orient="portrait"/>
          <w:cols w:equalWidth="0" w:num="1">
            <w:col w:w="9299"/>
          </w:cols>
          <w:pgMar w:left="1160" w:top="279"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15"/>
                <w:szCs w:val="15"/>
                <w:color w:val="auto"/>
              </w:rPr>
            </w:pPr>
          </w:p>
        </w:tc>
      </w:tr>
      <w:tr>
        <w:trPr>
          <w:trHeight w:val="189"/>
        </w:trPr>
        <w:tc>
          <w:tcPr>
            <w:tcW w:w="8900" w:type="dxa"/>
            <w:vAlign w:val="bottom"/>
            <w:gridSpan w:val="24"/>
            <w:shd w:val="clear" w:color="auto" w:fill="CCEEFF"/>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1</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2080" w:type="dxa"/>
            <w:vAlign w:val="bottom"/>
            <w:gridSpan w:val="10"/>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THE OFFERING</w:t>
              </w:r>
            </w:hyperlink>
          </w:p>
        </w:tc>
        <w:tc>
          <w:tcPr>
            <w:tcW w:w="6820" w:type="dxa"/>
            <w:vAlign w:val="bottom"/>
            <w:gridSpan w:val="14"/>
          </w:tcPr>
          <w:p>
            <w:pPr>
              <w:spacing w:after="0"/>
              <w:rPr>
                <w:sz w:val="16"/>
                <w:szCs w:val="16"/>
                <w:color w:val="auto"/>
              </w:rPr>
            </w:pPr>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9</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24"/>
            <w:shd w:val="clear" w:color="auto" w:fill="CCEEFF"/>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SELECTED HISTORICAL CONSOLIDATED FINANCIAL AND OPERATING INFORMATION</w:t>
              </w:r>
            </w:hyperlink>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11</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7200" w:type="dxa"/>
            <w:vAlign w:val="bottom"/>
            <w:gridSpan w:val="22"/>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700" w:type="dxa"/>
            <w:vAlign w:val="bottom"/>
            <w:gridSpan w:val="2"/>
          </w:tcPr>
          <w:p>
            <w:pPr>
              <w:spacing w:after="0"/>
              <w:rPr>
                <w:sz w:val="16"/>
                <w:szCs w:val="16"/>
                <w:color w:val="auto"/>
              </w:rPr>
            </w:pPr>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13</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24"/>
            <w:shd w:val="clear" w:color="auto" w:fill="CCEEFF"/>
          </w:tcPr>
          <w:p>
            <w:pPr>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CAUTIONARY NOTE REGARDING FORWARD-LOOKING STATEMENTS</w:t>
              </w:r>
            </w:hyperlink>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42</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5780" w:type="dxa"/>
            <w:vAlign w:val="bottom"/>
            <w:gridSpan w:val="20"/>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3120" w:type="dxa"/>
            <w:vAlign w:val="bottom"/>
            <w:gridSpan w:val="4"/>
          </w:tcPr>
          <w:p>
            <w:pPr>
              <w:spacing w:after="0"/>
              <w:rPr>
                <w:sz w:val="16"/>
                <w:szCs w:val="16"/>
                <w:color w:val="auto"/>
              </w:rPr>
            </w:pPr>
          </w:p>
        </w:tc>
        <w:tc>
          <w:tcPr>
            <w:tcW w:w="400" w:type="dxa"/>
            <w:vAlign w:val="bottom"/>
            <w:gridSpan w:val="2"/>
          </w:tcPr>
          <w:p>
            <w:pPr>
              <w:spacing w:after="0"/>
              <w:rPr>
                <w:sz w:val="16"/>
                <w:szCs w:val="16"/>
                <w:color w:val="auto"/>
              </w:rPr>
            </w:pPr>
          </w:p>
        </w:tc>
        <w:tc>
          <w:tcPr>
            <w:tcW w:w="260" w:type="dxa"/>
            <w:vAlign w:val="bottom"/>
            <w:gridSpan w:val="3"/>
          </w:tcPr>
          <w:p>
            <w:pPr>
              <w:jc w:val="right"/>
              <w:ind w:right="100"/>
              <w:spacing w:after="0" w:line="189" w:lineRule="exact"/>
              <w:rPr>
                <w:rFonts w:ascii="Arial" w:cs="Arial" w:eastAsia="Arial" w:hAnsi="Arial"/>
                <w:sz w:val="17"/>
                <w:szCs w:val="17"/>
                <w:color w:val="0000EE"/>
                <w:w w:val="73"/>
              </w:rPr>
            </w:pPr>
            <w:hyperlink w:anchor="page51">
              <w:r>
                <w:rPr>
                  <w:rFonts w:ascii="Arial" w:cs="Arial" w:eastAsia="Arial" w:hAnsi="Arial"/>
                  <w:sz w:val="17"/>
                  <w:szCs w:val="17"/>
                  <w:color w:val="0000EE"/>
                  <w:w w:val="73"/>
                </w:rPr>
                <w:t>44</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460" w:type="dxa"/>
            <w:vAlign w:val="bottom"/>
            <w:gridSpan w:val="8"/>
            <w:shd w:val="clear" w:color="auto" w:fill="CCEEFF"/>
          </w:tcPr>
          <w:p>
            <w:pPr>
              <w:spacing w:after="0" w:line="189" w:lineRule="exact"/>
              <w:rPr>
                <w:rFonts w:ascii="Arial" w:cs="Arial" w:eastAsia="Arial" w:hAnsi="Arial"/>
                <w:sz w:val="18"/>
                <w:szCs w:val="18"/>
                <w:color w:val="0000EE"/>
                <w:w w:val="98"/>
              </w:rPr>
            </w:pPr>
            <w:hyperlink w:anchor="page52">
              <w:r>
                <w:rPr>
                  <w:rFonts w:ascii="Arial" w:cs="Arial" w:eastAsia="Arial" w:hAnsi="Arial"/>
                  <w:sz w:val="18"/>
                  <w:szCs w:val="18"/>
                  <w:color w:val="0000EE"/>
                  <w:w w:val="98"/>
                </w:rPr>
                <w:t>CAPITALIZATION</w:t>
              </w:r>
            </w:hyperlink>
          </w:p>
        </w:tc>
        <w:tc>
          <w:tcPr>
            <w:tcW w:w="7440" w:type="dxa"/>
            <w:vAlign w:val="bottom"/>
            <w:gridSpan w:val="16"/>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rPr>
                <w:sz w:val="16"/>
                <w:szCs w:val="16"/>
                <w:color w:val="auto"/>
              </w:rPr>
            </w:pPr>
          </w:p>
        </w:tc>
        <w:tc>
          <w:tcPr>
            <w:tcW w:w="260" w:type="dxa"/>
            <w:vAlign w:val="bottom"/>
            <w:gridSpan w:val="3"/>
            <w:shd w:val="clear" w:color="auto" w:fill="CCEEFF"/>
          </w:tcPr>
          <w:p>
            <w:pPr>
              <w:jc w:val="right"/>
              <w:ind w:right="100"/>
              <w:spacing w:after="0" w:line="189" w:lineRule="exact"/>
              <w:rPr>
                <w:rFonts w:ascii="Arial" w:cs="Arial" w:eastAsia="Arial" w:hAnsi="Arial"/>
                <w:sz w:val="17"/>
                <w:szCs w:val="17"/>
                <w:color w:val="0000EE"/>
                <w:w w:val="73"/>
              </w:rPr>
            </w:pPr>
            <w:hyperlink w:anchor="page52">
              <w:r>
                <w:rPr>
                  <w:rFonts w:ascii="Arial" w:cs="Arial" w:eastAsia="Arial" w:hAnsi="Arial"/>
                  <w:sz w:val="17"/>
                  <w:szCs w:val="17"/>
                  <w:color w:val="0000EE"/>
                  <w:w w:val="73"/>
                </w:rPr>
                <w:t>45</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8"/>
          </w:tcPr>
          <w:p>
            <w:pPr>
              <w:spacing w:after="0" w:line="189" w:lineRule="exact"/>
              <w:rPr>
                <w:rFonts w:ascii="Arial" w:cs="Arial" w:eastAsia="Arial" w:hAnsi="Arial"/>
                <w:sz w:val="18"/>
                <w:szCs w:val="18"/>
                <w:color w:val="0000EE"/>
              </w:rPr>
            </w:pPr>
            <w:hyperlink w:anchor="page53">
              <w:r>
                <w:rPr>
                  <w:rFonts w:ascii="Arial" w:cs="Arial" w:eastAsia="Arial" w:hAnsi="Arial"/>
                  <w:sz w:val="18"/>
                  <w:szCs w:val="18"/>
                  <w:color w:val="0000EE"/>
                </w:rPr>
                <w:t>DILUTION</w:t>
              </w:r>
            </w:hyperlink>
          </w:p>
        </w:tc>
        <w:tc>
          <w:tcPr>
            <w:tcW w:w="7440" w:type="dxa"/>
            <w:vAlign w:val="bottom"/>
            <w:gridSpan w:val="16"/>
          </w:tcPr>
          <w:p>
            <w:pPr>
              <w:spacing w:after="0"/>
              <w:rPr>
                <w:sz w:val="16"/>
                <w:szCs w:val="16"/>
                <w:color w:val="auto"/>
              </w:rPr>
            </w:pPr>
          </w:p>
        </w:tc>
        <w:tc>
          <w:tcPr>
            <w:tcW w:w="400" w:type="dxa"/>
            <w:vAlign w:val="bottom"/>
            <w:gridSpan w:val="2"/>
          </w:tcPr>
          <w:p>
            <w:pPr>
              <w:spacing w:after="0"/>
              <w:rPr>
                <w:sz w:val="16"/>
                <w:szCs w:val="16"/>
                <w:color w:val="auto"/>
              </w:rPr>
            </w:pPr>
          </w:p>
        </w:tc>
        <w:tc>
          <w:tcPr>
            <w:tcW w:w="260" w:type="dxa"/>
            <w:vAlign w:val="bottom"/>
            <w:gridSpan w:val="3"/>
          </w:tcPr>
          <w:p>
            <w:pPr>
              <w:jc w:val="right"/>
              <w:ind w:right="100"/>
              <w:spacing w:after="0" w:line="189" w:lineRule="exact"/>
              <w:rPr>
                <w:rFonts w:ascii="Arial" w:cs="Arial" w:eastAsia="Arial" w:hAnsi="Arial"/>
                <w:sz w:val="17"/>
                <w:szCs w:val="17"/>
                <w:color w:val="0000EE"/>
                <w:w w:val="73"/>
              </w:rPr>
            </w:pPr>
            <w:hyperlink w:anchor="page53">
              <w:r>
                <w:rPr>
                  <w:rFonts w:ascii="Arial" w:cs="Arial" w:eastAsia="Arial" w:hAnsi="Arial"/>
                  <w:sz w:val="17"/>
                  <w:szCs w:val="17"/>
                  <w:color w:val="0000EE"/>
                  <w:w w:val="73"/>
                </w:rPr>
                <w:t>46</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24"/>
            <w:shd w:val="clear" w:color="auto" w:fill="CCEEFF"/>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PRICE RANGE OF OUR COMMON STOCK</w:t>
              </w:r>
            </w:hyperlink>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48</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7780" w:type="dxa"/>
            <w:vAlign w:val="bottom"/>
            <w:tcBorders>
              <w:bottom w:val="single" w:sz="8" w:color="0000EE"/>
            </w:tcBorders>
            <w:gridSpan w:val="23"/>
          </w:tcPr>
          <w:p>
            <w:pPr>
              <w:spacing w:after="0" w:line="189"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MANAGEMENT’S DISCUSSION AND ANALYSIS OF FINANCIAL CONDITION AND RESULTS OF</w:t>
              </w:r>
            </w:hyperlink>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872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OPERATIONS</w:t>
              </w:r>
            </w:hyperlink>
          </w:p>
        </w:tc>
        <w:tc>
          <w:tcPr>
            <w:tcW w:w="660" w:type="dxa"/>
            <w:vAlign w:val="bottom"/>
            <w:gridSpan w:val="5"/>
          </w:tcPr>
          <w:p>
            <w:pPr>
              <w:jc w:val="right"/>
              <w:ind w:right="10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49</w:t>
              </w:r>
            </w:hyperlink>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60" w:type="dxa"/>
            <w:vAlign w:val="bottom"/>
            <w:gridSpan w:val="3"/>
            <w:shd w:val="clear" w:color="auto" w:fill="CCEEFF"/>
          </w:tcPr>
          <w:p>
            <w:pPr>
              <w:spacing w:after="0" w:line="189"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BUSINESS</w:t>
              </w:r>
            </w:hyperlink>
          </w:p>
        </w:tc>
        <w:tc>
          <w:tcPr>
            <w:tcW w:w="8040" w:type="dxa"/>
            <w:vAlign w:val="bottom"/>
            <w:gridSpan w:val="21"/>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spacing w:after="0"/>
              <w:rPr>
                <w:sz w:val="16"/>
                <w:szCs w:val="16"/>
                <w:color w:val="auto"/>
              </w:rPr>
            </w:pPr>
          </w:p>
        </w:tc>
        <w:tc>
          <w:tcPr>
            <w:tcW w:w="260" w:type="dxa"/>
            <w:vAlign w:val="bottom"/>
            <w:gridSpan w:val="3"/>
            <w:shd w:val="clear" w:color="auto" w:fill="CCEEFF"/>
          </w:tcPr>
          <w:p>
            <w:pPr>
              <w:jc w:val="right"/>
              <w:ind w:right="100"/>
              <w:spacing w:after="0" w:line="189" w:lineRule="exact"/>
              <w:rPr>
                <w:rFonts w:ascii="Arial" w:cs="Arial" w:eastAsia="Arial" w:hAnsi="Arial"/>
                <w:sz w:val="17"/>
                <w:szCs w:val="17"/>
                <w:color w:val="0000EE"/>
                <w:w w:val="73"/>
              </w:rPr>
            </w:pPr>
            <w:hyperlink w:anchor="page83">
              <w:r>
                <w:rPr>
                  <w:rFonts w:ascii="Arial" w:cs="Arial" w:eastAsia="Arial" w:hAnsi="Arial"/>
                  <w:sz w:val="17"/>
                  <w:szCs w:val="17"/>
                  <w:color w:val="0000EE"/>
                  <w:w w:val="73"/>
                </w:rPr>
                <w:t>76</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8900" w:type="dxa"/>
            <w:vAlign w:val="bottom"/>
            <w:gridSpan w:val="24"/>
          </w:tcPr>
          <w:p>
            <w:pPr>
              <w:spacing w:after="0" w:line="189" w:lineRule="exact"/>
              <w:rPr>
                <w:rFonts w:ascii="Arial" w:cs="Arial" w:eastAsia="Arial" w:hAnsi="Arial"/>
                <w:sz w:val="18"/>
                <w:szCs w:val="18"/>
                <w:color w:val="0000EE"/>
              </w:rPr>
            </w:pPr>
            <w:hyperlink w:anchor="page100">
              <w:r>
                <w:rPr>
                  <w:rFonts w:ascii="Arial" w:cs="Arial" w:eastAsia="Arial" w:hAnsi="Arial"/>
                  <w:sz w:val="18"/>
                  <w:szCs w:val="18"/>
                  <w:color w:val="0000EE"/>
                </w:rPr>
                <w:t>SUPERVISION AND REGULATION</w:t>
              </w:r>
            </w:hyperlink>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00">
              <w:r>
                <w:rPr>
                  <w:rFonts w:ascii="Arial" w:cs="Arial" w:eastAsia="Arial" w:hAnsi="Arial"/>
                  <w:sz w:val="18"/>
                  <w:szCs w:val="18"/>
                  <w:color w:val="0000EE"/>
                </w:rPr>
                <w:t>93</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900" w:type="dxa"/>
            <w:vAlign w:val="bottom"/>
            <w:gridSpan w:val="24"/>
            <w:shd w:val="clear" w:color="auto" w:fill="CCEEFF"/>
          </w:tcPr>
          <w:p>
            <w:pPr>
              <w:spacing w:after="0" w:line="189" w:lineRule="exact"/>
              <w:rPr>
                <w:rFonts w:ascii="Arial" w:cs="Arial" w:eastAsia="Arial" w:hAnsi="Arial"/>
                <w:sz w:val="18"/>
                <w:szCs w:val="18"/>
                <w:color w:val="0000EE"/>
              </w:rPr>
            </w:pPr>
            <w:hyperlink w:anchor="page115">
              <w:r>
                <w:rPr>
                  <w:rFonts w:ascii="Arial" w:cs="Arial" w:eastAsia="Arial" w:hAnsi="Arial"/>
                  <w:sz w:val="18"/>
                  <w:szCs w:val="18"/>
                  <w:color w:val="0000EE"/>
                </w:rPr>
                <w:t>MANAGEMENT</w:t>
              </w:r>
            </w:hyperlink>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15">
              <w:r>
                <w:rPr>
                  <w:rFonts w:ascii="Arial" w:cs="Arial" w:eastAsia="Arial" w:hAnsi="Arial"/>
                  <w:sz w:val="18"/>
                  <w:szCs w:val="18"/>
                  <w:color w:val="0000EE"/>
                </w:rPr>
                <w:t>108</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8900" w:type="dxa"/>
            <w:vAlign w:val="bottom"/>
            <w:gridSpan w:val="24"/>
          </w:tcPr>
          <w:p>
            <w:pPr>
              <w:spacing w:after="0" w:line="189" w:lineRule="exact"/>
              <w:rPr>
                <w:rFonts w:ascii="Arial" w:cs="Arial" w:eastAsia="Arial" w:hAnsi="Arial"/>
                <w:sz w:val="18"/>
                <w:szCs w:val="18"/>
                <w:color w:val="0000EE"/>
              </w:rPr>
            </w:pPr>
            <w:hyperlink w:anchor="page123">
              <w:r>
                <w:rPr>
                  <w:rFonts w:ascii="Arial" w:cs="Arial" w:eastAsia="Arial" w:hAnsi="Arial"/>
                  <w:sz w:val="18"/>
                  <w:szCs w:val="18"/>
                  <w:color w:val="0000EE"/>
                </w:rPr>
                <w:t>EXECUTIVE COMPENSATION</w:t>
              </w:r>
            </w:hyperlink>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23">
              <w:r>
                <w:rPr>
                  <w:rFonts w:ascii="Arial" w:cs="Arial" w:eastAsia="Arial" w:hAnsi="Arial"/>
                  <w:sz w:val="18"/>
                  <w:szCs w:val="18"/>
                  <w:color w:val="0000EE"/>
                </w:rPr>
                <w:t>116</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5480" w:type="dxa"/>
            <w:vAlign w:val="bottom"/>
            <w:gridSpan w:val="19"/>
            <w:shd w:val="clear" w:color="auto" w:fill="CCEEFF"/>
          </w:tcPr>
          <w:p>
            <w:pPr>
              <w:spacing w:after="0" w:line="189" w:lineRule="exact"/>
              <w:rPr>
                <w:rFonts w:ascii="Arial" w:cs="Arial" w:eastAsia="Arial" w:hAnsi="Arial"/>
                <w:sz w:val="18"/>
                <w:szCs w:val="18"/>
                <w:color w:val="0000EE"/>
                <w:w w:val="95"/>
              </w:rPr>
            </w:pPr>
            <w:hyperlink w:anchor="page131">
              <w:r>
                <w:rPr>
                  <w:rFonts w:ascii="Arial" w:cs="Arial" w:eastAsia="Arial" w:hAnsi="Arial"/>
                  <w:sz w:val="18"/>
                  <w:szCs w:val="18"/>
                  <w:color w:val="0000EE"/>
                  <w:w w:val="95"/>
                </w:rPr>
                <w:t>CERTAIN RELATIONSHIPS AND RELATED PARTY TRANSACTIONS</w:t>
              </w:r>
            </w:hyperlink>
          </w:p>
        </w:tc>
        <w:tc>
          <w:tcPr>
            <w:tcW w:w="3420" w:type="dxa"/>
            <w:vAlign w:val="bottom"/>
            <w:gridSpan w:val="5"/>
            <w:shd w:val="clear" w:color="auto" w:fill="CCEEFF"/>
          </w:tcPr>
          <w:p>
            <w:pPr>
              <w:spacing w:after="0"/>
              <w:rPr>
                <w:sz w:val="16"/>
                <w:szCs w:val="16"/>
                <w:color w:val="auto"/>
              </w:rPr>
            </w:pPr>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31">
              <w:r>
                <w:rPr>
                  <w:rFonts w:ascii="Arial" w:cs="Arial" w:eastAsia="Arial" w:hAnsi="Arial"/>
                  <w:sz w:val="18"/>
                  <w:szCs w:val="18"/>
                  <w:color w:val="0000EE"/>
                </w:rPr>
                <w:t>124</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5480" w:type="dxa"/>
            <w:vAlign w:val="bottom"/>
            <w:gridSpan w:val="19"/>
          </w:tcPr>
          <w:p>
            <w:pPr>
              <w:spacing w:after="0" w:line="189" w:lineRule="exact"/>
              <w:rPr>
                <w:rFonts w:ascii="Arial" w:cs="Arial" w:eastAsia="Arial" w:hAnsi="Arial"/>
                <w:sz w:val="18"/>
                <w:szCs w:val="18"/>
                <w:color w:val="0000EE"/>
              </w:rPr>
            </w:pPr>
            <w:hyperlink w:anchor="page133">
              <w:r>
                <w:rPr>
                  <w:rFonts w:ascii="Arial" w:cs="Arial" w:eastAsia="Arial" w:hAnsi="Arial"/>
                  <w:sz w:val="18"/>
                  <w:szCs w:val="18"/>
                  <w:color w:val="0000EE"/>
                </w:rPr>
                <w:t>PRINCIPAL AND SELLING SHAREHOLDERS</w:t>
              </w:r>
            </w:hyperlink>
          </w:p>
        </w:tc>
        <w:tc>
          <w:tcPr>
            <w:tcW w:w="3420" w:type="dxa"/>
            <w:vAlign w:val="bottom"/>
            <w:gridSpan w:val="5"/>
          </w:tcPr>
          <w:p>
            <w:pPr>
              <w:spacing w:after="0"/>
              <w:rPr>
                <w:sz w:val="16"/>
                <w:szCs w:val="16"/>
                <w:color w:val="auto"/>
              </w:rPr>
            </w:pPr>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33">
              <w:r>
                <w:rPr>
                  <w:rFonts w:ascii="Arial" w:cs="Arial" w:eastAsia="Arial" w:hAnsi="Arial"/>
                  <w:sz w:val="18"/>
                  <w:szCs w:val="18"/>
                  <w:color w:val="0000EE"/>
                </w:rPr>
                <w:t>126</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880" w:type="dxa"/>
            <w:vAlign w:val="bottom"/>
            <w:gridSpan w:val="13"/>
            <w:shd w:val="clear" w:color="auto" w:fill="CCEEFF"/>
          </w:tcPr>
          <w:p>
            <w:pPr>
              <w:spacing w:after="0" w:line="189"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DESCRIPTION OF CAPITAL STOCK</w:t>
              </w:r>
            </w:hyperlink>
          </w:p>
        </w:tc>
        <w:tc>
          <w:tcPr>
            <w:tcW w:w="6020" w:type="dxa"/>
            <w:vAlign w:val="bottom"/>
            <w:gridSpan w:val="11"/>
            <w:shd w:val="clear" w:color="auto" w:fill="CCEEFF"/>
          </w:tcPr>
          <w:p>
            <w:pPr>
              <w:spacing w:after="0"/>
              <w:rPr>
                <w:sz w:val="16"/>
                <w:szCs w:val="16"/>
                <w:color w:val="auto"/>
              </w:rPr>
            </w:pPr>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35">
              <w:r>
                <w:rPr>
                  <w:rFonts w:ascii="Arial" w:cs="Arial" w:eastAsia="Arial" w:hAnsi="Arial"/>
                  <w:sz w:val="18"/>
                  <w:szCs w:val="18"/>
                  <w:color w:val="0000EE"/>
                </w:rPr>
                <w:t>128</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8900" w:type="dxa"/>
            <w:vAlign w:val="bottom"/>
            <w:gridSpan w:val="24"/>
          </w:tcPr>
          <w:p>
            <w:pPr>
              <w:spacing w:after="0" w:line="189" w:lineRule="exact"/>
              <w:rPr>
                <w:rFonts w:ascii="Arial" w:cs="Arial" w:eastAsia="Arial" w:hAnsi="Arial"/>
                <w:sz w:val="18"/>
                <w:szCs w:val="18"/>
                <w:color w:val="0000EE"/>
              </w:rPr>
            </w:pPr>
            <w:hyperlink w:anchor="page139">
              <w:r>
                <w:rPr>
                  <w:rFonts w:ascii="Arial" w:cs="Arial" w:eastAsia="Arial" w:hAnsi="Arial"/>
                  <w:sz w:val="18"/>
                  <w:szCs w:val="18"/>
                  <w:color w:val="0000EE"/>
                </w:rPr>
                <w:t>SHARES ELIGIBLE FOR FUTURE SALE</w:t>
              </w:r>
            </w:hyperlink>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39">
              <w:r>
                <w:rPr>
                  <w:rFonts w:ascii="Arial" w:cs="Arial" w:eastAsia="Arial" w:hAnsi="Arial"/>
                  <w:sz w:val="18"/>
                  <w:szCs w:val="18"/>
                  <w:color w:val="0000EE"/>
                </w:rPr>
                <w:t>132</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5900" w:type="dxa"/>
            <w:vAlign w:val="bottom"/>
            <w:gridSpan w:val="21"/>
            <w:shd w:val="clear" w:color="auto" w:fill="CCEEFF"/>
          </w:tcPr>
          <w:p>
            <w:pPr>
              <w:spacing w:after="0" w:line="189" w:lineRule="exact"/>
              <w:rPr>
                <w:rFonts w:ascii="Arial" w:cs="Arial" w:eastAsia="Arial" w:hAnsi="Arial"/>
                <w:sz w:val="18"/>
                <w:szCs w:val="18"/>
                <w:color w:val="0000EE"/>
                <w:w w:val="96"/>
              </w:rPr>
            </w:pPr>
            <w:hyperlink w:anchor="page141">
              <w:r>
                <w:rPr>
                  <w:rFonts w:ascii="Arial" w:cs="Arial" w:eastAsia="Arial" w:hAnsi="Arial"/>
                  <w:sz w:val="18"/>
                  <w:szCs w:val="18"/>
                  <w:color w:val="0000EE"/>
                  <w:w w:val="96"/>
                </w:rPr>
                <w:t>MATERIAL UNITED STATES FEDERAL INCOME TAX CONSIDERATIONS</w:t>
              </w:r>
            </w:hyperlink>
          </w:p>
        </w:tc>
        <w:tc>
          <w:tcPr>
            <w:tcW w:w="3000" w:type="dxa"/>
            <w:vAlign w:val="bottom"/>
            <w:gridSpan w:val="3"/>
            <w:shd w:val="clear" w:color="auto" w:fill="CCEEFF"/>
          </w:tcPr>
          <w:p>
            <w:pPr>
              <w:spacing w:after="0"/>
              <w:rPr>
                <w:sz w:val="16"/>
                <w:szCs w:val="16"/>
                <w:color w:val="auto"/>
              </w:rPr>
            </w:pPr>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41">
              <w:r>
                <w:rPr>
                  <w:rFonts w:ascii="Arial" w:cs="Arial" w:eastAsia="Arial" w:hAnsi="Arial"/>
                  <w:sz w:val="18"/>
                  <w:szCs w:val="18"/>
                  <w:color w:val="0000EE"/>
                </w:rPr>
                <w:t>134</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5900" w:type="dxa"/>
            <w:vAlign w:val="bottom"/>
            <w:gridSpan w:val="21"/>
          </w:tcPr>
          <w:p>
            <w:pPr>
              <w:spacing w:after="0" w:line="189" w:lineRule="exact"/>
              <w:rPr>
                <w:rFonts w:ascii="Arial" w:cs="Arial" w:eastAsia="Arial" w:hAnsi="Arial"/>
                <w:sz w:val="18"/>
                <w:szCs w:val="18"/>
                <w:color w:val="0000EE"/>
              </w:rPr>
            </w:pPr>
            <w:hyperlink w:anchor="page146">
              <w:r>
                <w:rPr>
                  <w:rFonts w:ascii="Arial" w:cs="Arial" w:eastAsia="Arial" w:hAnsi="Arial"/>
                  <w:sz w:val="18"/>
                  <w:szCs w:val="18"/>
                  <w:color w:val="0000EE"/>
                </w:rPr>
                <w:t>UNDERWRITING</w:t>
              </w:r>
            </w:hyperlink>
          </w:p>
        </w:tc>
        <w:tc>
          <w:tcPr>
            <w:tcW w:w="3000" w:type="dxa"/>
            <w:vAlign w:val="bottom"/>
            <w:gridSpan w:val="3"/>
          </w:tcPr>
          <w:p>
            <w:pPr>
              <w:spacing w:after="0"/>
              <w:rPr>
                <w:sz w:val="16"/>
                <w:szCs w:val="16"/>
                <w:color w:val="auto"/>
              </w:rPr>
            </w:pPr>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46">
              <w:r>
                <w:rPr>
                  <w:rFonts w:ascii="Arial" w:cs="Arial" w:eastAsia="Arial" w:hAnsi="Arial"/>
                  <w:sz w:val="18"/>
                  <w:szCs w:val="18"/>
                  <w:color w:val="0000EE"/>
                </w:rPr>
                <w:t>139</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460" w:type="dxa"/>
            <w:vAlign w:val="bottom"/>
            <w:gridSpan w:val="8"/>
            <w:shd w:val="clear" w:color="auto" w:fill="CCEEFF"/>
          </w:tcPr>
          <w:p>
            <w:pPr>
              <w:spacing w:after="0" w:line="189" w:lineRule="exact"/>
              <w:rPr>
                <w:rFonts w:ascii="Arial" w:cs="Arial" w:eastAsia="Arial" w:hAnsi="Arial"/>
                <w:sz w:val="18"/>
                <w:szCs w:val="18"/>
                <w:color w:val="0000EE"/>
                <w:w w:val="96"/>
              </w:rPr>
            </w:pPr>
            <w:hyperlink w:anchor="page150">
              <w:r>
                <w:rPr>
                  <w:rFonts w:ascii="Arial" w:cs="Arial" w:eastAsia="Arial" w:hAnsi="Arial"/>
                  <w:sz w:val="18"/>
                  <w:szCs w:val="18"/>
                  <w:color w:val="0000EE"/>
                  <w:w w:val="96"/>
                </w:rPr>
                <w:t>LEGAL MATTERS</w:t>
              </w:r>
            </w:hyperlink>
          </w:p>
        </w:tc>
        <w:tc>
          <w:tcPr>
            <w:tcW w:w="7440" w:type="dxa"/>
            <w:vAlign w:val="bottom"/>
            <w:gridSpan w:val="16"/>
            <w:shd w:val="clear" w:color="auto" w:fill="CCEEFF"/>
          </w:tcPr>
          <w:p>
            <w:pPr>
              <w:spacing w:after="0"/>
              <w:rPr>
                <w:sz w:val="16"/>
                <w:szCs w:val="16"/>
                <w:color w:val="auto"/>
              </w:rPr>
            </w:pPr>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8"/>
          </w:tcPr>
          <w:p>
            <w:pPr>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EXPERTS</w:t>
              </w:r>
            </w:hyperlink>
          </w:p>
        </w:tc>
        <w:tc>
          <w:tcPr>
            <w:tcW w:w="7440" w:type="dxa"/>
            <w:vAlign w:val="bottom"/>
            <w:gridSpan w:val="16"/>
          </w:tcPr>
          <w:p>
            <w:pPr>
              <w:spacing w:after="0"/>
              <w:rPr>
                <w:sz w:val="16"/>
                <w:szCs w:val="16"/>
                <w:color w:val="auto"/>
              </w:rPr>
            </w:pPr>
          </w:p>
        </w:tc>
        <w:tc>
          <w:tcPr>
            <w:tcW w:w="660" w:type="dxa"/>
            <w:vAlign w:val="bottom"/>
            <w:gridSpan w:val="5"/>
          </w:tcPr>
          <w:p>
            <w:pPr>
              <w:jc w:val="right"/>
              <w:ind w:right="100"/>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3820" w:type="dxa"/>
            <w:vAlign w:val="bottom"/>
            <w:gridSpan w:val="17"/>
            <w:shd w:val="clear" w:color="auto" w:fill="CCEEFF"/>
          </w:tcPr>
          <w:p>
            <w:pPr>
              <w:spacing w:after="0" w:line="189" w:lineRule="exact"/>
              <w:rPr>
                <w:rFonts w:ascii="Arial" w:cs="Arial" w:eastAsia="Arial" w:hAnsi="Arial"/>
                <w:sz w:val="18"/>
                <w:szCs w:val="18"/>
                <w:color w:val="0000EE"/>
                <w:w w:val="97"/>
              </w:rPr>
            </w:pPr>
            <w:hyperlink w:anchor="page150">
              <w:r>
                <w:rPr>
                  <w:rFonts w:ascii="Arial" w:cs="Arial" w:eastAsia="Arial" w:hAnsi="Arial"/>
                  <w:sz w:val="18"/>
                  <w:szCs w:val="18"/>
                  <w:color w:val="0000EE"/>
                  <w:w w:val="97"/>
                </w:rPr>
                <w:t>WHERE YOU CAN FIND MORE INFORMATION</w:t>
              </w:r>
            </w:hyperlink>
          </w:p>
        </w:tc>
        <w:tc>
          <w:tcPr>
            <w:tcW w:w="5080" w:type="dxa"/>
            <w:vAlign w:val="bottom"/>
            <w:gridSpan w:val="7"/>
            <w:shd w:val="clear" w:color="auto" w:fill="CCEEFF"/>
          </w:tcPr>
          <w:p>
            <w:pPr>
              <w:spacing w:after="0"/>
              <w:rPr>
                <w:sz w:val="16"/>
                <w:szCs w:val="16"/>
                <w:color w:val="auto"/>
              </w:rPr>
            </w:pPr>
          </w:p>
        </w:tc>
        <w:tc>
          <w:tcPr>
            <w:tcW w:w="66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50">
              <w:r>
                <w:rPr>
                  <w:rFonts w:ascii="Arial" w:cs="Arial" w:eastAsia="Arial" w:hAnsi="Arial"/>
                  <w:sz w:val="18"/>
                  <w:szCs w:val="18"/>
                  <w:color w:val="0000EE"/>
                </w:rPr>
                <w:t>143</w:t>
              </w:r>
            </w:hyperlink>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4460" w:type="dxa"/>
            <w:vAlign w:val="bottom"/>
            <w:gridSpan w:val="18"/>
          </w:tcPr>
          <w:p>
            <w:pPr>
              <w:spacing w:after="0" w:line="189" w:lineRule="exact"/>
              <w:rPr>
                <w:rFonts w:ascii="Arial" w:cs="Arial" w:eastAsia="Arial" w:hAnsi="Arial"/>
                <w:sz w:val="18"/>
                <w:szCs w:val="18"/>
                <w:color w:val="0000EE"/>
                <w:w w:val="97"/>
              </w:rPr>
            </w:pPr>
            <w:hyperlink w:anchor="page151">
              <w:r>
                <w:rPr>
                  <w:rFonts w:ascii="Arial" w:cs="Arial" w:eastAsia="Arial" w:hAnsi="Arial"/>
                  <w:sz w:val="18"/>
                  <w:szCs w:val="18"/>
                  <w:color w:val="0000EE"/>
                  <w:w w:val="97"/>
                </w:rPr>
                <w:t>INDEX TO CONSOLIDATED FINANCIAL STATEMENTS</w:t>
              </w:r>
            </w:hyperlink>
          </w:p>
        </w:tc>
        <w:tc>
          <w:tcPr>
            <w:tcW w:w="4440" w:type="dxa"/>
            <w:vAlign w:val="bottom"/>
            <w:gridSpan w:val="6"/>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3"/>
          </w:tcPr>
          <w:p>
            <w:pPr>
              <w:jc w:val="right"/>
              <w:ind w:right="100"/>
              <w:spacing w:after="0"/>
              <w:rPr>
                <w:rFonts w:ascii="Arial" w:cs="Arial" w:eastAsia="Arial" w:hAnsi="Arial"/>
                <w:sz w:val="13"/>
                <w:szCs w:val="13"/>
                <w:color w:val="0000EE"/>
                <w:w w:val="71"/>
              </w:rPr>
            </w:pPr>
            <w:hyperlink w:anchor="page151">
              <w:r>
                <w:rPr>
                  <w:rFonts w:ascii="Arial" w:cs="Arial" w:eastAsia="Arial" w:hAnsi="Arial"/>
                  <w:sz w:val="13"/>
                  <w:szCs w:val="13"/>
                  <w:color w:val="0000EE"/>
                  <w:w w:val="71"/>
                </w:rPr>
                <w:t>F-1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that we authorize to be delivered to you. We, the selling shareholders and the underwriters have not authorized anyone to provide you with different or additional information. We, the selling shareholders and the underwriters are not making an offer of these securities in any jurisdiction where the offer is not permitted. You should not assume that the information contained in this prospectus is accurate as of any date other than the date on the front of this prospectus. Our business, financial condition, results of operations and prospects may have changed since that date.</w:t>
      </w:r>
    </w:p>
    <w:p>
      <w:pPr>
        <w:spacing w:after="0" w:line="8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Unless we state otherwise or the context otherwise requires, references in this prospectus to “we,” “our,” “us,” “ourselves,” “our company,” and the “Company” refer to South Plains Financial, Inc., a Texas corporation, and its consolidated subsidiaries. References in this prospectus to “City Bank” and the “Bank” refer to City Bank, a Texas banking association and our wholly-owned consolidated subsidiary.</w:t>
      </w:r>
    </w:p>
    <w:p>
      <w:pPr>
        <w:spacing w:after="0" w:line="79"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This prospectus describes the specific details regarding this offering and the terms and conditions of our common stock being offered hereby and the risks of investing in our common stock. For additional information, please see the section entitled “Where You Can Find More Information.”</w:t>
      </w:r>
    </w:p>
    <w:p>
      <w:pPr>
        <w:spacing w:after="0" w:line="76"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You should not interpret the contents of this prospectus to be legal, business, investment or tax advice. You should consult with your own advisors for that type of advice and consult with them about the legal, tax, business, financial and other issues that you should consider before investing in our common stock.</w:t>
      </w:r>
    </w:p>
    <w:p>
      <w:pPr>
        <w:spacing w:after="0" w:line="76"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Unless otherwise stated, all information in this prospectus gives effect to a 29-for-1 stock dividend, whereby each holder of our common stock received 29 additional shares of common stock for each share owned as of the record date of March 11, 2019, which</w:t>
      </w:r>
    </w:p>
    <w:p>
      <w:pPr>
        <w:ind w:right="80"/>
        <w:spacing w:after="0" w:line="260" w:lineRule="auto"/>
        <w:rPr>
          <w:sz w:val="20"/>
          <w:szCs w:val="20"/>
          <w:color w:val="auto"/>
        </w:rPr>
      </w:pPr>
      <w:r>
        <w:rPr>
          <w:rFonts w:ascii="Arial" w:cs="Arial" w:eastAsia="Arial" w:hAnsi="Arial"/>
          <w:sz w:val="18"/>
          <w:szCs w:val="18"/>
          <w:color w:val="auto"/>
        </w:rPr>
        <w:t>was distributed on , 2019. The stock dividend has the effect of a stock split on outstanding shares and per share figures, and it has been retroactively applied to all periods presented in this prospectus.</w:t>
      </w:r>
    </w:p>
    <w:p>
      <w:pPr>
        <w:spacing w:after="0" w:line="7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Unless otherwise stated, all information in this prospectus assumes that the underwriters have not exercised their option to purchase additional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108585</wp:posOffset>
            </wp:positionV>
            <wp:extent cx="11487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Within this prospectus, we reference certain market, industry and demographic data, forecasts and other statistical information. We have obtained this data, forecasts and information from various independent, third party industry sources and publications. Nothing in the data, forecasts or information used or derived from third party sources should be construed as advice. Some data and other information are also based on our good faith estimates, which are derived from our review of industry publications and surveys and independent sources. We believe that these sources and estimates are reliable, but have not independently verified them. Statements as to our market position are based on market data currently available to us. Although we are not aware of any misstatements regarding the economic, employment, industry and other market data presented herein, these estimates involve inherent risks and uncertainties and are based on assumptions that are subject to change.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under the Jumpstart Our Business Startups Act of 2012, or the JOBS Act. An emerging growth company may take advantage of reduced reporting requirements and is relieved of certain other significant requirements that are otherwise generally applicable to public companies. As an emerging growth company:</w:t>
      </w:r>
    </w:p>
    <w:p>
      <w:pPr>
        <w:spacing w:after="0" w:line="79" w:lineRule="exact"/>
        <w:rPr>
          <w:sz w:val="20"/>
          <w:szCs w:val="20"/>
          <w:color w:val="auto"/>
        </w:rPr>
      </w:pPr>
    </w:p>
    <w:p>
      <w:pPr>
        <w:ind w:left="700" w:right="180" w:hanging="344"/>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present as few as two years of audited financial statements and two years of related management discussion and analysis of financial condition and results of operations;</w:t>
      </w:r>
    </w:p>
    <w:p>
      <w:pPr>
        <w:spacing w:after="0" w:line="62" w:lineRule="exact"/>
        <w:rPr>
          <w:rFonts w:ascii="Arial" w:cs="Arial" w:eastAsia="Arial" w:hAnsi="Arial"/>
          <w:sz w:val="18"/>
          <w:szCs w:val="18"/>
          <w:color w:val="auto"/>
        </w:rPr>
      </w:pPr>
    </w:p>
    <w:p>
      <w:pPr>
        <w:ind w:left="700" w:right="100" w:hanging="344"/>
        <w:spacing w:after="0" w:line="342"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exempt from the requirement to obtain an attestation and report from our auditors on management’s assessment of our internal control over financial reporting under the Sarbanes-Oxley Act of 2002, or the Sarbanes-Oxley Act;</w:t>
      </w:r>
    </w:p>
    <w:p>
      <w:pPr>
        <w:spacing w:after="0" w:line="15" w:lineRule="exact"/>
        <w:rPr>
          <w:rFonts w:ascii="Arial" w:cs="Arial" w:eastAsia="Arial" w:hAnsi="Arial"/>
          <w:sz w:val="16"/>
          <w:szCs w:val="16"/>
          <w:color w:val="auto"/>
        </w:rPr>
      </w:pPr>
    </w:p>
    <w:p>
      <w:pPr>
        <w:ind w:left="700" w:hanging="34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17" w:lineRule="exact"/>
        <w:rPr>
          <w:rFonts w:ascii="Arial" w:cs="Arial" w:eastAsia="Arial" w:hAnsi="Arial"/>
          <w:sz w:val="18"/>
          <w:szCs w:val="18"/>
          <w:color w:val="auto"/>
        </w:rPr>
      </w:pPr>
    </w:p>
    <w:p>
      <w:pPr>
        <w:ind w:left="700" w:right="160" w:hanging="344"/>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give our shareholders non-binding advisory votes on executive compensation or golden parachute arrangements.</w:t>
      </w:r>
    </w:p>
    <w:p>
      <w:pPr>
        <w:spacing w:after="0" w:line="62"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this prospectus we have elected to take advantage of the reduced disclosure requirements relating to the presentation and discussion of our audited financial statements and executive compensation, and in the future we may take advantage of any or all of these exemptions for so long as we remain an emerging growth company. We will remain an emerging growth company until the earliest of (i) the end of the fiscal year during which we have total annual gross revenues of $1.07 billion or more, (ii) the last day of the fiscal year following the fifth anniversary of the completion of this offering, (iii) the date on which we have, during the previous three-year period, issued more than $1.0 billion in non-convertible debt securities and (iv) the date on which we are deemed to be a “large accelerated filer” under the Securities Exchange Act of 1934, as amended, or the Exchange Act.</w:t>
      </w:r>
    </w:p>
    <w:p>
      <w:pPr>
        <w:spacing w:after="0" w:line="58"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In addition to the relief described above, the JOBS Act permits us an extended transition period for complying with new or revised accounting standards affecting public companies.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S Corporation Status</w:t>
      </w:r>
    </w:p>
    <w:p>
      <w:pPr>
        <w:spacing w:after="0" w:line="121"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auto"/>
        </w:rPr>
        <w:t>Beginning January 1, 1998, the Company elected to be taxed for U.S. federal income tax purposes as an “S corporation,” or S Corporation or S Corp, under the provisions of Sections 1361 to 1379 of the Internal Revenue Code of 1986, as amended, or the Code. As a result, our net income had not been subject to, and we had not paid, U.S. federal income tax, and no provision or liability for U.S. federal income tax had been included in our consolidated financial statements. Instead, for U.S. federal income tax purposes our taxable income was “passed through” to our shareholders.</w:t>
      </w:r>
    </w:p>
    <w:p>
      <w:pPr>
        <w:spacing w:after="0" w:line="68"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Effective May 31, 2018, the Company revoked its S Corporation election and the Company became taxed as a C Corporation under the provisions of Sections 301 to 385 of the Code (which treat the corporation as an entity that is subject to an entity level U.S. federal income tax). We established a deferred tax asset to reflect the S Corporation revocation. Thus, our net income is now subject to U.S. federal income tax and we bear the liability for those taxes. 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w:t>
      </w:r>
    </w:p>
    <w:p>
      <w:pPr>
        <w:spacing w:after="0" w:line="58"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Company calculates its pro forma C Corporation net income, return on average assets, return on average shareholders’ equity and earnings per share using a statutory tax rate for federal income taxes of 35.0% prior to January 1, 2018 and 21.0% after January 1, 2018. This calculation reflects only the revocation of the Company’s status as an S Corporation and does not give effect to any other transaction. As our state income taxes are insignificant, they are not reflected in these calculations. For our comparative C Corporation and S Corporation financial information, see “Selected Historical Consolidated Financial and Operating Information.”</w:t>
      </w:r>
    </w:p>
    <w:p>
      <w:pPr>
        <w:spacing w:after="0" w:line="84" w:lineRule="exact"/>
        <w:rPr>
          <w:sz w:val="20"/>
          <w:szCs w:val="20"/>
          <w:color w:val="auto"/>
        </w:rPr>
      </w:pPr>
    </w:p>
    <w:p>
      <w:pPr>
        <w:jc w:val="both"/>
        <w:ind w:right="40" w:firstLine="360"/>
        <w:spacing w:after="0" w:line="263" w:lineRule="auto"/>
        <w:rPr>
          <w:sz w:val="20"/>
          <w:szCs w:val="20"/>
          <w:color w:val="auto"/>
        </w:rPr>
      </w:pPr>
      <w:r>
        <w:rPr>
          <w:rFonts w:ascii="Arial" w:cs="Arial" w:eastAsia="Arial" w:hAnsi="Arial"/>
          <w:sz w:val="18"/>
          <w:szCs w:val="18"/>
          <w:color w:val="auto"/>
        </w:rPr>
        <w:t>While we were an S Corporation, our shareholders were subject to a shareholder agreement that was intended to preserve our S Corporation status, which we amended and restated when we became a C Corporation. At the 2019 annual meeting of shareholders, our shareholders approved the termination of that shareholder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ESOP Repurchase Right Termination</w:t>
      </w:r>
    </w:p>
    <w:p>
      <w:pPr>
        <w:spacing w:after="0" w:line="12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In accordance with applicable provisions of the Internal Revenue Code, the terms of the South Plains Financial, Inc. Employee Stock Ownership Plan, or ESOP, currently provide that ESOP participants have the right, for a specified period of time, to require us to repurchase shares of our common stock that are distributed to them by the ESOP. The shares of common stock held by the ESOP are reflected in our consolidated balance sheet as of December 31, 2018 as a line item called “ESOP owned shares” appearing between total liabilities and shareholders’ equity. As a result, the ESOP-owned shares are deducted from shareholders’ equity in our consolidated balance sheet. This repurchase right will terminate upon the closing of this offering and the listing of our common stock on the NASDAQ Global Select Market, which we sometimes refer to as the ESOP Repurchase Right Termination, whereupon our repurchase liability will be extinguished and thereafter the ESOP-owned shares will not be deducted from shareholders’ equity.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7470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9175" cy="7470775"/>
                    </a:xfrm>
                    <a:prstGeom prst="rect">
                      <a:avLst/>
                    </a:prstGeom>
                    <a:noFill/>
                  </pic:spPr>
                </pic:pic>
              </a:graphicData>
            </a:graphic>
          </wp:anchor>
        </w:drawing>
      </w: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120" w:right="40" w:firstLine="360"/>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that you should consider in making your investment decision. You should read the following summary together with the entire prospectus, including the matters discussed in the “Risk Factors” and “Management’s Discussion and Analysis of Financial Condition and Results of Operations” sections and the historical financial statements and the accompanying notes before deciding to invest in our common stock. Some of the statements in this prospectus constitute forward-looking statements. See “Forward-Looking Statements.”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200" w:firstLine="360"/>
        <w:spacing w:after="0" w:line="273" w:lineRule="auto"/>
        <w:rPr>
          <w:sz w:val="20"/>
          <w:szCs w:val="20"/>
          <w:color w:val="auto"/>
        </w:rPr>
      </w:pPr>
      <w:r>
        <w:rPr>
          <w:rFonts w:ascii="Arial" w:cs="Arial" w:eastAsia="Arial" w:hAnsi="Arial"/>
          <w:sz w:val="17"/>
          <w:szCs w:val="17"/>
          <w:color w:val="auto"/>
        </w:rPr>
        <w:t>We are a bank holding company headquartered in Lubbock, Texas, and our wholly-owned subsidiary,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70" w:lineRule="exact"/>
        <w:rPr>
          <w:sz w:val="20"/>
          <w:szCs w:val="20"/>
          <w:color w:val="auto"/>
        </w:rPr>
      </w:pPr>
    </w:p>
    <w:p>
      <w:pPr>
        <w:ind w:left="120" w:right="300" w:firstLine="360"/>
        <w:spacing w:after="0" w:line="277" w:lineRule="auto"/>
        <w:rPr>
          <w:sz w:val="20"/>
          <w:szCs w:val="20"/>
          <w:color w:val="auto"/>
        </w:rPr>
      </w:pPr>
      <w:r>
        <w:rPr>
          <w:rFonts w:ascii="Arial" w:cs="Arial" w:eastAsia="Arial" w:hAnsi="Arial"/>
          <w:sz w:val="18"/>
          <w:szCs w:val="18"/>
          <w:color w:val="auto"/>
        </w:rPr>
        <w:t>We had total assets of $2.7 billion, gross loans held for investment of $2.0 billion, total deposits of $2.3 billion, and total shareholders’ equity of $154.6 million as of December 31, 2018.</w:t>
      </w:r>
    </w:p>
    <w:p>
      <w:pPr>
        <w:spacing w:after="0" w:line="62" w:lineRule="exact"/>
        <w:rPr>
          <w:sz w:val="20"/>
          <w:szCs w:val="20"/>
          <w:color w:val="auto"/>
        </w:rPr>
      </w:pPr>
    </w:p>
    <w:p>
      <w:pPr>
        <w:ind w:left="120" w:firstLine="360"/>
        <w:spacing w:after="0" w:line="254" w:lineRule="auto"/>
        <w:rPr>
          <w:sz w:val="20"/>
          <w:szCs w:val="20"/>
          <w:color w:val="auto"/>
        </w:rPr>
      </w:pPr>
      <w:r>
        <w:rPr>
          <w:rFonts w:ascii="Arial" w:cs="Arial" w:eastAsia="Arial" w:hAnsi="Arial"/>
          <w:sz w:val="18"/>
          <w:szCs w:val="18"/>
          <w:color w:val="auto"/>
        </w:rPr>
        <w:t>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 In addition, unless otherwise stated, all information in this prospectus gives effect to a 29-for-1 stock dividend, whereby each holder of our common stock received 29 additional shares of common stock for each share owned as of the record date of , 2019, which was distributed on March 11, 2019. The stock dividend has the effect of a stock split on outstanding shares and per share figures, and it has been retroactively applied to all periods presented in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 and Growth</w:t>
      </w:r>
    </w:p>
    <w:p>
      <w:pPr>
        <w:spacing w:after="0" w:line="121" w:lineRule="exact"/>
        <w:rPr>
          <w:sz w:val="20"/>
          <w:szCs w:val="20"/>
          <w:color w:val="auto"/>
        </w:rPr>
      </w:pPr>
    </w:p>
    <w:p>
      <w:pPr>
        <w:ind w:left="120" w:right="20" w:firstLine="360"/>
        <w:spacing w:after="0" w:line="288" w:lineRule="auto"/>
        <w:rPr>
          <w:sz w:val="20"/>
          <w:szCs w:val="20"/>
          <w:color w:val="auto"/>
        </w:rPr>
      </w:pPr>
      <w:r>
        <w:rPr>
          <w:rFonts w:ascii="Arial" w:cs="Arial" w:eastAsia="Arial" w:hAnsi="Arial"/>
          <w:sz w:val="16"/>
          <w:szCs w:val="16"/>
          <w:color w:val="auto"/>
        </w:rPr>
        <w:t>Our company’s history dates back more than 75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South Plains Financial, Inc. had more than $175 million in assets upon the closing of these acquisitions.</w:t>
      </w:r>
    </w:p>
    <w:p>
      <w:pPr>
        <w:spacing w:after="0" w:line="60" w:lineRule="exact"/>
        <w:rPr>
          <w:sz w:val="20"/>
          <w:szCs w:val="20"/>
          <w:color w:val="auto"/>
        </w:rPr>
      </w:pPr>
    </w:p>
    <w:p>
      <w:pPr>
        <w:ind w:left="120" w:right="100" w:firstLine="360"/>
        <w:spacing w:after="0" w:line="293" w:lineRule="auto"/>
        <w:rPr>
          <w:sz w:val="20"/>
          <w:szCs w:val="20"/>
          <w:color w:val="auto"/>
        </w:rPr>
      </w:pPr>
      <w:r>
        <w:rPr>
          <w:rFonts w:ascii="Arial" w:cs="Arial" w:eastAsia="Arial" w:hAnsi="Arial"/>
          <w:sz w:val="16"/>
          <w:szCs w:val="16"/>
          <w:color w:val="auto"/>
        </w:rPr>
        <w:t>We currently operate 21 full-service banking locations across six geographic markets resulting from five acquisitions, de novo branches, and the formation of a de novo bank in Ruidoso, New Mexico, which we later merged into the Bank. We also operate 13 loan production offices both in our banking markets and in certain key areas that primarily focus on mortgage loan production.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all markets that we serve.</w:t>
      </w:r>
    </w:p>
    <w:p>
      <w:pPr>
        <w:spacing w:after="0" w:line="56" w:lineRule="exact"/>
        <w:rPr>
          <w:sz w:val="20"/>
          <w:szCs w:val="20"/>
          <w:color w:val="auto"/>
        </w:rPr>
      </w:pPr>
    </w:p>
    <w:p>
      <w:pPr>
        <w:ind w:left="120" w:right="40" w:firstLine="360"/>
        <w:spacing w:after="0" w:line="263" w:lineRule="auto"/>
        <w:rPr>
          <w:sz w:val="20"/>
          <w:szCs w:val="20"/>
          <w:color w:val="auto"/>
        </w:rPr>
      </w:pPr>
      <w:r>
        <w:rPr>
          <w:rFonts w:ascii="Arial" w:cs="Arial" w:eastAsia="Arial" w:hAnsi="Arial"/>
          <w:sz w:val="18"/>
          <w:szCs w:val="18"/>
          <w:color w:val="auto"/>
        </w:rPr>
        <w:t>We have worked diligently to produce balance sheet growth, increase our earnings power, maintain sound credit quality, grow core deposits, create operational efficiencies, and improve digital and in-branch customer experiences. Our success in these areas is demonstrated by our:</w:t>
      </w:r>
    </w:p>
    <w:p>
      <w:pPr>
        <w:spacing w:after="0" w:line="76" w:lineRule="exact"/>
        <w:rPr>
          <w:sz w:val="20"/>
          <w:szCs w:val="20"/>
          <w:color w:val="auto"/>
        </w:rPr>
      </w:pPr>
    </w:p>
    <w:p>
      <w:pPr>
        <w:ind w:left="820" w:right="420" w:hanging="351"/>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growth, with a compound annual growth rate, or CAGR, of 11.9% in net income for the five years ended December 31, 2018;</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7273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9175" cy="7273290"/>
                    </a:xfrm>
                    <a:prstGeom prst="rect">
                      <a:avLst/>
                    </a:prstGeom>
                    <a:noFill/>
                  </pic:spPr>
                </pic:pic>
              </a:graphicData>
            </a:graphic>
          </wp:anchor>
        </w:drawing>
      </w:r>
    </w:p>
    <w:p>
      <w:pPr>
        <w:spacing w:after="0" w:line="246" w:lineRule="exact"/>
        <w:rPr>
          <w:sz w:val="20"/>
          <w:szCs w:val="20"/>
          <w:color w:val="auto"/>
        </w:rPr>
      </w:pPr>
    </w:p>
    <w:p>
      <w:pPr>
        <w:ind w:left="820" w:hanging="35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growth, with a CAGR of 7.1% for the period December 31, 2013 to December 31, 2018;</w:t>
      </w:r>
    </w:p>
    <w:p>
      <w:pPr>
        <w:spacing w:after="0" w:line="117" w:lineRule="exact"/>
        <w:rPr>
          <w:rFonts w:ascii="Arial" w:cs="Arial" w:eastAsia="Arial" w:hAnsi="Arial"/>
          <w:sz w:val="18"/>
          <w:szCs w:val="18"/>
          <w:color w:val="auto"/>
        </w:rPr>
      </w:pPr>
    </w:p>
    <w:p>
      <w:pPr>
        <w:ind w:left="820" w:right="280" w:hanging="351"/>
        <w:spacing w:after="0" w:line="34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Strong asset quality metrics, with a net charge-offs to average loans ratio of 0.27% for the year ended December 31, 2018 and our nonperforming assets representing 0.47% of our loans and OREO as of December 31, 2018; and</w:t>
      </w:r>
    </w:p>
    <w:p>
      <w:pPr>
        <w:spacing w:after="0" w:line="15" w:lineRule="exact"/>
        <w:rPr>
          <w:rFonts w:ascii="Arial" w:cs="Arial" w:eastAsia="Arial" w:hAnsi="Arial"/>
          <w:sz w:val="16"/>
          <w:szCs w:val="16"/>
          <w:color w:val="auto"/>
        </w:rPr>
      </w:pPr>
    </w:p>
    <w:p>
      <w:pPr>
        <w:ind w:left="820" w:right="220" w:hanging="351"/>
        <w:spacing w:after="0" w:line="311"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Core deposit base, which includes deposits obtained directly from depositors and excludes time deposits in excess of $250,000, deposits obtained from listing services, and brokered deposits, represented 90.4% of total deposits as of December 31, 2018, and our cost of total deposits, which was 0.80% for the year ended December 31, 2018.</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60" w:firstLine="360"/>
        <w:spacing w:after="0" w:line="263" w:lineRule="auto"/>
        <w:rPr>
          <w:sz w:val="20"/>
          <w:szCs w:val="20"/>
          <w:color w:val="auto"/>
        </w:rPr>
      </w:pPr>
      <w:r>
        <w:rPr>
          <w:rFonts w:ascii="Arial" w:cs="Arial" w:eastAsia="Arial" w:hAnsi="Arial"/>
          <w:sz w:val="18"/>
          <w:szCs w:val="18"/>
          <w:color w:val="auto"/>
        </w:rPr>
        <w:t>Our strategy is to deliver best-in-class customer service and achieve our goal of becoming the preferred community bank in our market areas. We aim to increase shareholder value by achieving profitable growth and operating leverage through a combination of:</w:t>
      </w:r>
    </w:p>
    <w:p>
      <w:pPr>
        <w:spacing w:after="0" w:line="76" w:lineRule="exact"/>
        <w:rPr>
          <w:sz w:val="20"/>
          <w:szCs w:val="20"/>
          <w:color w:val="auto"/>
        </w:rPr>
      </w:pPr>
    </w:p>
    <w:p>
      <w:pPr>
        <w:ind w:left="820" w:right="40" w:hanging="351"/>
        <w:spacing w:after="0" w:line="255"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Organic Growth</w:t>
      </w:r>
      <w:r>
        <w:rPr>
          <w:rFonts w:ascii="Arial" w:cs="Arial" w:eastAsia="Arial" w:hAnsi="Arial"/>
          <w:sz w:val="18"/>
          <w:szCs w:val="18"/>
          <w:color w:val="auto"/>
        </w:rPr>
        <w:t>. We focus primarily on the organic growth of existing business lines in our current market areas.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customer-service driven, community-focused business model differentiates our company from competitors, many of which are larger out-of-market banks. Our strategy is to continue gathering low-cost deposits in these nonmetropolitan markets and deploy them in larger, more dynamic lending markets. The following shows our total deposits and gross loans held for investment in our community markets and our metropolitan markets as of December 31, 2018, which we believe illustrates this strategy.</w:t>
      </w:r>
    </w:p>
    <w:p>
      <w:pPr>
        <w:spacing w:after="0" w:line="39"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Deposits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2"/>
              </w:rPr>
              <w:t>Loans</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Loans/</w:t>
            </w:r>
          </w:p>
        </w:tc>
      </w:tr>
      <w:tr>
        <w:trPr>
          <w:trHeight w:val="189"/>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Overall %</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Overall %</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Deposits</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Metropolitan markets</w:t>
            </w:r>
            <w:r>
              <w:rPr>
                <w:rFonts w:ascii="Arial" w:cs="Arial" w:eastAsia="Arial" w:hAnsi="Arial"/>
                <w:sz w:val="28"/>
                <w:szCs w:val="28"/>
                <w:color w:val="auto"/>
                <w:vertAlign w:val="superscript"/>
              </w:rPr>
              <w:t>(1)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394,756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567,394</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143.7%</w:t>
            </w:r>
          </w:p>
        </w:tc>
      </w:tr>
      <w:tr>
        <w:trPr>
          <w:trHeight w:val="390"/>
        </w:trPr>
        <w:tc>
          <w:tcPr>
            <w:tcW w:w="2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Community markets</w:t>
            </w:r>
            <w:r>
              <w:rPr>
                <w:rFonts w:ascii="Arial" w:cs="Arial" w:eastAsia="Arial" w:hAnsi="Arial"/>
                <w:sz w:val="29"/>
                <w:szCs w:val="29"/>
                <w:color w:val="auto"/>
                <w:vertAlign w:val="superscript"/>
              </w:rPr>
              <w:t>(2)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1,882,698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1,389,803</w:t>
            </w:r>
          </w:p>
        </w:tc>
        <w:tc>
          <w:tcPr>
            <w:tcW w:w="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r>
    </w:tbl>
    <w:p>
      <w:pPr>
        <w:spacing w:after="0" w:line="9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 Dollar amounts in thousands.</w:t>
      </w:r>
    </w:p>
    <w:p>
      <w:pPr>
        <w:spacing w:after="0" w:line="109" w:lineRule="exact"/>
        <w:rPr>
          <w:sz w:val="20"/>
          <w:szCs w:val="20"/>
          <w:color w:val="auto"/>
        </w:rPr>
      </w:pPr>
    </w:p>
    <w:p>
      <w:pPr>
        <w:ind w:left="1180" w:hanging="346"/>
        <w:spacing w:after="0"/>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three Dallas, TX branches, two El Paso, TX branches, and one Houston, TX branch.</w:t>
      </w:r>
    </w:p>
    <w:p>
      <w:pPr>
        <w:spacing w:after="0" w:line="109" w:lineRule="exact"/>
        <w:rPr>
          <w:rFonts w:ascii="Arial" w:cs="Arial" w:eastAsia="Arial" w:hAnsi="Arial"/>
          <w:sz w:val="14"/>
          <w:szCs w:val="14"/>
          <w:color w:val="auto"/>
        </w:rPr>
      </w:pPr>
    </w:p>
    <w:p>
      <w:pPr>
        <w:ind w:left="1180" w:right="180" w:hanging="346"/>
        <w:spacing w:after="0" w:line="273"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twelve branches in the Lubbock/South Plains market area, two branches in Ruidoso/Eastern, NM, and one branch in Bryan/College Station, TX.</w:t>
      </w:r>
    </w:p>
    <w:p>
      <w:pPr>
        <w:spacing w:after="0" w:line="57" w:lineRule="exact"/>
        <w:rPr>
          <w:sz w:val="20"/>
          <w:szCs w:val="20"/>
          <w:color w:val="auto"/>
        </w:rPr>
      </w:pPr>
    </w:p>
    <w:p>
      <w:pPr>
        <w:ind w:left="840"/>
        <w:spacing w:after="0" w:line="257" w:lineRule="auto"/>
        <w:rPr>
          <w:sz w:val="20"/>
          <w:szCs w:val="20"/>
          <w:color w:val="auto"/>
        </w:rPr>
      </w:pPr>
      <w:r>
        <w:rPr>
          <w:rFonts w:ascii="Arial" w:cs="Arial" w:eastAsia="Arial" w:hAnsi="Arial"/>
          <w:sz w:val="18"/>
          <w:szCs w:val="18"/>
          <w:color w:val="auto"/>
        </w:rPr>
        <w:t>In addition, we intend to actively recruit additional lenders and employees from other institutions. We have had success in this area which we believe is attributable to our employee ownership, long-standing market presence and desirable culture in which our employees can thrive. Finally, we cross-sell our various banking products, including our deposits and treasury wealth management to our commercial loan customers, which we believe provides a basis for expanding our banking relationships.</w:t>
      </w:r>
    </w:p>
    <w:p>
      <w:pPr>
        <w:spacing w:after="0" w:line="80" w:lineRule="exact"/>
        <w:rPr>
          <w:sz w:val="20"/>
          <w:szCs w:val="20"/>
          <w:color w:val="auto"/>
        </w:rPr>
      </w:pPr>
    </w:p>
    <w:p>
      <w:pPr>
        <w:ind w:left="820" w:hanging="351"/>
        <w:spacing w:after="0" w:line="268"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Growth Through Acquisitions</w:t>
      </w:r>
      <w:r>
        <w:rPr>
          <w:rFonts w:ascii="Arial" w:cs="Arial" w:eastAsia="Arial" w:hAnsi="Arial"/>
          <w:sz w:val="17"/>
          <w:szCs w:val="17"/>
          <w:color w:val="auto"/>
        </w:rPr>
        <w:t>. We intend to take advantage of strategic acquisition opportunities, including using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as public currency to become a logical consolidator in our market areas. As of December 31, 2018, there were more than 160 banks in Texas and New Mexico with total assets between $250 million and $1.0 billion, which provides us with ample opportunities to make acquisitions that increase shareholder value both in our existing markets and in attractive new markets in those states. Catalysts for acquisition activity include scale and operational issues, excessive regulation, shareholder liquidity needs, and management succession concerns. We believe that our longstanding presence in West Texas, our culture of emphasizing employees as our most important asset, and our financial commitment to helping our communities will give us a significant advantage in making us an acquirer of choice. We acquired an online mortgage platform and staff from an Overland Park, Kansas-based mortgage company at the end of November 2018 as part of our strategy to enhance our consumer-direct business model for our mortgage operations to accompany our traditional brick-and-mortar delivery channels. We employ 35 full-time employees at this location. We are not currently party to any arrangements, understandings, or agreements to make any material acquisitions.</w:t>
      </w:r>
    </w:p>
    <w:p>
      <w:pPr>
        <w:spacing w:after="0" w:line="78" w:lineRule="exact"/>
        <w:rPr>
          <w:rFonts w:ascii="Arial" w:cs="Arial" w:eastAsia="Arial" w:hAnsi="Arial"/>
          <w:sz w:val="17"/>
          <w:szCs w:val="17"/>
          <w:color w:val="auto"/>
        </w:rPr>
      </w:pPr>
    </w:p>
    <w:p>
      <w:pPr>
        <w:ind w:left="820" w:right="20" w:hanging="351"/>
        <w:spacing w:after="0" w:line="263"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Operational Improvements Through Enterprise Risk Management</w:t>
      </w:r>
      <w:r>
        <w:rPr>
          <w:rFonts w:ascii="Arial" w:cs="Arial" w:eastAsia="Arial" w:hAnsi="Arial"/>
          <w:sz w:val="18"/>
          <w:szCs w:val="18"/>
          <w:color w:val="auto"/>
        </w:rPr>
        <w:t>. We implemented a rigorous enterprise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or ERM, system in the aftermath of the financial crisis, and view this development as a defining event for our institution. This system delivers a systematic approach to risk</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40"/>
          </w:cols>
          <w:pgMar w:left="1160" w:top="279" w:right="129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671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99175" cy="6716395"/>
                    </a:xfrm>
                    <a:prstGeom prst="rect">
                      <a:avLst/>
                    </a:prstGeom>
                    <a:noFill/>
                  </pic:spPr>
                </pic:pic>
              </a:graphicData>
            </a:graphic>
          </wp:anchor>
        </w:drawing>
      </w:r>
    </w:p>
    <w:p>
      <w:pPr>
        <w:spacing w:after="0" w:line="138" w:lineRule="exact"/>
        <w:rPr>
          <w:sz w:val="20"/>
          <w:szCs w:val="20"/>
          <w:color w:val="auto"/>
        </w:rPr>
      </w:pPr>
    </w:p>
    <w:p>
      <w:pPr>
        <w:ind w:left="840" w:right="20"/>
        <w:spacing w:after="0" w:line="289" w:lineRule="auto"/>
        <w:rPr>
          <w:sz w:val="20"/>
          <w:szCs w:val="20"/>
          <w:color w:val="auto"/>
        </w:rPr>
      </w:pPr>
      <w:r>
        <w:rPr>
          <w:rFonts w:ascii="Arial" w:cs="Arial" w:eastAsia="Arial" w:hAnsi="Arial"/>
          <w:sz w:val="16"/>
          <w:szCs w:val="16"/>
          <w:color w:val="auto"/>
        </w:rPr>
        <w:t>measurement and enhances the effectiveness of risk management across the institution. Integrating this system into our culture and strategic decision making has improved all functional areas of the business. Our asset quality has improved significantly by enhancing our underwriting process and establishing a specific credit appetite that aligns to the broader enterprise risk management framework. Operational oversight has been heightened to include monitoring for potential personnel, process and systems issues. We have also implemented monitoring and controls for other functional areas such as information security and technology, vendor management, liquidity, interest rate risk, compliance and company reputation. We believe the ERM program has positioned our company to better consummate acquisitions with less risk and increased cost savings. In addition, we believe we are one of the only community banks in our size range and market area to implement such a comprehensive risk management system.</w:t>
      </w:r>
    </w:p>
    <w:p>
      <w:pPr>
        <w:spacing w:after="0" w:line="58" w:lineRule="exact"/>
        <w:rPr>
          <w:sz w:val="20"/>
          <w:szCs w:val="20"/>
          <w:color w:val="auto"/>
        </w:rPr>
      </w:pPr>
    </w:p>
    <w:p>
      <w:pPr>
        <w:ind w:left="820" w:right="140" w:hanging="351"/>
        <w:spacing w:after="0" w:line="270"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Improving Efficiency and Profitability</w:t>
      </w:r>
      <w:r>
        <w:rPr>
          <w:rFonts w:ascii="Arial" w:cs="Arial" w:eastAsia="Arial" w:hAnsi="Arial"/>
          <w:sz w:val="17"/>
          <w:szCs w:val="17"/>
          <w:color w:val="auto"/>
        </w:rPr>
        <w:t>. We have invested in a number of systems and processes that we believe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to those of much larger financial institutions. These include our new operations center located in Lubbock which houses back-office processing for deposit operations, loan operations, mortgage operations, and corporate training. We are also investing in digital and payments technologies to increase efficiencies and streamline processes. These technologies including remote deposit capture software for business customers, expanded usage of electronic signatures, online account tools, and technologies that facilitate more efficient item processing. We believe these investments will allow us to scale our business without commensurate additional expenses and help us further reduce our efficiency ratio over time. Our efficiency ratio was 77.6% and 77.9% for the years ended December 31, 2018 and 2017, respectively.</w:t>
      </w:r>
    </w:p>
    <w:p>
      <w:pPr>
        <w:spacing w:after="0" w:line="72" w:lineRule="exact"/>
        <w:rPr>
          <w:rFonts w:ascii="Arial" w:cs="Arial" w:eastAsia="Arial" w:hAnsi="Arial"/>
          <w:sz w:val="17"/>
          <w:szCs w:val="17"/>
          <w:color w:val="auto"/>
        </w:rPr>
      </w:pPr>
    </w:p>
    <w:p>
      <w:pPr>
        <w:ind w:left="820" w:hanging="351"/>
        <w:spacing w:after="0" w:line="289"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Emphasize Community Banking</w:t>
      </w:r>
      <w:r>
        <w:rPr>
          <w:rFonts w:ascii="Arial" w:cs="Arial" w:eastAsia="Arial" w:hAnsi="Arial"/>
          <w:sz w:val="16"/>
          <w:szCs w:val="16"/>
          <w:color w:val="auto"/>
        </w:rPr>
        <w:t>. We intend to continue operating our subsidiary bank as a community banking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 focused on meeting the specific needs of individuals and small and medium-sized businesses in our market areas. We will continue to provide a high degree of responsiveness and a wide variety of banking products and services to our customers. Our history and focus is centered on being a dominant bank in the smaller markets we serve. Our employees are engaged in numerous community activities and organizations beyond the bank and our consistent corporate message is that the success of our communities will drive the success of the Bank. We strive to meet all the financial needs of customers in those markets with outstanding products and service. We seek to leverage our banking platform as we expand into large metropolitan markets such as Dallas and Houston where we target customers looking for our relationship-based approach to banking and our sophisticated products and services.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20" w:right="120" w:hanging="351"/>
        <w:spacing w:after="0" w:line="25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Management Depth and Experience. </w:t>
      </w:r>
      <w:r>
        <w:rPr>
          <w:rFonts w:ascii="Arial" w:cs="Arial" w:eastAsia="Arial" w:hAnsi="Arial"/>
          <w:sz w:val="18"/>
          <w:szCs w:val="18"/>
          <w:color w:val="auto"/>
        </w:rPr>
        <w:t>Our executive management team has an average of 31 years of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banking experience with strong track records and deep customer relationships in our markets. We believe that our executive team has significant depth in areas such as lending, loan administration, business operations, finance, accounting, and technology. Our management team has significant tenure with the Bank. Our Chairman and Chief Executive Officer, Curtis C. Griffith, has worked with our President, Cory T. Newsom, for over 28 years. Together the executive team has successfully managed profitable growth for the institution while also managing credit quality through economic downturns.</w:t>
      </w:r>
    </w:p>
    <w:p>
      <w:pPr>
        <w:sectPr>
          <w:pgSz w:w="11900" w:h="16838" w:orient="portrait"/>
          <w:cols w:equalWidth="0" w:num="1">
            <w:col w:w="9460"/>
          </w:cols>
          <w:pgMar w:left="1160" w:top="279" w:right="1279" w:bottom="1440" w:gutter="0" w:footer="0" w:header="0"/>
        </w:sectPr>
      </w:pPr>
    </w:p>
    <w:p>
      <w:pPr>
        <w:spacing w:after="0" w:line="91" w:lineRule="exact"/>
        <w:rPr>
          <w:sz w:val="20"/>
          <w:szCs w:val="20"/>
          <w:color w:val="auto"/>
        </w:rPr>
      </w:pPr>
    </w:p>
    <w:p>
      <w:pPr>
        <w:ind w:left="84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4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i w:val="1"/>
          <w:iCs w:val="1"/>
          <w:color w:val="auto"/>
        </w:rPr>
        <w:t xml:space="preserve">Curtis C. Griffith </w:t>
      </w:r>
      <w:r>
        <w:rPr>
          <w:rFonts w:ascii="Arial" w:cs="Arial" w:eastAsia="Arial" w:hAnsi="Arial"/>
          <w:sz w:val="16"/>
          <w:szCs w:val="16"/>
          <w:i w:val="1"/>
          <w:iCs w:val="1"/>
          <w:color w:val="auto"/>
        </w:rPr>
        <w:t>– Chairman and Chief Executive Officer – Age 66</w:t>
      </w:r>
      <w:r>
        <w:rPr>
          <w:rFonts w:ascii="Arial" w:cs="Arial" w:eastAsia="Arial" w:hAnsi="Arial"/>
          <w:sz w:val="16"/>
          <w:szCs w:val="16"/>
          <w:color w:val="auto"/>
        </w:rPr>
        <w:t>. Mr. Griffith has been with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its inception and has worked with the Bank and its predecessor institutions for over 47 years. Mr. Griffith became our Chairman and President in 1993, with his title shifting to Chairman and Chief Executive Officer earlier this year in connection with a general update of our executive team's titles. In 1972, he was elected to the board of directors of First State Bank of Morton, Texas, a predecessor institution to the Bank, and continues to serve on the board of directors of the Bank. He has served on the board of directors of the Independent Bankers Association of Texas, or IBAT, and continues to serve on the Legislative and PAC committees for IBAT.</w:t>
      </w:r>
    </w:p>
    <w:p>
      <w:pPr>
        <w:spacing w:after="0" w:line="5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 xml:space="preserve">Cory T. Newsom </w:t>
      </w:r>
      <w:r>
        <w:rPr>
          <w:rFonts w:ascii="Arial" w:cs="Arial" w:eastAsia="Arial" w:hAnsi="Arial"/>
          <w:sz w:val="17"/>
          <w:szCs w:val="17"/>
          <w:i w:val="1"/>
          <w:iCs w:val="1"/>
          <w:color w:val="auto"/>
        </w:rPr>
        <w:t>– Director and President – Age 51</w:t>
      </w:r>
      <w:r>
        <w:rPr>
          <w:rFonts w:ascii="Arial" w:cs="Arial" w:eastAsia="Arial" w:hAnsi="Arial"/>
          <w:sz w:val="17"/>
          <w:szCs w:val="17"/>
          <w:color w:val="auto"/>
        </w:rPr>
        <w:t>. Mr. Newsom began his 36-year career in banking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progressing through our lending and operations areas. He currently serves as President</w:t>
      </w:r>
    </w:p>
    <w:p>
      <w:pPr>
        <w:spacing w:after="0" w:line="200" w:lineRule="exact"/>
        <w:rPr>
          <w:sz w:val="20"/>
          <w:szCs w:val="20"/>
          <w:color w:val="auto"/>
        </w:rPr>
      </w:pPr>
    </w:p>
    <w:p>
      <w:pPr>
        <w:sectPr>
          <w:pgSz w:w="11900" w:h="16838" w:orient="portrait"/>
          <w:cols w:equalWidth="0" w:num="2">
            <w:col w:w="900" w:space="280"/>
            <w:col w:w="8280"/>
          </w:cols>
          <w:pgMar w:left="1160" w:top="279" w:right="1279" w:bottom="1440" w:gutter="0" w:footer="0" w:header="0"/>
          <w:type w:val="continuous"/>
        </w:sect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334010</wp:posOffset>
            </wp:positionV>
            <wp:extent cx="606933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4796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9175" cy="4796155"/>
                    </a:xfrm>
                    <a:prstGeom prst="rect">
                      <a:avLst/>
                    </a:prstGeom>
                    <a:noFill/>
                  </pic:spPr>
                </pic:pic>
              </a:graphicData>
            </a:graphic>
          </wp:anchor>
        </w:drawing>
      </w:r>
    </w:p>
    <w:p>
      <w:pPr>
        <w:sectPr>
          <w:pgSz w:w="11900" w:h="16838" w:orient="portrait"/>
          <w:cols w:equalWidth="0" w:num="1">
            <w:col w:w="9440"/>
          </w:cols>
          <w:pgMar w:left="1160" w:top="279"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4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4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4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4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ind w:left="20" w:right="40"/>
        <w:spacing w:after="0" w:line="263" w:lineRule="auto"/>
        <w:rPr>
          <w:sz w:val="20"/>
          <w:szCs w:val="20"/>
          <w:color w:val="auto"/>
        </w:rPr>
      </w:pPr>
      <w:r>
        <w:rPr>
          <w:rFonts w:ascii="Arial" w:cs="Arial" w:eastAsia="Arial" w:hAnsi="Arial"/>
          <w:sz w:val="18"/>
          <w:szCs w:val="18"/>
          <w:color w:val="auto"/>
        </w:rPr>
        <w:t>of the Company and serves on the board of directors of the Company and the Bank. Mr. Newsom served as Chief Operating Officer of the Bank before being named President and Chief Executive Officer of the Bank in 2008. He also serves on the board of directors of IBAT.</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Steven B. Crockett </w:t>
      </w:r>
      <w:r>
        <w:rPr>
          <w:rFonts w:ascii="Arial" w:cs="Arial" w:eastAsia="Arial" w:hAnsi="Arial"/>
          <w:sz w:val="17"/>
          <w:szCs w:val="17"/>
          <w:i w:val="1"/>
          <w:iCs w:val="1"/>
          <w:color w:val="auto"/>
        </w:rPr>
        <w:t>– Chief Financial Officer and Treasurer – Age 47</w:t>
      </w:r>
      <w:r>
        <w:rPr>
          <w:rFonts w:ascii="Arial" w:cs="Arial" w:eastAsia="Arial" w:hAnsi="Arial"/>
          <w:sz w:val="17"/>
          <w:szCs w:val="17"/>
          <w:color w:val="auto"/>
        </w:rPr>
        <w:t>. Mr. Crockett has served as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Treasurer of the Company and as Chief Financial Officer of the Bank since 2015. He previously served as Senior Vice President and Controller of the Company from 2010 to 2014 and as Controller of the Bank from 2001 to 2014. As Controller, he was responsible for financial and regulatory reporting, coordinating financial statement audits, budgeting, capital forecasting, and financial projections. Before joining the Bank, he practiced in public accounting for seven years with an accounting firm that had previously functioned as a practicing office of PricewaterhouseCoopers, LLP in Lubbock, Texas.</w:t>
      </w:r>
    </w:p>
    <w:p>
      <w:pPr>
        <w:spacing w:after="0" w:line="6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Kevin R. Bass </w:t>
      </w:r>
      <w:r>
        <w:rPr>
          <w:rFonts w:ascii="Arial" w:cs="Arial" w:eastAsia="Arial" w:hAnsi="Arial"/>
          <w:sz w:val="17"/>
          <w:szCs w:val="17"/>
          <w:i w:val="1"/>
          <w:iCs w:val="1"/>
          <w:color w:val="auto"/>
        </w:rPr>
        <w:t>– Chief Credit Officer – Age 52</w:t>
      </w:r>
      <w:r>
        <w:rPr>
          <w:rFonts w:ascii="Arial" w:cs="Arial" w:eastAsia="Arial" w:hAnsi="Arial"/>
          <w:sz w:val="17"/>
          <w:szCs w:val="17"/>
          <w:color w:val="auto"/>
        </w:rPr>
        <w:t>. Mr. Bass began his 31-year career in banking as a credit analyst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serving as a bank regulator with the Texas Department of Banking for four years. He started with the Bank in 1995 as an asset review officer and currently serves as the Chief Credit Officer of each of the Company and the Bank. He has served on the board of directors of the Bank since 2006.</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Mikella D. Newsom </w:t>
      </w:r>
      <w:r>
        <w:rPr>
          <w:rFonts w:ascii="Arial" w:cs="Arial" w:eastAsia="Arial" w:hAnsi="Arial"/>
          <w:sz w:val="18"/>
          <w:szCs w:val="18"/>
          <w:i w:val="1"/>
          <w:iCs w:val="1"/>
          <w:color w:val="auto"/>
        </w:rPr>
        <w:t>– Chief Risk Officer and Secretary – Age 44</w:t>
      </w:r>
      <w:r>
        <w:rPr>
          <w:rFonts w:ascii="Arial" w:cs="Arial" w:eastAsia="Arial" w:hAnsi="Arial"/>
          <w:sz w:val="18"/>
          <w:szCs w:val="18"/>
          <w:color w:val="auto"/>
        </w:rPr>
        <w:t>. Ms. Newsom has a 23-year banking career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started at First State Bank of Morton, a predecessor institution to the Bank. She currently serves as Chief Risk Officer and Secretary of the Company and Chief Risk Officer of the Bank. She previously held the position of Chief Financial Officer of the Bank. She is a member of the Risk Management Association and the Texas Bankers Association where she serves on the Chief Risk Officer steering committee. Ms. Newsom has no familial relationship with Cory Newsom.</w:t>
      </w:r>
    </w:p>
    <w:p>
      <w:pPr>
        <w:spacing w:after="0" w:line="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Kelly L. Deterding </w:t>
      </w:r>
      <w:r>
        <w:rPr>
          <w:rFonts w:ascii="Arial" w:cs="Arial" w:eastAsia="Arial" w:hAnsi="Arial"/>
          <w:sz w:val="16"/>
          <w:szCs w:val="16"/>
          <w:i w:val="1"/>
          <w:iCs w:val="1"/>
          <w:color w:val="auto"/>
        </w:rPr>
        <w:t>– President of Windmark Insurance Agency, Inc. and Senior Vice President,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Development of City Bank – Age 61</w:t>
      </w:r>
      <w:r>
        <w:rPr>
          <w:rFonts w:ascii="Arial" w:cs="Arial" w:eastAsia="Arial" w:hAnsi="Arial"/>
          <w:sz w:val="16"/>
          <w:szCs w:val="16"/>
          <w:color w:val="auto"/>
        </w:rPr>
        <w:t>. Mr. Deterding has served as President of Windmark Insurance Agency, Inc.,</w:t>
      </w:r>
      <w:r>
        <w:rPr>
          <w:rFonts w:ascii="Arial" w:cs="Arial" w:eastAsia="Arial" w:hAnsi="Arial"/>
          <w:sz w:val="16"/>
          <w:szCs w:val="16"/>
          <w:i w:val="1"/>
          <w:iCs w:val="1"/>
          <w:color w:val="auto"/>
        </w:rPr>
        <w:t xml:space="preserve"> </w:t>
      </w:r>
      <w:r>
        <w:rPr>
          <w:rFonts w:ascii="Arial" w:cs="Arial" w:eastAsia="Arial" w:hAnsi="Arial"/>
          <w:sz w:val="16"/>
          <w:szCs w:val="16"/>
          <w:color w:val="auto"/>
        </w:rPr>
        <w:t>or Windmark Insurance, and as Senior Vice President of Insurance Development at the Bank since 2003. He has worked in the crop insurance industry since 1996, previously serving as an adjuster, a claims supervisor and a marketing representative for American Agrisurance. Mr. Deterding is also involved in several U.S. industry trade associations that represent the interests of the private sector crop insurance industry.</w:t>
      </w:r>
    </w:p>
    <w:p>
      <w:pPr>
        <w:spacing w:after="0" w:line="56" w:lineRule="exact"/>
        <w:rPr>
          <w:sz w:val="20"/>
          <w:szCs w:val="20"/>
          <w:color w:val="auto"/>
        </w:rPr>
      </w:pPr>
    </w:p>
    <w:p>
      <w:pPr>
        <w:sectPr>
          <w:pgSz w:w="11900" w:h="16838" w:orient="portrait"/>
          <w:cols w:equalWidth="0" w:num="2">
            <w:col w:w="900" w:space="280"/>
            <w:col w:w="8260"/>
          </w:cols>
          <w:pgMar w:left="1160" w:top="279" w:right="1299" w:bottom="1440" w:gutter="0" w:footer="0" w:header="0"/>
          <w:type w:val="continuous"/>
        </w:sectPr>
      </w:pPr>
    </w:p>
    <w:p>
      <w:pPr>
        <w:ind w:left="820" w:right="100" w:hanging="351"/>
        <w:spacing w:after="0" w:line="25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Low Cost Core-Deposit Base</w:t>
      </w:r>
      <w:r>
        <w:rPr>
          <w:rFonts w:ascii="Arial" w:cs="Arial" w:eastAsia="Arial" w:hAnsi="Arial"/>
          <w:sz w:val="18"/>
          <w:szCs w:val="18"/>
          <w:color w:val="auto"/>
        </w:rPr>
        <w:t>. We have built a strong core deposit base over many years by providing quality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services to customers in our market areas. We offer retail deposit services through our existing branch network, as well as digital banking products. Core deposits totaled $2.1 billion, or 90.4% of total deposits, and noninterest bearing deposits totaled $510.1 million, or 22.4% of total deposits as of December 31, 2018. Our cost of total deposits was 0.80% for the year ended December 31, 2018.</w:t>
      </w: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40"/>
          </w:cols>
          <w:pgMar w:left="1160" w:top="279" w:right="129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7547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9175" cy="754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20" w:hanging="351"/>
        <w:spacing w:after="0" w:line="25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Well-Balanced Loan Portfolio</w:t>
      </w:r>
      <w:r>
        <w:rPr>
          <w:rFonts w:ascii="Arial" w:cs="Arial" w:eastAsia="Arial" w:hAnsi="Arial"/>
          <w:sz w:val="18"/>
          <w:szCs w:val="18"/>
          <w:color w:val="auto"/>
        </w:rPr>
        <w:t>. We lend to both individual and business borrowers, with 68.9% of loans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customers, and 31.1% of loans made to individual customers as of December 31, 2018. The Bank establishes a personal relationship with its customers and their businesses, with the goal of creating the right loans for the right borrowers and the right properties.</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graph shows each major category of our loan portfolio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20" w:right="40" w:hanging="351"/>
        <w:spacing w:after="0" w:line="263"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Strong Asset Quality</w:t>
      </w:r>
      <w:r>
        <w:rPr>
          <w:rFonts w:ascii="Arial" w:cs="Arial" w:eastAsia="Arial" w:hAnsi="Arial"/>
          <w:sz w:val="18"/>
          <w:szCs w:val="18"/>
          <w:color w:val="auto"/>
        </w:rPr>
        <w:t>. We believe our in-depth knowledge of our markets and customers, as well as the implementation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consistent and conservative underwriting, has allowed us to maintain strong asset quality over time. Our nonperforming assets were $9.2 million as of December 31, 2018, which</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40"/>
          </w:cols>
          <w:pgMar w:left="1160" w:top="279" w:right="129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6998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9175" cy="6998970"/>
                    </a:xfrm>
                    <a:prstGeom prst="rect">
                      <a:avLst/>
                    </a:prstGeom>
                    <a:noFill/>
                  </pic:spPr>
                </pic:pic>
              </a:graphicData>
            </a:graphic>
          </wp:anchor>
        </w:drawing>
      </w:r>
    </w:p>
    <w:p>
      <w:pPr>
        <w:spacing w:after="0" w:line="138" w:lineRule="exact"/>
        <w:rPr>
          <w:sz w:val="20"/>
          <w:szCs w:val="20"/>
          <w:color w:val="auto"/>
        </w:rPr>
      </w:pPr>
    </w:p>
    <w:p>
      <w:pPr>
        <w:ind w:left="840" w:right="20"/>
        <w:spacing w:after="0" w:line="263" w:lineRule="auto"/>
        <w:rPr>
          <w:sz w:val="20"/>
          <w:szCs w:val="20"/>
          <w:color w:val="auto"/>
        </w:rPr>
      </w:pPr>
      <w:r>
        <w:rPr>
          <w:rFonts w:ascii="Arial" w:cs="Arial" w:eastAsia="Arial" w:hAnsi="Arial"/>
          <w:sz w:val="18"/>
          <w:szCs w:val="18"/>
          <w:color w:val="auto"/>
        </w:rPr>
        <w:t>represents less than 0.47% of our loans and OREO. Our net charge-offs as a percentage of average loans was 0.27% for the year ended December 31, 2018. Additionally, our loan loss reserve to nonperforming loans ratio was 332.6%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20" w:hanging="351"/>
        <w:spacing w:after="0" w:line="271"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Fee Income</w:t>
      </w:r>
      <w:r>
        <w:rPr>
          <w:rFonts w:ascii="Arial" w:cs="Arial" w:eastAsia="Arial" w:hAnsi="Arial"/>
          <w:sz w:val="17"/>
          <w:szCs w:val="17"/>
          <w:color w:val="auto"/>
        </w:rPr>
        <w:t>. Our fee income is primarily driven by our mortgage operations, debit card and other bank service charge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and income for our insurance, trust and investment services business. Fee income comprised 35.3% of our total revenue for the year ended December 31, 2018. This compares to a median fee income of 10.3% of total revenue for major exchange-traded banks headquartered in Texas with total assets between $1.0 billion and $5.0 billion and 15.6% of total revenue for all banks headquartered in Texas with total assets between $1.0 billion and $5.0 billion. Our fee income provides shareholders with a recurring and diversified earnings stream. Total fee income was $52.1 million for the year ended December 31, 2018 and has increased significantly over the past five years due primarily to growth and improved performance in our mortgage banking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20" w:right="60" w:hanging="351"/>
        <w:spacing w:after="0" w:line="25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Outstanding Place to Work</w:t>
      </w:r>
      <w:r>
        <w:rPr>
          <w:rFonts w:ascii="Arial" w:cs="Arial" w:eastAsia="Arial" w:hAnsi="Arial"/>
          <w:sz w:val="18"/>
          <w:szCs w:val="18"/>
          <w:color w:val="auto"/>
        </w:rPr>
        <w:t>. The Bank has been repeatedly recognized as an outstanding place to work, with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Banker naming it one of the “Best Banks to Work For” for six consecutive years and ranking it the number 13 bank in the nation in 2018. We believe that we provide excellent pay and benefits to our employees as well as a safe and inviting workplace. Our employees respond with loyalty and by making us known in our communities as a bank that does the right things for the right reasons.</w:t>
      </w:r>
    </w:p>
    <w:p>
      <w:pPr>
        <w:spacing w:after="0" w:line="79" w:lineRule="exact"/>
        <w:rPr>
          <w:rFonts w:ascii="Arial" w:cs="Arial" w:eastAsia="Arial" w:hAnsi="Arial"/>
          <w:sz w:val="18"/>
          <w:szCs w:val="18"/>
          <w:color w:val="auto"/>
        </w:rPr>
      </w:pPr>
    </w:p>
    <w:p>
      <w:pPr>
        <w:ind w:left="820" w:right="140" w:hanging="351"/>
        <w:spacing w:after="0" w:line="259"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Inside Ownership</w:t>
      </w:r>
      <w:r>
        <w:rPr>
          <w:rFonts w:ascii="Arial" w:cs="Arial" w:eastAsia="Arial" w:hAnsi="Arial"/>
          <w:sz w:val="18"/>
          <w:szCs w:val="18"/>
          <w:color w:val="auto"/>
        </w:rPr>
        <w:t>. Our ESOP, employees, officers and directors of the Company and the Bank, and the families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are our primary shareholders. Currently, they represent shareholders who own 70.1% of our common stock. We believe that this level of insider ownership keeps our corporate goals and strategy aligned with the interests of all shareholders.</w:t>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7265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9175" cy="7265035"/>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Banking Markets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Lubbock/South Plains</w:t>
      </w:r>
    </w:p>
    <w:p>
      <w:pPr>
        <w:spacing w:after="0" w:line="117" w:lineRule="exact"/>
        <w:rPr>
          <w:sz w:val="20"/>
          <w:szCs w:val="20"/>
          <w:color w:val="auto"/>
        </w:rPr>
      </w:pPr>
    </w:p>
    <w:p>
      <w:pPr>
        <w:ind w:left="120" w:firstLine="360"/>
        <w:spacing w:after="0" w:line="287" w:lineRule="auto"/>
        <w:rPr>
          <w:sz w:val="20"/>
          <w:szCs w:val="20"/>
          <w:color w:val="auto"/>
        </w:rPr>
      </w:pPr>
      <w:r>
        <w:rPr>
          <w:rFonts w:ascii="Arial" w:cs="Arial" w:eastAsia="Arial" w:hAnsi="Arial"/>
          <w:sz w:val="16"/>
          <w:szCs w:val="16"/>
          <w:color w:val="auto"/>
        </w:rPr>
        <w:t>We operate 12 branches holding $1.7 billion of deposits in the Lubbock MSA and the surrounding South Plains region as of December 31, 2018. The Lubbock MSA is home to more than 315,000 people with major industries in agribusiness – primarily cotton, corn, and grain sorghum – as well as education, trade and transportation, health services and government, among others. Lubbock is home to Texas Tech University, a public research university enrolling more than 35,000 students each year, according to the university’s website. Texas Tech’s student enrollment ranks within the top 10 for universities in Texas as of the Spring 2018 semester, and is one of only two campuses in the state to house an undergraduate university, law school, and medical school. Lubbock Christian University is also headquartered in Lubbock and Wayland Baptist University and South Plains College maintain campuses here. The Lubbock MSA reports unemployment of 2.8% for 2018 according to Forbes, which also listed Lubbock as one of its “Best Places for Business and Careers” during 2018, with a gross metro product of more than $14.0 billion during 2018. Major employers in the Lubbock MSA include Texas Tech University, United Super Market, Covenant Health System, UMC Health System and Lubbock ISD, according to the Lubbock Economic Development Alliance.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Dallas</w:t>
      </w:r>
    </w:p>
    <w:p>
      <w:pPr>
        <w:spacing w:after="0" w:line="117" w:lineRule="exact"/>
        <w:rPr>
          <w:sz w:val="20"/>
          <w:szCs w:val="20"/>
          <w:color w:val="auto"/>
        </w:rPr>
      </w:pPr>
    </w:p>
    <w:p>
      <w:pPr>
        <w:ind w:left="120" w:right="20" w:firstLine="360"/>
        <w:spacing w:after="0" w:line="288" w:lineRule="auto"/>
        <w:rPr>
          <w:sz w:val="20"/>
          <w:szCs w:val="20"/>
          <w:color w:val="auto"/>
        </w:rPr>
      </w:pPr>
      <w:r>
        <w:rPr>
          <w:rFonts w:ascii="Arial" w:cs="Arial" w:eastAsia="Arial" w:hAnsi="Arial"/>
          <w:sz w:val="16"/>
          <w:szCs w:val="16"/>
          <w:color w:val="auto"/>
        </w:rPr>
        <w:t>We operate three branches with $258.7 million of deposits as of December 31, 2018 and six mortgage offices in the Dallas-Fort Worth-Arlington MSA, which we refer to as the Dallas-Fort Worth metroplex. The Dallas-Fort Worth metroplex is the largest MSA in Texas and fourth largest in the nation as of 2018, according to S&amp;P Global. It saw the second highest population growth of any MSA from 2010 to 2018 and third highest employment growth from 2015 to 2018, according to S&amp;P Global. The area also serves as the corporate headquarters for 22 Fortune 500 companies including Southwest Airlines, AT&amp;T and Exxon Mobil, ranking third in the nation for Fortune 500 corporate headquarters, according to the Dallas Regional Chamber of Commerce. The Dallas-Fort Worth metroplex area was responsible for producing 33% of the state’s total gross domestic product in 2018. The Dallas-Fort Worth International Airport is the fourth largest in the country for passenger traffic according to the Dallas Morning News. According to the U.S. Bureau of Economic Analysis, and, according to the Dallas Economic Development, the MSA is home to over 65,000 businesses, adding over 300 jobs per day on average over the past twelve months.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 Paso</w:t>
      </w:r>
    </w:p>
    <w:p>
      <w:pPr>
        <w:spacing w:after="0" w:line="117" w:lineRule="exact"/>
        <w:rPr>
          <w:sz w:val="20"/>
          <w:szCs w:val="20"/>
          <w:color w:val="auto"/>
        </w:rPr>
      </w:pPr>
    </w:p>
    <w:p>
      <w:pPr>
        <w:ind w:left="120" w:firstLine="360"/>
        <w:spacing w:after="0" w:line="268" w:lineRule="auto"/>
        <w:rPr>
          <w:sz w:val="20"/>
          <w:szCs w:val="20"/>
          <w:color w:val="auto"/>
        </w:rPr>
      </w:pPr>
      <w:r>
        <w:rPr>
          <w:rFonts w:ascii="Arial" w:cs="Arial" w:eastAsia="Arial" w:hAnsi="Arial"/>
          <w:sz w:val="16"/>
          <w:szCs w:val="16"/>
          <w:color w:val="auto"/>
        </w:rPr>
        <w:t>We operate two bank branches with $111.2 million of deposits as of December 31, 2018 and a mortgage office in the El Paso MSA, which has a population of more than 850,000. The El Paso MSA is adjacent to Juarez, Mexico, which has a growing industrial center, an estimated population of 1.5 million people, and has contributed to significant growth in El Paso. The El Paso MSA provides manufacturing, education, and retail services to businesses and residents in Juarez. The El Paso MSA is home to Fort Bliss, which houses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Armored Division, the 32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Army Air and Missile Defense Command and the 402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Field Artillery Brigade, among other major units. Fort Bliss is also adjacent to the White Sands Missile Range. Civil employers include a number of universities, including The University of Texas at El Paso, The Texas Tech School of Medicine, El Paso Community College, and Vista College. The largest industries in the El Paso MSA are military, healthcare, educational services and retail. The highest paying industries are business management, oil and gas and utilities according to Data USA.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Houston</w:t>
      </w:r>
    </w:p>
    <w:p>
      <w:pPr>
        <w:spacing w:after="0" w:line="117" w:lineRule="exact"/>
        <w:rPr>
          <w:sz w:val="20"/>
          <w:szCs w:val="20"/>
          <w:color w:val="auto"/>
        </w:rPr>
      </w:pPr>
    </w:p>
    <w:p>
      <w:pPr>
        <w:ind w:left="120" w:right="60" w:firstLine="360"/>
        <w:spacing w:after="0" w:line="269" w:lineRule="auto"/>
        <w:rPr>
          <w:sz w:val="20"/>
          <w:szCs w:val="20"/>
          <w:color w:val="auto"/>
        </w:rPr>
      </w:pPr>
      <w:r>
        <w:rPr>
          <w:rFonts w:ascii="Arial" w:cs="Arial" w:eastAsia="Arial" w:hAnsi="Arial"/>
          <w:sz w:val="17"/>
          <w:szCs w:val="17"/>
          <w:color w:val="auto"/>
        </w:rPr>
        <w:t>We operate one branch with $24.8 million of deposits in the city of Houston as of December 31, 2018. The Houston-The Woodlands-Sugarland MSA, which we refer to as Greater Houston, is the corporate headquarters for 20 Fortune 500 companies, ranking fourth among metro areas according to the Greater Houston Partnership. Greater Houston had the seventh largest gross domestic product in the U.S. in 2018, according to the U.S. Bureau of Economic Analysis. While Houston is known as the “Energy Capital of the World,” the metropolitan area also boasts the largest medical complex in the world, has the second busiest port in the United States in 2018, and is a leader in international business. Houston’s economic success is projected to continue, with employment growth of 1.74% annually through the year 2040, according to the Perryman Group. Greater Houston has seen robust population expansion over the last several years – largely a result of the companies headquartered in the area, such as Anadarko Petroleum, Aon Hewitt, ConocoPhillips, Sysco, Waste Connections, Inc., Halliburton and Baker Hughes, among others, according to The Houston Chronicle.</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80"/>
          </w:cols>
          <w:pgMar w:left="1160" w:top="279" w:right="1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6647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99175" cy="6647815"/>
                    </a:xfrm>
                    <a:prstGeom prst="rect">
                      <a:avLst/>
                    </a:prstGeom>
                    <a:noFill/>
                  </pic:spPr>
                </pic:pic>
              </a:graphicData>
            </a:graphic>
          </wp:anchor>
        </w:drawing>
      </w:r>
    </w:p>
    <w:p>
      <w:pPr>
        <w:spacing w:after="0" w:line="3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Bryan/College Station</w:t>
      </w:r>
    </w:p>
    <w:p>
      <w:pPr>
        <w:spacing w:after="0" w:line="117" w:lineRule="exact"/>
        <w:rPr>
          <w:sz w:val="20"/>
          <w:szCs w:val="20"/>
          <w:color w:val="auto"/>
        </w:rPr>
      </w:pPr>
    </w:p>
    <w:p>
      <w:pPr>
        <w:ind w:left="120" w:right="40" w:firstLine="360"/>
        <w:spacing w:after="0" w:line="289" w:lineRule="auto"/>
        <w:rPr>
          <w:sz w:val="20"/>
          <w:szCs w:val="20"/>
          <w:color w:val="auto"/>
        </w:rPr>
      </w:pPr>
      <w:r>
        <w:rPr>
          <w:rFonts w:ascii="Arial" w:cs="Arial" w:eastAsia="Arial" w:hAnsi="Arial"/>
          <w:sz w:val="16"/>
          <w:szCs w:val="16"/>
          <w:color w:val="auto"/>
        </w:rPr>
        <w:t>We operate one branch and one mortgage office in the city of College Station, Texas, which has $67.7 million in deposits as of December 31, 2018. The Bryan-College Station MSA, which we refer to as Bryan/College Station, is home to Texas A&amp;M University, which enrolls over 68,000 students and is the largest university in the state according to the Texas Higher Education Coordinating Board. Bryan/College Station ranked first in Texas and third nationwide for Best Small Places for Business and Careers in 2018 with job growth of 10.3% from 2015 to 2018, according to Forbes. Unemployment in the Bryan/College station MSA reached a historically low rate of 2.8% in 2018. Total construction project valuation in Bryan/College Station was over $750 million in 2016. Notable ongoing projects include the Texas A&amp;M RELLIS Campus, a $250 million, 2,000 acre campus dedicated to technology development, as well as the continued development of ATLAS, a master planned community and business complex specifically constructed for companies engaged in medical technology and pharmaceuticals.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Ruidoso/Eastern New Mexico</w:t>
      </w:r>
    </w:p>
    <w:p>
      <w:pPr>
        <w:spacing w:after="0" w:line="117" w:lineRule="exact"/>
        <w:rPr>
          <w:sz w:val="20"/>
          <w:szCs w:val="20"/>
          <w:color w:val="auto"/>
        </w:rPr>
      </w:pPr>
    </w:p>
    <w:p>
      <w:pPr>
        <w:ind w:left="120" w:firstLine="360"/>
        <w:spacing w:after="0" w:line="290" w:lineRule="auto"/>
        <w:rPr>
          <w:sz w:val="20"/>
          <w:szCs w:val="20"/>
          <w:color w:val="auto"/>
        </w:rPr>
      </w:pPr>
      <w:r>
        <w:rPr>
          <w:rFonts w:ascii="Arial" w:cs="Arial" w:eastAsia="Arial" w:hAnsi="Arial"/>
          <w:sz w:val="16"/>
          <w:szCs w:val="16"/>
          <w:color w:val="auto"/>
        </w:rPr>
        <w:t>We operate two branches with $116.3 million of deposits as of December 31, 2018 in the village of Ruidoso, New Mexico, which makes our institution the largest deposit holder in the Ruidoso micropolitan statistical area. Based on the customers we serve and our strategic plan, we consider the Eastern New Mexico region, including Ruidoso, to be our market area. The Ruidoso micropolitan statistical area is home to a population of more than 20,000, according to data obtained through the United States Census Bureau. Ruidoso has seen a large amount of investment over the last decade from developers. Notable projects include housing subdivisions and condominiums, as well as retail centers, all of which are transforming the once slow-moving mountain community into one of popularity and high growth, especially for active retirees. Ruidoso is home to a number of public and private schools, as well as a two-year community college branch of Eastern New Mexico University.</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120" w:right="80"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are a number of risks that you should consider before investing in our common stock. These risks are discussed more fully in the section titled “Risk Factors,” beginning on page </w:t>
      </w:r>
      <w:hyperlink w:anchor="page20">
        <w:r>
          <w:rPr>
            <w:rFonts w:ascii="Arial" w:cs="Arial" w:eastAsia="Arial" w:hAnsi="Arial"/>
            <w:sz w:val="18"/>
            <w:szCs w:val="18"/>
            <w:u w:val="single" w:color="auto"/>
            <w:color w:val="0000EE"/>
          </w:rPr>
          <w:t>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include, but are not limited to:</w:t>
      </w:r>
    </w:p>
    <w:p>
      <w:pPr>
        <w:spacing w:after="0" w:line="62" w:lineRule="exact"/>
        <w:rPr>
          <w:sz w:val="20"/>
          <w:szCs w:val="20"/>
          <w:color w:val="auto"/>
        </w:rPr>
      </w:pPr>
    </w:p>
    <w:p>
      <w:pPr>
        <w:ind w:left="820" w:hanging="35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adequately measure and limit our credit risk, which could lead to unexpected losses;</w:t>
      </w:r>
    </w:p>
    <w:p>
      <w:pPr>
        <w:spacing w:after="0" w:line="117" w:lineRule="exact"/>
        <w:rPr>
          <w:rFonts w:ascii="Arial" w:cs="Arial" w:eastAsia="Arial" w:hAnsi="Arial"/>
          <w:sz w:val="18"/>
          <w:szCs w:val="18"/>
          <w:color w:val="auto"/>
        </w:rPr>
      </w:pPr>
    </w:p>
    <w:p>
      <w:pPr>
        <w:ind w:left="820" w:right="120" w:hanging="351"/>
        <w:spacing w:after="0" w:line="263"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a significant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75" w:lineRule="exact"/>
        <w:rPr>
          <w:rFonts w:ascii="Arial" w:cs="Arial" w:eastAsia="Arial" w:hAnsi="Arial"/>
          <w:sz w:val="18"/>
          <w:szCs w:val="18"/>
          <w:color w:val="auto"/>
        </w:rPr>
      </w:pPr>
    </w:p>
    <w:p>
      <w:pPr>
        <w:ind w:left="820" w:right="340" w:hanging="351"/>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heavily on our executive management team and other key employees, and the loss of any these individuals could adversely impact our business or reputation;</w:t>
      </w:r>
    </w:p>
    <w:p>
      <w:pPr>
        <w:spacing w:after="0" w:line="62" w:lineRule="exact"/>
        <w:rPr>
          <w:rFonts w:ascii="Arial" w:cs="Arial" w:eastAsia="Arial" w:hAnsi="Arial"/>
          <w:sz w:val="18"/>
          <w:szCs w:val="18"/>
          <w:color w:val="auto"/>
        </w:rPr>
      </w:pPr>
    </w:p>
    <w:p>
      <w:pPr>
        <w:ind w:left="820" w:hanging="35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profitable bankers is critical to the success of our business strategy;</w:t>
      </w:r>
    </w:p>
    <w:p>
      <w:pPr>
        <w:spacing w:after="0" w:line="117" w:lineRule="exact"/>
        <w:rPr>
          <w:rFonts w:ascii="Arial" w:cs="Arial" w:eastAsia="Arial" w:hAnsi="Arial"/>
          <w:sz w:val="18"/>
          <w:szCs w:val="18"/>
          <w:color w:val="auto"/>
        </w:rPr>
      </w:pPr>
    </w:p>
    <w:p>
      <w:pPr>
        <w:ind w:left="820" w:right="600" w:hanging="351"/>
        <w:spacing w:after="0" w:line="308" w:lineRule="auto"/>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geographic concentration of our markets in Texas and New Mexico makes us more sensitive than our more geographically diversified competitors to adverse changes in our markets’ local economies; and</w:t>
      </w:r>
    </w:p>
    <w:p>
      <w:pPr>
        <w:spacing w:after="0" w:line="38" w:lineRule="exact"/>
        <w:rPr>
          <w:rFonts w:ascii="Arial" w:cs="Arial" w:eastAsia="Arial" w:hAnsi="Arial"/>
          <w:sz w:val="17"/>
          <w:szCs w:val="17"/>
          <w:color w:val="auto"/>
        </w:rPr>
      </w:pPr>
    </w:p>
    <w:p>
      <w:pPr>
        <w:ind w:left="820" w:hanging="351"/>
        <w:spacing w:after="0" w:line="263"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operate in a highly regulated environment and the laws and regulations that govern our operations, corporate governance, executive compensation and accounting principles, or changes in them, or our failure to comply with them, could subject us to regulatory action or penalties.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principal executive office is located at 5219 City Bank Parkway, Lubbock, Texas 79407, and our telephone number is</w:t>
      </w:r>
    </w:p>
    <w:p>
      <w:pPr>
        <w:spacing w:after="0" w:line="46" w:lineRule="exact"/>
        <w:rPr>
          <w:sz w:val="20"/>
          <w:szCs w:val="20"/>
          <w:color w:val="auto"/>
        </w:rPr>
      </w:pPr>
    </w:p>
    <w:p>
      <w:pPr>
        <w:ind w:left="120" w:right="260" w:hanging="2"/>
        <w:spacing w:after="0" w:line="260" w:lineRule="auto"/>
        <w:tabs>
          <w:tab w:leader="none" w:pos="5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792-7101. Our website address is www.city.bank. Information contained on or that can be accessed through our website does not constitute a part of this prospectus and is not incorporated by reference into this prospectus.</w:t>
      </w: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40"/>
          </w:cols>
          <w:pgMar w:left="1160" w:top="279" w:right="12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6167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99175" cy="6167755"/>
                    </a:xfrm>
                    <a:prstGeom prst="rect">
                      <a:avLst/>
                    </a:prstGeom>
                    <a:noFill/>
                  </pic:spPr>
                </pic:pic>
              </a:graphicData>
            </a:graphic>
          </wp:anchor>
        </w:drawing>
      </w: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OFFERING</w:t>
      </w:r>
    </w:p>
    <w:p>
      <w:pPr>
        <w:spacing w:after="0" w:line="117" w:lineRule="exact"/>
        <w:rPr>
          <w:sz w:val="20"/>
          <w:szCs w:val="20"/>
          <w:color w:val="auto"/>
        </w:rPr>
      </w:pPr>
    </w:p>
    <w:p>
      <w:pPr>
        <w:ind w:left="120"/>
        <w:spacing w:after="0"/>
        <w:tabs>
          <w:tab w:leader="none" w:pos="4640" w:val="left"/>
          <w:tab w:leader="none" w:pos="5780" w:val="left"/>
        </w:tabs>
        <w:rPr>
          <w:sz w:val="20"/>
          <w:szCs w:val="20"/>
          <w:color w:val="auto"/>
        </w:rPr>
      </w:pPr>
      <w:r>
        <w:rPr>
          <w:rFonts w:ascii="Arial" w:cs="Arial" w:eastAsia="Arial" w:hAnsi="Arial"/>
          <w:sz w:val="18"/>
          <w:szCs w:val="18"/>
          <w:b w:val="1"/>
          <w:bCs w:val="1"/>
          <w:color w:val="auto"/>
        </w:rPr>
        <w:t>Common stock offered by us</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their option to</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purchase additional shares of common stock in full).</w:t>
      </w:r>
    </w:p>
    <w:p>
      <w:pPr>
        <w:sectPr>
          <w:pgSz w:w="11900" w:h="16838" w:orient="portrait"/>
          <w:cols w:equalWidth="0" w:num="1">
            <w:col w:w="9480"/>
          </w:cols>
          <w:pgMar w:left="1160" w:top="279" w:right="1259" w:bottom="1440" w:gutter="0" w:footer="0" w:header="0"/>
        </w:sectPr>
      </w:pPr>
    </w:p>
    <w:p>
      <w:pPr>
        <w:spacing w:after="0" w:line="99" w:lineRule="exact"/>
        <w:rPr>
          <w:sz w:val="20"/>
          <w:szCs w:val="20"/>
          <w:color w:val="auto"/>
        </w:rPr>
      </w:pPr>
    </w:p>
    <w:p>
      <w:pPr>
        <w:ind w:left="120"/>
        <w:spacing w:after="0" w:line="488" w:lineRule="auto"/>
        <w:rPr>
          <w:sz w:val="20"/>
          <w:szCs w:val="20"/>
          <w:color w:val="auto"/>
        </w:rPr>
      </w:pPr>
      <w:r>
        <w:rPr>
          <w:rFonts w:ascii="Arial" w:cs="Arial" w:eastAsia="Arial" w:hAnsi="Arial"/>
          <w:sz w:val="16"/>
          <w:szCs w:val="16"/>
          <w:b w:val="1"/>
          <w:bCs w:val="1"/>
          <w:color w:val="auto"/>
        </w:rPr>
        <w:t>Common stock offered by the selling shareholders Underwriters’ overallotment option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shares.</w:t>
      </w:r>
    </w:p>
    <w:p>
      <w:pPr>
        <w:spacing w:after="0" w:line="117" w:lineRule="exact"/>
        <w:rPr>
          <w:sz w:val="20"/>
          <w:szCs w:val="20"/>
          <w:color w:val="auto"/>
        </w:rPr>
      </w:pPr>
    </w:p>
    <w:p>
      <w:pPr>
        <w:ind w:left="400" w:right="100" w:hanging="404"/>
        <w:spacing w:after="0" w:line="291" w:lineRule="auto"/>
        <w:rPr>
          <w:sz w:val="20"/>
          <w:szCs w:val="20"/>
          <w:color w:val="auto"/>
        </w:rPr>
      </w:pPr>
      <w:r>
        <w:rPr>
          <w:rFonts w:ascii="Arial" w:cs="Arial" w:eastAsia="Arial" w:hAnsi="Arial"/>
          <w:sz w:val="16"/>
          <w:szCs w:val="16"/>
          <w:color w:val="auto"/>
        </w:rPr>
        <w:t>We have granted the underwriters an option to purchase up to additional shares of common stock from us within 30 days after</w:t>
      </w:r>
    </w:p>
    <w:p>
      <w:pPr>
        <w:spacing w:after="0"/>
        <w:rPr>
          <w:sz w:val="20"/>
          <w:szCs w:val="20"/>
          <w:color w:val="auto"/>
        </w:rPr>
      </w:pPr>
      <w:r>
        <w:rPr>
          <w:rFonts w:ascii="Arial" w:cs="Arial" w:eastAsia="Arial" w:hAnsi="Arial"/>
          <w:sz w:val="18"/>
          <w:szCs w:val="18"/>
          <w:color w:val="auto"/>
        </w:rPr>
        <w:t>the date of this prospectus.</w:t>
      </w:r>
    </w:p>
    <w:p>
      <w:pPr>
        <w:spacing w:after="0" w:line="99" w:lineRule="exact"/>
        <w:rPr>
          <w:sz w:val="20"/>
          <w:szCs w:val="20"/>
          <w:color w:val="auto"/>
        </w:rPr>
      </w:pPr>
    </w:p>
    <w:p>
      <w:pPr>
        <w:sectPr>
          <w:pgSz w:w="11900" w:h="16838" w:orient="portrait"/>
          <w:cols w:equalWidth="0" w:num="2">
            <w:col w:w="3960" w:space="420"/>
            <w:col w:w="5100"/>
          </w:cols>
          <w:pgMar w:left="1160" w:top="279" w:right="1259" w:bottom="1440" w:gutter="0" w:footer="0" w:header="0"/>
          <w:type w:val="continuous"/>
        </w:sectPr>
      </w:pPr>
    </w:p>
    <w:p>
      <w:pPr>
        <w:ind w:left="300" w:hanging="179"/>
        <w:spacing w:after="0" w:line="282" w:lineRule="auto"/>
        <w:rPr>
          <w:sz w:val="20"/>
          <w:szCs w:val="20"/>
          <w:color w:val="auto"/>
        </w:rPr>
      </w:pPr>
      <w:r>
        <w:rPr>
          <w:rFonts w:ascii="Arial" w:cs="Arial" w:eastAsia="Arial" w:hAnsi="Arial"/>
          <w:sz w:val="18"/>
          <w:szCs w:val="18"/>
          <w:b w:val="1"/>
          <w:bCs w:val="1"/>
          <w:color w:val="auto"/>
        </w:rPr>
        <w:t>Common stock outstanding after completion of this offering</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right="200" w:firstLine="315"/>
        <w:spacing w:after="0" w:line="277" w:lineRule="auto"/>
        <w:rPr>
          <w:sz w:val="20"/>
          <w:szCs w:val="20"/>
          <w:color w:val="auto"/>
        </w:rPr>
      </w:pPr>
      <w:r>
        <w:rPr>
          <w:rFonts w:ascii="Arial" w:cs="Arial" w:eastAsia="Arial" w:hAnsi="Arial"/>
          <w:sz w:val="18"/>
          <w:szCs w:val="18"/>
          <w:color w:val="auto"/>
        </w:rPr>
        <w:t>shares (or shares if the underwriters exercise their option to purchase additional shares of common stock in full).</w:t>
      </w:r>
    </w:p>
    <w:p>
      <w:pPr>
        <w:spacing w:after="0" w:line="62"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We estimate that the net proceeds to us from this offering, after deducting underwriting discounts and estimated offering expenses,</w:t>
      </w:r>
    </w:p>
    <w:p>
      <w:pPr>
        <w:spacing w:after="0"/>
        <w:tabs>
          <w:tab w:leader="none" w:pos="2280" w:val="left"/>
        </w:tabs>
        <w:rPr>
          <w:sz w:val="20"/>
          <w:szCs w:val="20"/>
          <w:color w:val="auto"/>
        </w:rPr>
      </w:pPr>
      <w:r>
        <w:rPr>
          <w:rFonts w:ascii="Arial" w:cs="Arial" w:eastAsia="Arial" w:hAnsi="Arial"/>
          <w:sz w:val="18"/>
          <w:szCs w:val="18"/>
          <w:color w:val="auto"/>
        </w:rPr>
        <w:t>will be approximately $</w:t>
      </w:r>
      <w:r>
        <w:rPr>
          <w:sz w:val="20"/>
          <w:szCs w:val="20"/>
          <w:color w:val="auto"/>
        </w:rPr>
        <w:tab/>
      </w:r>
      <w:r>
        <w:rPr>
          <w:rFonts w:ascii="Arial" w:cs="Arial" w:eastAsia="Arial" w:hAnsi="Arial"/>
          <w:sz w:val="16"/>
          <w:szCs w:val="16"/>
          <w:color w:val="auto"/>
        </w:rPr>
        <w:t>million, based on an assumed public</w:t>
      </w:r>
    </w:p>
    <w:p>
      <w:pPr>
        <w:spacing w:after="0" w:line="9"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offering price of $ per share, which is the midpoint of the price range set forth on the cover page of this prospectus. We intend to use the net proceeds to us from this offering to support future growth of our business, including through strategic acquisitions and organic growth, and for general corporate purposes. See “Use of Proceeds.”</w:t>
      </w:r>
    </w:p>
    <w:p>
      <w:pPr>
        <w:spacing w:after="0" w:line="50" w:lineRule="exact"/>
        <w:rPr>
          <w:sz w:val="20"/>
          <w:szCs w:val="20"/>
          <w:color w:val="auto"/>
        </w:rPr>
      </w:pPr>
    </w:p>
    <w:p>
      <w:pPr>
        <w:sectPr>
          <w:pgSz w:w="11900" w:h="16838" w:orient="portrait"/>
          <w:cols w:equalWidth="0" w:num="2">
            <w:col w:w="4060" w:space="320"/>
            <w:col w:w="5100"/>
          </w:cols>
          <w:pgMar w:left="1160" w:top="279" w:right="125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3060" w:type="dxa"/>
            <w:vAlign w:val="bottom"/>
          </w:tcPr>
          <w:p>
            <w:pPr>
              <w:spacing w:after="0"/>
              <w:rPr>
                <w:sz w:val="20"/>
                <w:szCs w:val="20"/>
                <w:color w:val="auto"/>
              </w:rPr>
            </w:pPr>
            <w:r>
              <w:rPr>
                <w:rFonts w:ascii="Arial" w:cs="Arial" w:eastAsia="Arial" w:hAnsi="Arial"/>
                <w:sz w:val="18"/>
                <w:szCs w:val="18"/>
                <w:b w:val="1"/>
                <w:bCs w:val="1"/>
                <w:color w:val="auto"/>
              </w:rPr>
              <w:t>Dividends</w:t>
            </w: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5"/>
              </w:rPr>
              <w:t>Historically, we have been an S Corporation, and as such, we have</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0"/>
              </w:rPr>
              <w:t>paid distributions to our shareholders to assist them in paying the U.S.</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0"/>
              </w:rPr>
              <w:t>federal income taxes on our taxable income that is “passed through” to</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rPr>
              <w:t>them, as well as additional amounts for returns on capital. Our</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2"/>
              </w:rPr>
              <w:t>dividend policy and practice has changed as we were no longer an S</w:t>
            </w:r>
          </w:p>
        </w:tc>
      </w:tr>
      <w:tr>
        <w:trPr>
          <w:trHeight w:val="230"/>
        </w:trPr>
        <w:tc>
          <w:tcPr>
            <w:tcW w:w="3060" w:type="dxa"/>
            <w:vAlign w:val="bottom"/>
          </w:tcPr>
          <w:p>
            <w:pPr>
              <w:spacing w:after="0"/>
              <w:rPr>
                <w:sz w:val="20"/>
                <w:szCs w:val="20"/>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rPr>
              <w:t>Corporation effective May 31, 2018.</w:t>
            </w:r>
          </w:p>
        </w:tc>
      </w:tr>
      <w:tr>
        <w:trPr>
          <w:trHeight w:val="310"/>
        </w:trPr>
        <w:tc>
          <w:tcPr>
            <w:tcW w:w="3060" w:type="dxa"/>
            <w:vAlign w:val="bottom"/>
          </w:tcPr>
          <w:p>
            <w:pPr>
              <w:spacing w:after="0"/>
              <w:rPr>
                <w:sz w:val="24"/>
                <w:szCs w:val="24"/>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rPr>
              <w:t>Following the completion of this offering, we anticipate paying a</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rPr>
              <w:t>quarterly dividend on our common stock in an amount equal to</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8"/>
              </w:rPr>
              <w:t>approximately 10% to 15% of our net income for the immediately</w:t>
            </w:r>
          </w:p>
        </w:tc>
      </w:tr>
      <w:tr>
        <w:trPr>
          <w:trHeight w:val="230"/>
        </w:trPr>
        <w:tc>
          <w:tcPr>
            <w:tcW w:w="3060" w:type="dxa"/>
            <w:vAlign w:val="bottom"/>
          </w:tcPr>
          <w:p>
            <w:pPr>
              <w:spacing w:after="0"/>
              <w:rPr>
                <w:sz w:val="20"/>
                <w:szCs w:val="20"/>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3"/>
              </w:rPr>
              <w:t>preceding quarter, subject to the discretion of our board of directors.</w:t>
            </w:r>
          </w:p>
        </w:tc>
      </w:tr>
      <w:tr>
        <w:trPr>
          <w:trHeight w:val="310"/>
        </w:trPr>
        <w:tc>
          <w:tcPr>
            <w:tcW w:w="3060" w:type="dxa"/>
            <w:vAlign w:val="bottom"/>
          </w:tcPr>
          <w:p>
            <w:pPr>
              <w:spacing w:after="0"/>
              <w:rPr>
                <w:sz w:val="24"/>
                <w:szCs w:val="24"/>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8"/>
              </w:rPr>
              <w:t>Dividends from the Bank are the principal source of funds for the</w:t>
            </w:r>
          </w:p>
        </w:tc>
      </w:tr>
      <w:tr>
        <w:trPr>
          <w:trHeight w:val="216"/>
        </w:trPr>
        <w:tc>
          <w:tcPr>
            <w:tcW w:w="3060" w:type="dxa"/>
            <w:vAlign w:val="bottom"/>
          </w:tcPr>
          <w:p>
            <w:pPr>
              <w:spacing w:after="0"/>
              <w:rPr>
                <w:sz w:val="18"/>
                <w:szCs w:val="18"/>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5"/>
              </w:rPr>
              <w:t>payment of dividends on our common stock. The Bank is subject to</w:t>
            </w:r>
          </w:p>
        </w:tc>
      </w:tr>
      <w:tr>
        <w:trPr>
          <w:trHeight w:val="230"/>
        </w:trPr>
        <w:tc>
          <w:tcPr>
            <w:tcW w:w="3060" w:type="dxa"/>
            <w:vAlign w:val="bottom"/>
          </w:tcPr>
          <w:p>
            <w:pPr>
              <w:spacing w:after="0"/>
              <w:rPr>
                <w:sz w:val="20"/>
                <w:szCs w:val="20"/>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8"/>
              </w:rPr>
              <w:t>certain restrictions that may limit its ability to pay dividends to us.</w:t>
            </w:r>
          </w:p>
        </w:tc>
      </w:tr>
      <w:tr>
        <w:trPr>
          <w:trHeight w:val="310"/>
        </w:trPr>
        <w:tc>
          <w:tcPr>
            <w:tcW w:w="3060" w:type="dxa"/>
            <w:vAlign w:val="bottom"/>
          </w:tcPr>
          <w:p>
            <w:pPr>
              <w:spacing w:after="0"/>
              <w:rPr>
                <w:sz w:val="20"/>
                <w:szCs w:val="20"/>
                <w:color w:val="auto"/>
              </w:rPr>
            </w:pPr>
            <w:r>
              <w:rPr>
                <w:rFonts w:ascii="Arial" w:cs="Arial" w:eastAsia="Arial" w:hAnsi="Arial"/>
                <w:sz w:val="18"/>
                <w:szCs w:val="18"/>
                <w:b w:val="1"/>
                <w:bCs w:val="1"/>
                <w:color w:val="auto"/>
              </w:rPr>
              <w:t>Directed share program</w:t>
            </w: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4"/>
              </w:rPr>
              <w:t>At our request, the underwriters have reserved for sale, at the initial</w:t>
            </w:r>
          </w:p>
        </w:tc>
      </w:tr>
      <w:tr>
        <w:trPr>
          <w:trHeight w:val="216"/>
        </w:trPr>
        <w:tc>
          <w:tcPr>
            <w:tcW w:w="3060" w:type="dxa"/>
            <w:vAlign w:val="bottom"/>
          </w:tcPr>
          <w:p>
            <w:pPr>
              <w:spacing w:after="0"/>
              <w:rPr>
                <w:sz w:val="18"/>
                <w:szCs w:val="18"/>
                <w:color w:val="auto"/>
              </w:rPr>
            </w:pPr>
          </w:p>
        </w:tc>
        <w:tc>
          <w:tcPr>
            <w:tcW w:w="3300" w:type="dxa"/>
            <w:vAlign w:val="bottom"/>
          </w:tcPr>
          <w:p>
            <w:pPr>
              <w:ind w:left="1200"/>
              <w:spacing w:after="0"/>
              <w:rPr>
                <w:sz w:val="20"/>
                <w:szCs w:val="20"/>
                <w:color w:val="auto"/>
              </w:rPr>
            </w:pPr>
            <w:r>
              <w:rPr>
                <w:rFonts w:ascii="Arial" w:cs="Arial" w:eastAsia="Arial" w:hAnsi="Arial"/>
                <w:sz w:val="18"/>
                <w:szCs w:val="18"/>
                <w:color w:val="auto"/>
              </w:rPr>
              <w:t>public offering price, up to</w:t>
            </w:r>
          </w:p>
        </w:tc>
        <w:tc>
          <w:tcPr>
            <w:tcW w:w="3000" w:type="dxa"/>
            <w:vAlign w:val="bottom"/>
          </w:tcPr>
          <w:p>
            <w:pPr>
              <w:ind w:left="140"/>
              <w:spacing w:after="0"/>
              <w:rPr>
                <w:sz w:val="20"/>
                <w:szCs w:val="20"/>
                <w:color w:val="auto"/>
              </w:rPr>
            </w:pPr>
            <w:r>
              <w:rPr>
                <w:rFonts w:ascii="Arial" w:cs="Arial" w:eastAsia="Arial" w:hAnsi="Arial"/>
                <w:sz w:val="18"/>
                <w:szCs w:val="18"/>
                <w:color w:val="auto"/>
                <w:w w:val="90"/>
              </w:rPr>
              <w:t>shares of common stock offered by this</w:t>
            </w:r>
          </w:p>
        </w:tc>
      </w:tr>
      <w:tr>
        <w:trPr>
          <w:trHeight w:val="230"/>
        </w:trPr>
        <w:tc>
          <w:tcPr>
            <w:tcW w:w="3060" w:type="dxa"/>
            <w:vAlign w:val="bottom"/>
          </w:tcPr>
          <w:p>
            <w:pPr>
              <w:spacing w:after="0"/>
              <w:rPr>
                <w:sz w:val="20"/>
                <w:szCs w:val="20"/>
                <w:color w:val="auto"/>
              </w:rPr>
            </w:pPr>
          </w:p>
        </w:tc>
        <w:tc>
          <w:tcPr>
            <w:tcW w:w="6300" w:type="dxa"/>
            <w:vAlign w:val="bottom"/>
            <w:gridSpan w:val="2"/>
          </w:tcPr>
          <w:p>
            <w:pPr>
              <w:ind w:left="1200"/>
              <w:spacing w:after="0"/>
              <w:rPr>
                <w:sz w:val="20"/>
                <w:szCs w:val="20"/>
                <w:color w:val="auto"/>
              </w:rPr>
            </w:pPr>
            <w:r>
              <w:rPr>
                <w:rFonts w:ascii="Arial" w:cs="Arial" w:eastAsia="Arial" w:hAnsi="Arial"/>
                <w:sz w:val="18"/>
                <w:szCs w:val="18"/>
                <w:color w:val="auto"/>
                <w:w w:val="90"/>
              </w:rPr>
              <w:t>prospectus for sale to our directors, executive officers, employees and</w:t>
            </w:r>
          </w:p>
        </w:tc>
      </w:tr>
    </w:tbl>
    <w:p>
      <w:pPr>
        <w:ind w:left="4380" w:right="20"/>
        <w:spacing w:after="0" w:line="292" w:lineRule="auto"/>
        <w:rPr>
          <w:sz w:val="20"/>
          <w:szCs w:val="20"/>
          <w:color w:val="auto"/>
        </w:rPr>
      </w:pPr>
      <w:r>
        <w:rPr>
          <w:rFonts w:ascii="Arial" w:cs="Arial" w:eastAsia="Arial" w:hAnsi="Arial"/>
          <w:sz w:val="16"/>
          <w:szCs w:val="16"/>
          <w:color w:val="auto"/>
        </w:rPr>
        <w:t>business associates and certain other related persons.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80"/>
          </w:cols>
          <w:pgMar w:left="1160" w:top="279" w:right="125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3561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99175" cy="3561715"/>
                    </a:xfrm>
                    <a:prstGeom prst="rect">
                      <a:avLst/>
                    </a:prstGeom>
                    <a:noFill/>
                  </pic:spPr>
                </pic:pic>
              </a:graphicData>
            </a:graphic>
          </wp:anchor>
        </w:drawing>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120" w:type="dxa"/>
            <w:vAlign w:val="bottom"/>
          </w:tcPr>
          <w:p>
            <w:pPr>
              <w:spacing w:after="0"/>
              <w:rPr>
                <w:sz w:val="20"/>
                <w:szCs w:val="20"/>
                <w:color w:val="auto"/>
              </w:rPr>
            </w:pPr>
            <w:r>
              <w:rPr>
                <w:rFonts w:ascii="Arial" w:cs="Arial" w:eastAsia="Arial" w:hAnsi="Arial"/>
                <w:sz w:val="18"/>
                <w:szCs w:val="18"/>
                <w:b w:val="1"/>
                <w:bCs w:val="1"/>
                <w:color w:val="auto"/>
                <w:w w:val="91"/>
              </w:rPr>
              <w:t>Securities owned by directors and executive officers</w:t>
            </w:r>
          </w:p>
        </w:tc>
        <w:tc>
          <w:tcPr>
            <w:tcW w:w="5220" w:type="dxa"/>
            <w:vAlign w:val="bottom"/>
            <w:gridSpan w:val="4"/>
          </w:tcPr>
          <w:p>
            <w:pPr>
              <w:ind w:left="140"/>
              <w:spacing w:after="0"/>
              <w:rPr>
                <w:sz w:val="20"/>
                <w:szCs w:val="20"/>
                <w:color w:val="auto"/>
              </w:rPr>
            </w:pPr>
            <w:r>
              <w:rPr>
                <w:rFonts w:ascii="Arial" w:cs="Arial" w:eastAsia="Arial" w:hAnsi="Arial"/>
                <w:sz w:val="18"/>
                <w:szCs w:val="18"/>
                <w:color w:val="auto"/>
              </w:rPr>
              <w:t>As of March 13, 2019, our directors and executive officers</w:t>
            </w:r>
          </w:p>
        </w:tc>
      </w:tr>
      <w:tr>
        <w:trPr>
          <w:trHeight w:val="216"/>
        </w:trPr>
        <w:tc>
          <w:tcPr>
            <w:tcW w:w="4120" w:type="dxa"/>
            <w:vAlign w:val="bottom"/>
          </w:tcPr>
          <w:p>
            <w:pPr>
              <w:spacing w:after="0"/>
              <w:rPr>
                <w:sz w:val="18"/>
                <w:szCs w:val="18"/>
                <w:color w:val="auto"/>
              </w:rPr>
            </w:pPr>
          </w:p>
        </w:tc>
        <w:tc>
          <w:tcPr>
            <w:tcW w:w="5220" w:type="dxa"/>
            <w:vAlign w:val="bottom"/>
            <w:gridSpan w:val="4"/>
          </w:tcPr>
          <w:p>
            <w:pPr>
              <w:ind w:left="140"/>
              <w:spacing w:after="0"/>
              <w:rPr>
                <w:sz w:val="20"/>
                <w:szCs w:val="20"/>
                <w:color w:val="auto"/>
              </w:rPr>
            </w:pPr>
            <w:r>
              <w:rPr>
                <w:rFonts w:ascii="Arial" w:cs="Arial" w:eastAsia="Arial" w:hAnsi="Arial"/>
                <w:sz w:val="18"/>
                <w:szCs w:val="18"/>
                <w:color w:val="auto"/>
              </w:rPr>
              <w:t>beneficially owned 37.3% of our outstanding common stock.</w:t>
            </w:r>
          </w:p>
        </w:tc>
      </w:tr>
      <w:tr>
        <w:trPr>
          <w:trHeight w:val="216"/>
        </w:trPr>
        <w:tc>
          <w:tcPr>
            <w:tcW w:w="4120" w:type="dxa"/>
            <w:vAlign w:val="bottom"/>
          </w:tcPr>
          <w:p>
            <w:pPr>
              <w:spacing w:after="0"/>
              <w:rPr>
                <w:sz w:val="18"/>
                <w:szCs w:val="18"/>
                <w:color w:val="auto"/>
              </w:rPr>
            </w:pPr>
          </w:p>
        </w:tc>
        <w:tc>
          <w:tcPr>
            <w:tcW w:w="5220" w:type="dxa"/>
            <w:vAlign w:val="bottom"/>
            <w:gridSpan w:val="4"/>
          </w:tcPr>
          <w:p>
            <w:pPr>
              <w:ind w:left="140"/>
              <w:spacing w:after="0"/>
              <w:rPr>
                <w:sz w:val="20"/>
                <w:szCs w:val="20"/>
                <w:color w:val="auto"/>
              </w:rPr>
            </w:pPr>
            <w:r>
              <w:rPr>
                <w:rFonts w:ascii="Arial" w:cs="Arial" w:eastAsia="Arial" w:hAnsi="Arial"/>
                <w:sz w:val="18"/>
                <w:szCs w:val="18"/>
                <w:color w:val="auto"/>
              </w:rPr>
              <w:t>Following the completion of this offering, we anticipate that our</w:t>
            </w:r>
          </w:p>
        </w:tc>
      </w:tr>
      <w:tr>
        <w:trPr>
          <w:trHeight w:val="216"/>
        </w:trPr>
        <w:tc>
          <w:tcPr>
            <w:tcW w:w="4120" w:type="dxa"/>
            <w:vAlign w:val="bottom"/>
          </w:tcPr>
          <w:p>
            <w:pPr>
              <w:spacing w:after="0"/>
              <w:rPr>
                <w:sz w:val="18"/>
                <w:szCs w:val="18"/>
                <w:color w:val="auto"/>
              </w:rPr>
            </w:pPr>
          </w:p>
        </w:tc>
        <w:tc>
          <w:tcPr>
            <w:tcW w:w="5220" w:type="dxa"/>
            <w:vAlign w:val="bottom"/>
            <w:gridSpan w:val="4"/>
          </w:tcPr>
          <w:p>
            <w:pPr>
              <w:ind w:left="140"/>
              <w:spacing w:after="0"/>
              <w:rPr>
                <w:sz w:val="20"/>
                <w:szCs w:val="20"/>
                <w:color w:val="auto"/>
              </w:rPr>
            </w:pPr>
            <w:r>
              <w:rPr>
                <w:rFonts w:ascii="Arial" w:cs="Arial" w:eastAsia="Arial" w:hAnsi="Arial"/>
                <w:sz w:val="18"/>
                <w:szCs w:val="18"/>
                <w:color w:val="auto"/>
                <w:w w:val="95"/>
              </w:rPr>
              <w:t>directors and executive officers will beneficially own approximately</w:t>
            </w:r>
          </w:p>
        </w:tc>
      </w:tr>
      <w:tr>
        <w:trPr>
          <w:trHeight w:val="216"/>
        </w:trPr>
        <w:tc>
          <w:tcPr>
            <w:tcW w:w="4120" w:type="dxa"/>
            <w:vAlign w:val="bottom"/>
          </w:tcPr>
          <w:p>
            <w:pPr>
              <w:spacing w:after="0"/>
              <w:rPr>
                <w:sz w:val="18"/>
                <w:szCs w:val="18"/>
                <w:color w:val="auto"/>
              </w:rPr>
            </w:pPr>
          </w:p>
        </w:tc>
        <w:tc>
          <w:tcPr>
            <w:tcW w:w="2700" w:type="dxa"/>
            <w:vAlign w:val="bottom"/>
          </w:tcPr>
          <w:p>
            <w:pPr>
              <w:ind w:left="420"/>
              <w:spacing w:after="0"/>
              <w:rPr>
                <w:sz w:val="20"/>
                <w:szCs w:val="20"/>
                <w:color w:val="auto"/>
              </w:rPr>
            </w:pPr>
            <w:r>
              <w:rPr>
                <w:rFonts w:ascii="Arial" w:cs="Arial" w:eastAsia="Arial" w:hAnsi="Arial"/>
                <w:sz w:val="18"/>
                <w:szCs w:val="18"/>
                <w:color w:val="auto"/>
              </w:rPr>
              <w:t>% of our common stock (or</w:t>
            </w:r>
          </w:p>
        </w:tc>
        <w:tc>
          <w:tcPr>
            <w:tcW w:w="2520" w:type="dxa"/>
            <w:vAlign w:val="bottom"/>
            <w:gridSpan w:val="3"/>
          </w:tcPr>
          <w:p>
            <w:pPr>
              <w:ind w:left="280"/>
              <w:spacing w:after="0"/>
              <w:rPr>
                <w:sz w:val="20"/>
                <w:szCs w:val="20"/>
                <w:color w:val="auto"/>
              </w:rPr>
            </w:pPr>
            <w:r>
              <w:rPr>
                <w:rFonts w:ascii="Arial" w:cs="Arial" w:eastAsia="Arial" w:hAnsi="Arial"/>
                <w:sz w:val="18"/>
                <w:szCs w:val="18"/>
                <w:color w:val="auto"/>
                <w:w w:val="94"/>
              </w:rPr>
              <w:t>% if the underwriters exercise</w:t>
            </w:r>
          </w:p>
        </w:tc>
      </w:tr>
      <w:tr>
        <w:trPr>
          <w:trHeight w:val="216"/>
        </w:trPr>
        <w:tc>
          <w:tcPr>
            <w:tcW w:w="4120" w:type="dxa"/>
            <w:vAlign w:val="bottom"/>
          </w:tcPr>
          <w:p>
            <w:pPr>
              <w:spacing w:after="0"/>
              <w:rPr>
                <w:sz w:val="18"/>
                <w:szCs w:val="18"/>
                <w:color w:val="auto"/>
              </w:rPr>
            </w:pPr>
          </w:p>
        </w:tc>
        <w:tc>
          <w:tcPr>
            <w:tcW w:w="5220" w:type="dxa"/>
            <w:vAlign w:val="bottom"/>
            <w:gridSpan w:val="4"/>
          </w:tcPr>
          <w:p>
            <w:pPr>
              <w:ind w:left="140"/>
              <w:spacing w:after="0"/>
              <w:rPr>
                <w:sz w:val="20"/>
                <w:szCs w:val="20"/>
                <w:color w:val="auto"/>
              </w:rPr>
            </w:pPr>
            <w:r>
              <w:rPr>
                <w:rFonts w:ascii="Arial" w:cs="Arial" w:eastAsia="Arial" w:hAnsi="Arial"/>
                <w:sz w:val="18"/>
                <w:szCs w:val="18"/>
                <w:color w:val="auto"/>
                <w:w w:val="95"/>
              </w:rPr>
              <w:t>their option to purchase additional shares of common stock in full).</w:t>
            </w:r>
          </w:p>
        </w:tc>
      </w:tr>
      <w:tr>
        <w:trPr>
          <w:trHeight w:val="230"/>
        </w:trPr>
        <w:tc>
          <w:tcPr>
            <w:tcW w:w="4120" w:type="dxa"/>
            <w:vAlign w:val="bottom"/>
          </w:tcPr>
          <w:p>
            <w:pPr>
              <w:spacing w:after="0"/>
              <w:rPr>
                <w:sz w:val="20"/>
                <w:szCs w:val="20"/>
                <w:color w:val="auto"/>
              </w:rPr>
            </w:pPr>
          </w:p>
        </w:tc>
        <w:tc>
          <w:tcPr>
            <w:tcW w:w="5220" w:type="dxa"/>
            <w:vAlign w:val="bottom"/>
            <w:gridSpan w:val="4"/>
          </w:tcPr>
          <w:p>
            <w:pPr>
              <w:ind w:left="140"/>
              <w:spacing w:after="0"/>
              <w:rPr>
                <w:sz w:val="20"/>
                <w:szCs w:val="20"/>
                <w:color w:val="auto"/>
              </w:rPr>
            </w:pPr>
            <w:r>
              <w:rPr>
                <w:rFonts w:ascii="Arial" w:cs="Arial" w:eastAsia="Arial" w:hAnsi="Arial"/>
                <w:sz w:val="18"/>
                <w:szCs w:val="18"/>
                <w:color w:val="auto"/>
              </w:rPr>
              <w:t>See “Principal and Selling Shareholders.”</w:t>
            </w:r>
          </w:p>
        </w:tc>
      </w:tr>
      <w:tr>
        <w:trPr>
          <w:trHeight w:val="310"/>
        </w:trPr>
        <w:tc>
          <w:tcPr>
            <w:tcW w:w="412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5220" w:type="dxa"/>
            <w:vAlign w:val="bottom"/>
            <w:gridSpan w:val="4"/>
          </w:tcPr>
          <w:p>
            <w:pPr>
              <w:ind w:left="140"/>
              <w:spacing w:after="0"/>
              <w:rPr>
                <w:sz w:val="20"/>
                <w:szCs w:val="20"/>
                <w:color w:val="auto"/>
              </w:rPr>
            </w:pPr>
            <w:r>
              <w:rPr>
                <w:rFonts w:ascii="Arial" w:cs="Arial" w:eastAsia="Arial" w:hAnsi="Arial"/>
                <w:sz w:val="18"/>
                <w:szCs w:val="18"/>
                <w:color w:val="auto"/>
                <w:w w:val="95"/>
              </w:rPr>
              <w:t>Investing in shares of our common stock involves a high degree of</w:t>
            </w:r>
          </w:p>
        </w:tc>
      </w:tr>
      <w:tr>
        <w:trPr>
          <w:trHeight w:val="190"/>
        </w:trPr>
        <w:tc>
          <w:tcPr>
            <w:tcW w:w="4120" w:type="dxa"/>
            <w:vAlign w:val="bottom"/>
          </w:tcPr>
          <w:p>
            <w:pPr>
              <w:spacing w:after="0"/>
              <w:rPr>
                <w:sz w:val="16"/>
                <w:szCs w:val="16"/>
                <w:color w:val="auto"/>
              </w:rPr>
            </w:pPr>
          </w:p>
        </w:tc>
        <w:tc>
          <w:tcPr>
            <w:tcW w:w="5220" w:type="dxa"/>
            <w:vAlign w:val="bottom"/>
            <w:gridSpan w:val="4"/>
          </w:tcPr>
          <w:p>
            <w:pPr>
              <w:ind w:left="140"/>
              <w:spacing w:after="0" w:line="190" w:lineRule="exact"/>
              <w:rPr>
                <w:rFonts w:ascii="Arial" w:cs="Arial" w:eastAsia="Arial" w:hAnsi="Arial"/>
                <w:sz w:val="18"/>
                <w:szCs w:val="18"/>
                <w:color w:val="auto"/>
                <w:w w:val="96"/>
              </w:rPr>
            </w:pPr>
            <w:r>
              <w:rPr>
                <w:rFonts w:ascii="Arial" w:cs="Arial" w:eastAsia="Arial" w:hAnsi="Arial"/>
                <w:sz w:val="18"/>
                <w:szCs w:val="18"/>
                <w:color w:val="auto"/>
                <w:w w:val="96"/>
              </w:rPr>
              <w:t xml:space="preserve">risk. See “Risk Factors,” beginning on page </w:t>
            </w:r>
            <w:hyperlink w:anchor="page20">
              <w:r>
                <w:rPr>
                  <w:rFonts w:ascii="Arial" w:cs="Arial" w:eastAsia="Arial" w:hAnsi="Arial"/>
                  <w:sz w:val="18"/>
                  <w:szCs w:val="18"/>
                  <w:color w:val="0000EE"/>
                  <w:w w:val="96"/>
                </w:rPr>
                <w:t>13,</w:t>
              </w:r>
              <w:r>
                <w:rPr>
                  <w:rFonts w:ascii="Arial" w:cs="Arial" w:eastAsia="Arial" w:hAnsi="Arial"/>
                  <w:sz w:val="18"/>
                  <w:szCs w:val="18"/>
                  <w:color w:val="auto"/>
                  <w:w w:val="96"/>
                </w:rPr>
                <w:t xml:space="preserve"> </w:t>
              </w:r>
            </w:hyperlink>
            <w:r>
              <w:rPr>
                <w:rFonts w:ascii="Arial" w:cs="Arial" w:eastAsia="Arial" w:hAnsi="Arial"/>
                <w:sz w:val="18"/>
                <w:szCs w:val="18"/>
                <w:color w:val="auto"/>
                <w:w w:val="96"/>
              </w:rPr>
              <w:t>for a discussion of</w:t>
            </w:r>
          </w:p>
        </w:tc>
      </w:tr>
      <w:tr>
        <w:trPr>
          <w:trHeight w:val="20"/>
        </w:trPr>
        <w:tc>
          <w:tcPr>
            <w:tcW w:w="41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7"/>
        </w:trPr>
        <w:tc>
          <w:tcPr>
            <w:tcW w:w="4120" w:type="dxa"/>
            <w:vAlign w:val="bottom"/>
          </w:tcPr>
          <w:p>
            <w:pPr>
              <w:spacing w:after="0"/>
              <w:rPr>
                <w:sz w:val="20"/>
                <w:szCs w:val="20"/>
                <w:color w:val="auto"/>
              </w:rPr>
            </w:pPr>
          </w:p>
        </w:tc>
        <w:tc>
          <w:tcPr>
            <w:tcW w:w="5220" w:type="dxa"/>
            <w:vAlign w:val="bottom"/>
            <w:gridSpan w:val="4"/>
          </w:tcPr>
          <w:p>
            <w:pPr>
              <w:ind w:left="140"/>
              <w:spacing w:after="0"/>
              <w:rPr>
                <w:sz w:val="20"/>
                <w:szCs w:val="20"/>
                <w:color w:val="auto"/>
              </w:rPr>
            </w:pPr>
            <w:r>
              <w:rPr>
                <w:rFonts w:ascii="Arial" w:cs="Arial" w:eastAsia="Arial" w:hAnsi="Arial"/>
                <w:sz w:val="18"/>
                <w:szCs w:val="18"/>
                <w:color w:val="auto"/>
                <w:w w:val="91"/>
              </w:rPr>
              <w:t>certain factors you should consider carefully before deciding to invest.</w:t>
            </w:r>
          </w:p>
        </w:tc>
      </w:tr>
      <w:tr>
        <w:trPr>
          <w:trHeight w:val="310"/>
        </w:trPr>
        <w:tc>
          <w:tcPr>
            <w:tcW w:w="4120" w:type="dxa"/>
            <w:vAlign w:val="bottom"/>
          </w:tcPr>
          <w:p>
            <w:pPr>
              <w:spacing w:after="0"/>
              <w:rPr>
                <w:sz w:val="20"/>
                <w:szCs w:val="20"/>
                <w:color w:val="auto"/>
              </w:rPr>
            </w:pPr>
            <w:r>
              <w:rPr>
                <w:rFonts w:ascii="Arial" w:cs="Arial" w:eastAsia="Arial" w:hAnsi="Arial"/>
                <w:sz w:val="18"/>
                <w:szCs w:val="18"/>
                <w:b w:val="1"/>
                <w:bCs w:val="1"/>
                <w:color w:val="auto"/>
              </w:rPr>
              <w:t>Listing</w:t>
            </w:r>
          </w:p>
        </w:tc>
        <w:tc>
          <w:tcPr>
            <w:tcW w:w="5220" w:type="dxa"/>
            <w:vAlign w:val="bottom"/>
            <w:gridSpan w:val="4"/>
          </w:tcPr>
          <w:p>
            <w:pPr>
              <w:ind w:left="140"/>
              <w:spacing w:after="0"/>
              <w:rPr>
                <w:sz w:val="20"/>
                <w:szCs w:val="20"/>
                <w:color w:val="auto"/>
              </w:rPr>
            </w:pPr>
            <w:r>
              <w:rPr>
                <w:rFonts w:ascii="Arial" w:cs="Arial" w:eastAsia="Arial" w:hAnsi="Arial"/>
                <w:sz w:val="18"/>
                <w:szCs w:val="18"/>
                <w:color w:val="auto"/>
                <w:w w:val="96"/>
              </w:rPr>
              <w:t>We have applied to list our common stock on the NASDAQ Global</w:t>
            </w:r>
          </w:p>
        </w:tc>
      </w:tr>
      <w:tr>
        <w:trPr>
          <w:trHeight w:val="230"/>
        </w:trPr>
        <w:tc>
          <w:tcPr>
            <w:tcW w:w="4120" w:type="dxa"/>
            <w:vAlign w:val="bottom"/>
          </w:tcPr>
          <w:p>
            <w:pPr>
              <w:spacing w:after="0"/>
              <w:rPr>
                <w:sz w:val="20"/>
                <w:szCs w:val="20"/>
                <w:color w:val="auto"/>
              </w:rPr>
            </w:pPr>
          </w:p>
        </w:tc>
        <w:tc>
          <w:tcPr>
            <w:tcW w:w="5220" w:type="dxa"/>
            <w:vAlign w:val="bottom"/>
            <w:gridSpan w:val="4"/>
          </w:tcPr>
          <w:p>
            <w:pPr>
              <w:ind w:left="140"/>
              <w:spacing w:after="0"/>
              <w:rPr>
                <w:sz w:val="20"/>
                <w:szCs w:val="20"/>
                <w:color w:val="auto"/>
              </w:rPr>
            </w:pPr>
            <w:r>
              <w:rPr>
                <w:rFonts w:ascii="Arial" w:cs="Arial" w:eastAsia="Arial" w:hAnsi="Arial"/>
                <w:sz w:val="18"/>
                <w:szCs w:val="18"/>
                <w:color w:val="auto"/>
              </w:rPr>
              <w:t>Select Market under the trading symbol “SPFI.”</w:t>
            </w:r>
          </w:p>
        </w:tc>
      </w:tr>
    </w:tbl>
    <w:p>
      <w:pPr>
        <w:spacing w:after="0" w:line="94" w:lineRule="exact"/>
        <w:rPr>
          <w:sz w:val="20"/>
          <w:szCs w:val="20"/>
          <w:color w:val="auto"/>
        </w:rPr>
      </w:pPr>
    </w:p>
    <w:p>
      <w:pPr>
        <w:ind w:left="120" w:right="420" w:firstLine="360"/>
        <w:spacing w:after="0" w:line="263" w:lineRule="auto"/>
        <w:rPr>
          <w:sz w:val="20"/>
          <w:szCs w:val="20"/>
          <w:color w:val="auto"/>
        </w:rPr>
      </w:pPr>
      <w:r>
        <w:rPr>
          <w:rFonts w:ascii="Arial" w:cs="Arial" w:eastAsia="Arial" w:hAnsi="Arial"/>
          <w:sz w:val="18"/>
          <w:szCs w:val="18"/>
          <w:color w:val="auto"/>
        </w:rPr>
        <w:t>Unless otherwise indicated, all information in this prospectus relating to the number of shares of common stock to be outstanding immediately after the completion of this offering is based on 14,771,520 shares outstanding as of December 31, 2018, and excludes:</w:t>
      </w:r>
    </w:p>
    <w:p>
      <w:pPr>
        <w:spacing w:after="0" w:line="76" w:lineRule="exact"/>
        <w:rPr>
          <w:sz w:val="20"/>
          <w:szCs w:val="20"/>
          <w:color w:val="auto"/>
        </w:rPr>
      </w:pPr>
    </w:p>
    <w:p>
      <w:pPr>
        <w:ind w:left="820" w:right="20" w:hanging="351"/>
        <w:spacing w:after="0" w:line="277" w:lineRule="auto"/>
        <w:tabs>
          <w:tab w:leader="none" w:pos="10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common stock reserved and available for future awards under the South Plains Financial, Inc. 2019 Equity Incentive Plan, or the 2019 Plan; and</w:t>
      </w:r>
    </w:p>
    <w:p>
      <w:pPr>
        <w:spacing w:after="0" w:line="62" w:lineRule="exact"/>
        <w:rPr>
          <w:rFonts w:ascii="Arial" w:cs="Arial" w:eastAsia="Arial" w:hAnsi="Arial"/>
          <w:sz w:val="18"/>
          <w:szCs w:val="18"/>
          <w:color w:val="auto"/>
        </w:rPr>
      </w:pPr>
    </w:p>
    <w:p>
      <w:pPr>
        <w:ind w:left="820" w:right="380" w:hanging="351"/>
        <w:spacing w:after="0" w:line="277" w:lineRule="auto"/>
        <w:tabs>
          <w:tab w:leader="none" w:pos="10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common stock underlying the equity awards being granted in connection with this offering to Cory T. Newsom, our President.</w:t>
      </w:r>
    </w:p>
    <w:p>
      <w:pPr>
        <w:spacing w:after="0" w:line="6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See “Executive Compensation—Employment Agreement with Cory T. Newsom” for a further discussion of Mr. Newsom’s awards.</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7745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9175" cy="7745095"/>
                    </a:xfrm>
                    <a:prstGeom prst="rect">
                      <a:avLst/>
                    </a:prstGeom>
                    <a:noFill/>
                  </pic:spPr>
                </pic:pic>
              </a:graphicData>
            </a:graphic>
          </wp:anchor>
        </w:drawing>
      </w:r>
    </w:p>
    <w:p>
      <w:pPr>
        <w:spacing w:after="0" w:line="35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SELECTED HISTORICAL CONSOLIDATED FINANCIAL AND OPERATING INFORMATION</w:t>
      </w:r>
    </w:p>
    <w:p>
      <w:pPr>
        <w:spacing w:after="0" w:line="121" w:lineRule="exact"/>
        <w:rPr>
          <w:sz w:val="20"/>
          <w:szCs w:val="20"/>
          <w:color w:val="auto"/>
        </w:rPr>
      </w:pPr>
    </w:p>
    <w:p>
      <w:pPr>
        <w:ind w:left="120" w:right="40" w:firstLine="360"/>
        <w:spacing w:after="0" w:line="269" w:lineRule="auto"/>
        <w:rPr>
          <w:sz w:val="20"/>
          <w:szCs w:val="20"/>
          <w:color w:val="auto"/>
        </w:rPr>
      </w:pPr>
      <w:r>
        <w:rPr>
          <w:rFonts w:ascii="Arial" w:cs="Arial" w:eastAsia="Arial" w:hAnsi="Arial"/>
          <w:sz w:val="17"/>
          <w:szCs w:val="17"/>
          <w:color w:val="auto"/>
        </w:rPr>
        <w:t>The following table sets forth (i) selected historical consolidated financial and operating data as of and for the years ended December 31, 2018, 2017, 2016, 2015 and 2014, (ii) certain pro forma information to reflect our conversion from an S Corporation to a C Corporation, which was effective May 31, 2018, as if it had occurred at the beginning of each period, and (iii) selected ratios as of and for the periods indicated. Selected financial data as of and for the years ended December 31, 2018 and 2017 has been derived from our audited consolidated financial statements included elsewhere in this prospectus, and the selected historical consolidated financial information as of and for the years ended December 31, 2016, 2015 and 2014 has been derived from our audited consolidated financial statements not appearing in this prospectus. The historical results set forth below and elsewhere in this prospectus are not necessarily indicative of our future performance. The performance, asset quality and capital ratios are unaudited and derived from our audited and unaudited financial statements as of and for the periods presented. Average balances have been calculated using daily averages.</w:t>
      </w:r>
    </w:p>
    <w:p>
      <w:pPr>
        <w:spacing w:after="0" w:line="77" w:lineRule="exact"/>
        <w:rPr>
          <w:sz w:val="20"/>
          <w:szCs w:val="20"/>
          <w:color w:val="auto"/>
        </w:rPr>
      </w:pPr>
    </w:p>
    <w:p>
      <w:pPr>
        <w:ind w:left="120" w:right="120" w:firstLine="360"/>
        <w:spacing w:after="0" w:line="263" w:lineRule="auto"/>
        <w:rPr>
          <w:sz w:val="20"/>
          <w:szCs w:val="20"/>
          <w:color w:val="auto"/>
        </w:rPr>
      </w:pPr>
      <w:r>
        <w:rPr>
          <w:rFonts w:ascii="Arial" w:cs="Arial" w:eastAsia="Arial" w:hAnsi="Arial"/>
          <w:sz w:val="18"/>
          <w:szCs w:val="18"/>
          <w:color w:val="auto"/>
        </w:rPr>
        <w:t>You should read the following financial data in conjunction with the other information contained in this prospectus, including under “Management’s Discussion and Analysis of Financial Condition and Results of Operations” and in the financial statements and related notes included elsewhere in this prospectus.</w:t>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3"/>
              </w:rPr>
              <w:t>As of or for the Year Ended December 31,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4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(Dollars in thousands, except per share data)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4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118,094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104,440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97,220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95,033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88,753</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22,482</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15,977</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14,582</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13,543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14,304</w:t>
            </w:r>
          </w:p>
        </w:tc>
        <w:tc>
          <w:tcPr>
            <w:tcW w:w="80" w:type="dxa"/>
            <w:vAlign w:val="bottom"/>
            <w:shd w:val="clear" w:color="auto" w:fill="CCEEFF"/>
          </w:tcPr>
          <w:p>
            <w:pPr>
              <w:spacing w:after="0"/>
              <w:rPr>
                <w:sz w:val="20"/>
                <w:szCs w:val="20"/>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Net interest income</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95,612</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88,463</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82,638</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81,490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74,449</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Provision for loan losses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6,901</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3,966</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1,968</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781</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80" w:type="dxa"/>
            <w:vAlign w:val="bottom"/>
            <w:shd w:val="clear" w:color="auto" w:fill="CCEEFF"/>
          </w:tcPr>
          <w:p>
            <w:pPr>
              <w:spacing w:after="0"/>
              <w:rPr>
                <w:sz w:val="20"/>
                <w:szCs w:val="20"/>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Noninterest income</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52,121</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47,389</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49,896</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39,630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31,863</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Noninterest expense</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115,443</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108,144</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104,388</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97,293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85,972</w:t>
            </w:r>
          </w:p>
        </w:tc>
        <w:tc>
          <w:tcPr>
            <w:tcW w:w="80" w:type="dxa"/>
            <w:vAlign w:val="bottom"/>
            <w:shd w:val="clear" w:color="auto" w:fill="CCEEFF"/>
          </w:tcPr>
          <w:p>
            <w:pPr>
              <w:spacing w:after="0"/>
              <w:rPr>
                <w:sz w:val="20"/>
                <w:szCs w:val="20"/>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Net income – S Corp</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29,290</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23,635</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26,077</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22,932</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19,560</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Net income – C Corp</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20,757</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17,580</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19,652</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17,073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14,683</w:t>
            </w:r>
          </w:p>
        </w:tc>
        <w:tc>
          <w:tcPr>
            <w:tcW w:w="80" w:type="dxa"/>
            <w:vAlign w:val="bottom"/>
            <w:shd w:val="clear" w:color="auto" w:fill="CCEEFF"/>
          </w:tcPr>
          <w:p>
            <w:pPr>
              <w:spacing w:after="0"/>
              <w:rPr>
                <w:sz w:val="20"/>
                <w:szCs w:val="20"/>
                <w:color w:val="auto"/>
              </w:rPr>
            </w:pPr>
          </w:p>
        </w:tc>
      </w:tr>
      <w:tr>
        <w:trPr>
          <w:trHeight w:val="226"/>
        </w:trPr>
        <w:tc>
          <w:tcPr>
            <w:tcW w:w="4140" w:type="dxa"/>
            <w:vAlign w:val="bottom"/>
          </w:tcPr>
          <w:p>
            <w:pPr>
              <w:spacing w:after="0"/>
              <w:rPr>
                <w:sz w:val="20"/>
                <w:szCs w:val="20"/>
                <w:color w:val="auto"/>
              </w:rPr>
            </w:pPr>
            <w:r>
              <w:rPr>
                <w:rFonts w:ascii="Arial" w:cs="Arial" w:eastAsia="Arial" w:hAnsi="Arial"/>
                <w:sz w:val="17"/>
                <w:szCs w:val="17"/>
                <w:b w:val="1"/>
                <w:bCs w:val="1"/>
                <w:color w:val="auto"/>
              </w:rPr>
              <w:t>Balance Sheet Data:</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245,989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294,563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363,400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360,503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295,936</w:t>
            </w:r>
          </w:p>
        </w:tc>
        <w:tc>
          <w:tcPr>
            <w:tcW w:w="80" w:type="dxa"/>
            <w:vAlign w:val="bottom"/>
            <w:shd w:val="clear" w:color="auto" w:fill="CCEEFF"/>
          </w:tcPr>
          <w:p>
            <w:pPr>
              <w:spacing w:after="0"/>
              <w:rPr>
                <w:sz w:val="20"/>
                <w:szCs w:val="20"/>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Investment securities</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338,196</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284,009</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324,823</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331,322</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362,056</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Gross loans held for investment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1,957,197</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1,838,155</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1,661,186</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1,679,314</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1,550,033</w:t>
            </w:r>
          </w:p>
        </w:tc>
        <w:tc>
          <w:tcPr>
            <w:tcW w:w="80" w:type="dxa"/>
            <w:vAlign w:val="bottom"/>
            <w:shd w:val="clear" w:color="auto" w:fill="CCEEFF"/>
          </w:tcPr>
          <w:p>
            <w:pPr>
              <w:spacing w:after="0"/>
              <w:rPr>
                <w:sz w:val="20"/>
                <w:szCs w:val="20"/>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Allowance for loan losses</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23,126</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21,461</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21,174</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24,220</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27,940</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2,712,745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2,573,375</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2,500,813</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2,536,865</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2,335,383</w:t>
            </w:r>
          </w:p>
        </w:tc>
        <w:tc>
          <w:tcPr>
            <w:tcW w:w="80" w:type="dxa"/>
            <w:vAlign w:val="bottom"/>
            <w:shd w:val="clear" w:color="auto" w:fill="CCEEFF"/>
          </w:tcPr>
          <w:p>
            <w:pPr>
              <w:spacing w:after="0"/>
              <w:rPr>
                <w:sz w:val="20"/>
                <w:szCs w:val="20"/>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Interest-bearing deposits</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1,767,387</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1,678,919</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1,658,198</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1,713,476</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1,680,441</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Noninterest-bearing deposits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510,067</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475,162</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432,725</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413,777</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352,207</w:t>
            </w:r>
          </w:p>
        </w:tc>
        <w:tc>
          <w:tcPr>
            <w:tcW w:w="80" w:type="dxa"/>
            <w:vAlign w:val="bottom"/>
            <w:shd w:val="clear" w:color="auto" w:fill="CCEEFF"/>
          </w:tcPr>
          <w:p>
            <w:pPr>
              <w:spacing w:after="0"/>
              <w:rPr>
                <w:sz w:val="20"/>
                <w:szCs w:val="20"/>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Total deposits</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2,277,454</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2,154,081</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2,090,923</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2,127,253</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2,032,648</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Borrowings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193,100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177,830</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189,196</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206,418</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117,150</w:t>
            </w:r>
          </w:p>
        </w:tc>
        <w:tc>
          <w:tcPr>
            <w:tcW w:w="80" w:type="dxa"/>
            <w:vAlign w:val="bottom"/>
            <w:shd w:val="clear" w:color="auto" w:fill="CCEEFF"/>
          </w:tcPr>
          <w:p>
            <w:pPr>
              <w:spacing w:after="0"/>
              <w:rPr>
                <w:sz w:val="20"/>
                <w:szCs w:val="20"/>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ESOP-owned shares</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58,195</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57,121</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49,700</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39,867</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34,376</w:t>
            </w:r>
          </w:p>
        </w:tc>
        <w:tc>
          <w:tcPr>
            <w:tcW w:w="80" w:type="dxa"/>
            <w:vAlign w:val="bottom"/>
          </w:tcPr>
          <w:p>
            <w:pPr>
              <w:spacing w:after="0"/>
              <w:rPr>
                <w:sz w:val="19"/>
                <w:szCs w:val="19"/>
                <w:color w:val="auto"/>
              </w:rPr>
            </w:pPr>
          </w:p>
        </w:tc>
      </w:tr>
      <w:tr>
        <w:trPr>
          <w:trHeight w:val="205"/>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shareholders’ equity excluding ESOP-owned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154,580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158,206</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150,019</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145,372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135,942</w:t>
            </w:r>
          </w:p>
        </w:tc>
        <w:tc>
          <w:tcPr>
            <w:tcW w:w="80" w:type="dxa"/>
            <w:vAlign w:val="bottom"/>
            <w:shd w:val="clear" w:color="auto" w:fill="CCEEFF"/>
          </w:tcPr>
          <w:p>
            <w:pPr>
              <w:spacing w:after="0"/>
              <w:rPr>
                <w:sz w:val="20"/>
                <w:szCs w:val="20"/>
                <w:color w:val="auto"/>
              </w:rPr>
            </w:pPr>
          </w:p>
        </w:tc>
      </w:tr>
      <w:tr>
        <w:trPr>
          <w:trHeight w:val="230"/>
        </w:trPr>
        <w:tc>
          <w:tcPr>
            <w:tcW w:w="4140" w:type="dxa"/>
            <w:vAlign w:val="bottom"/>
          </w:tcPr>
          <w:p>
            <w:pPr>
              <w:ind w:left="180"/>
              <w:spacing w:after="0" w:line="230" w:lineRule="exact"/>
              <w:rPr>
                <w:sz w:val="20"/>
                <w:szCs w:val="20"/>
                <w:color w:val="auto"/>
              </w:rPr>
            </w:pPr>
            <w:r>
              <w:rPr>
                <w:rFonts w:ascii="Arial" w:cs="Arial" w:eastAsia="Arial" w:hAnsi="Arial"/>
                <w:sz w:val="16"/>
                <w:szCs w:val="16"/>
                <w:color w:val="auto"/>
              </w:rPr>
              <w:t>Pro forma total shareholders’ equity</w:t>
            </w:r>
            <w:r>
              <w:rPr>
                <w:rFonts w:ascii="Arial" w:cs="Arial" w:eastAsia="Arial" w:hAnsi="Arial"/>
                <w:sz w:val="26"/>
                <w:szCs w:val="26"/>
                <w:color w:val="auto"/>
                <w:vertAlign w:val="superscript"/>
              </w:rPr>
              <w:t>(2)</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212,775</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215,327</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199,719</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185,239</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170,318</w:t>
            </w:r>
          </w:p>
        </w:tc>
        <w:tc>
          <w:tcPr>
            <w:tcW w:w="80" w:type="dxa"/>
            <w:vAlign w:val="bottom"/>
          </w:tcPr>
          <w:p>
            <w:pPr>
              <w:spacing w:after="0"/>
              <w:rPr>
                <w:sz w:val="19"/>
                <w:szCs w:val="19"/>
                <w:color w:val="auto"/>
              </w:rPr>
            </w:pPr>
          </w:p>
        </w:tc>
      </w:tr>
      <w:tr>
        <w:trPr>
          <w:trHeight w:val="229"/>
        </w:trPr>
        <w:tc>
          <w:tcPr>
            <w:tcW w:w="4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 and Per Share Data:</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Earnings per share (basic) – S Corp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1.60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1.53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Earnings per share (basic) – C Corp</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80" w:type="dxa"/>
            <w:vAlign w:val="bottom"/>
            <w:shd w:val="clear" w:color="auto" w:fill="CCEEFF"/>
          </w:tcPr>
          <w:p>
            <w:pPr>
              <w:spacing w:after="0"/>
              <w:rPr>
                <w:sz w:val="20"/>
                <w:szCs w:val="20"/>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Earnings per share (diluted) – S Corp</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Earnings per share (diluted) – C Corp</w:t>
            </w:r>
            <w:r>
              <w:rPr>
                <w:rFonts w:ascii="Arial" w:cs="Arial" w:eastAsia="Arial" w:hAnsi="Arial"/>
                <w:sz w:val="27"/>
                <w:szCs w:val="27"/>
                <w:color w:val="auto"/>
                <w:vertAlign w:val="superscript"/>
              </w:rPr>
              <w:t>(1)</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80" w:type="dxa"/>
            <w:vAlign w:val="bottom"/>
            <w:shd w:val="clear" w:color="auto" w:fill="CCEEFF"/>
          </w:tcPr>
          <w:p>
            <w:pPr>
              <w:spacing w:after="0"/>
              <w:rPr>
                <w:sz w:val="20"/>
                <w:szCs w:val="20"/>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rPr>
              <w:t>Dividends per share</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0.53</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0.43</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0.48</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0.27</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line="236" w:lineRule="exact"/>
              <w:rPr>
                <w:sz w:val="20"/>
                <w:szCs w:val="20"/>
                <w:color w:val="auto"/>
              </w:rPr>
            </w:pPr>
            <w:r>
              <w:rPr>
                <w:rFonts w:ascii="Arial" w:cs="Arial" w:eastAsia="Arial" w:hAnsi="Arial"/>
                <w:sz w:val="17"/>
                <w:szCs w:val="17"/>
                <w:color w:val="auto"/>
              </w:rPr>
              <w:t>Book value per share</w:t>
            </w:r>
            <w:r>
              <w:rPr>
                <w:rFonts w:ascii="Arial" w:cs="Arial" w:eastAsia="Arial" w:hAnsi="Arial"/>
                <w:sz w:val="27"/>
                <w:szCs w:val="27"/>
                <w:color w:val="auto"/>
                <w:vertAlign w:val="superscript"/>
              </w:rPr>
              <w:t>(3)</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14.40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14.58</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13.58</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80" w:type="dxa"/>
            <w:vAlign w:val="bottom"/>
            <w:shd w:val="clear" w:color="auto" w:fill="CCEEFF"/>
          </w:tcPr>
          <w:p>
            <w:pPr>
              <w:spacing w:after="0"/>
              <w:rPr>
                <w:sz w:val="20"/>
                <w:szCs w:val="20"/>
                <w:color w:val="auto"/>
              </w:rPr>
            </w:pPr>
          </w:p>
        </w:tc>
      </w:tr>
      <w:tr>
        <w:trPr>
          <w:trHeight w:val="229"/>
        </w:trPr>
        <w:tc>
          <w:tcPr>
            <w:tcW w:w="4140" w:type="dxa"/>
            <w:vAlign w:val="bottom"/>
          </w:tcPr>
          <w:p>
            <w:pPr>
              <w:ind w:left="180"/>
              <w:spacing w:after="0" w:line="230" w:lineRule="exact"/>
              <w:rPr>
                <w:sz w:val="20"/>
                <w:szCs w:val="20"/>
                <w:color w:val="auto"/>
              </w:rPr>
            </w:pPr>
            <w:r>
              <w:rPr>
                <w:rFonts w:ascii="Arial" w:cs="Arial" w:eastAsia="Arial" w:hAnsi="Arial"/>
                <w:sz w:val="16"/>
                <w:szCs w:val="16"/>
                <w:color w:val="auto"/>
              </w:rPr>
              <w:t>Tangible book value per share</w:t>
            </w:r>
            <w:r>
              <w:rPr>
                <w:rFonts w:ascii="Arial" w:cs="Arial" w:eastAsia="Arial" w:hAnsi="Arial"/>
                <w:sz w:val="26"/>
                <w:szCs w:val="26"/>
                <w:color w:val="auto"/>
                <w:vertAlign w:val="superscript"/>
              </w:rPr>
              <w:t>(3)(4)</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14.40</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14.58</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13.58</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12.33</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11.38</w:t>
            </w:r>
          </w:p>
        </w:tc>
        <w:tc>
          <w:tcPr>
            <w:tcW w:w="80" w:type="dxa"/>
            <w:vAlign w:val="bottom"/>
          </w:tcPr>
          <w:p>
            <w:pPr>
              <w:spacing w:after="0"/>
              <w:rPr>
                <w:sz w:val="19"/>
                <w:szCs w:val="19"/>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Weighted average common shares outstanding (basic)</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14,771,520</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14,769,086</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14,932,021</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14,963,288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14,960,756</w:t>
            </w:r>
          </w:p>
        </w:tc>
        <w:tc>
          <w:tcPr>
            <w:tcW w:w="80" w:type="dxa"/>
            <w:vAlign w:val="bottom"/>
            <w:shd w:val="clear" w:color="auto" w:fill="CCEEFF"/>
          </w:tcPr>
          <w:p>
            <w:pPr>
              <w:spacing w:after="0"/>
              <w:rPr>
                <w:sz w:val="19"/>
                <w:szCs w:val="19"/>
                <w:color w:val="auto"/>
              </w:rPr>
            </w:pPr>
          </w:p>
        </w:tc>
      </w:tr>
      <w:tr>
        <w:trPr>
          <w:trHeight w:val="223"/>
        </w:trPr>
        <w:tc>
          <w:tcPr>
            <w:tcW w:w="4140" w:type="dxa"/>
            <w:vAlign w:val="bottom"/>
          </w:tcPr>
          <w:p>
            <w:pPr>
              <w:ind w:left="180"/>
              <w:spacing w:after="0"/>
              <w:rPr>
                <w:sz w:val="20"/>
                <w:szCs w:val="20"/>
                <w:color w:val="auto"/>
              </w:rPr>
            </w:pPr>
            <w:r>
              <w:rPr>
                <w:rFonts w:ascii="Arial" w:cs="Arial" w:eastAsia="Arial" w:hAnsi="Arial"/>
                <w:sz w:val="17"/>
                <w:szCs w:val="17"/>
                <w:color w:val="auto"/>
                <w:w w:val="93"/>
              </w:rPr>
              <w:t>Weighted average common shares outstanding (diluted)</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86"/>
              </w:rPr>
              <w:t>14,771,520</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14,771,520</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14,997,897</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15,092,592</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15,153,510</w:t>
            </w:r>
          </w:p>
        </w:tc>
        <w:tc>
          <w:tcPr>
            <w:tcW w:w="80" w:type="dxa"/>
            <w:vAlign w:val="bottom"/>
          </w:tcPr>
          <w:p>
            <w:pPr>
              <w:spacing w:after="0"/>
              <w:rPr>
                <w:sz w:val="19"/>
                <w:szCs w:val="19"/>
                <w:color w:val="auto"/>
              </w:rPr>
            </w:pPr>
          </w:p>
        </w:tc>
      </w:tr>
      <w:tr>
        <w:trPr>
          <w:trHeight w:val="236"/>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Shares outstanding at end of period</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6"/>
              </w:rPr>
              <w:t>14,771,520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14,771,520</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14,771,520</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9"/>
              </w:rPr>
              <w:t>15,028,830</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15,153,510</w:t>
            </w:r>
          </w:p>
        </w:tc>
        <w:tc>
          <w:tcPr>
            <w:tcW w:w="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9175" cy="6621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99175" cy="6621780"/>
                    </a:xfrm>
                    <a:prstGeom prst="rect">
                      <a:avLst/>
                    </a:prstGeom>
                    <a:noFill/>
                  </pic:spPr>
                </pic:pic>
              </a:graphicData>
            </a:graphic>
          </wp:anchor>
        </w:drawing>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As of or for the 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14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8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3"/>
                <w:szCs w:val="13"/>
                <w:b w:val="1"/>
                <w:bCs w:val="1"/>
                <w:color w:val="auto"/>
              </w:rPr>
              <w:t>2018</w:t>
            </w:r>
            <w:r>
              <w:rPr>
                <w:rFonts w:ascii="Arial" w:cs="Arial" w:eastAsia="Arial" w:hAnsi="Arial"/>
                <w:sz w:val="21"/>
                <w:szCs w:val="21"/>
                <w:b w:val="1"/>
                <w:bCs w:val="1"/>
                <w:color w:val="auto"/>
                <w:vertAlign w:val="superscript"/>
              </w:rPr>
              <w:t>(1)</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r>
      <w:tr>
        <w:trPr>
          <w:trHeight w:val="196"/>
        </w:trPr>
        <w:tc>
          <w:tcPr>
            <w:tcW w:w="14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(Dollars in thousands, except per share data)</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Performance Ratios: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060" w:type="dxa"/>
            <w:vAlign w:val="bottom"/>
            <w:gridSpan w:val="2"/>
          </w:tcPr>
          <w:p>
            <w:pPr>
              <w:ind w:left="180"/>
              <w:spacing w:after="0"/>
              <w:rPr>
                <w:sz w:val="20"/>
                <w:szCs w:val="20"/>
                <w:color w:val="auto"/>
              </w:rPr>
            </w:pPr>
            <w:r>
              <w:rPr>
                <w:rFonts w:ascii="Arial" w:cs="Arial" w:eastAsia="Arial" w:hAnsi="Arial"/>
                <w:sz w:val="17"/>
                <w:szCs w:val="17"/>
                <w:color w:val="auto"/>
              </w:rPr>
              <w:t>Return on average: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40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Assets – S Corp</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0.86%</w:t>
            </w:r>
          </w:p>
        </w:tc>
      </w:tr>
      <w:tr>
        <w:trPr>
          <w:trHeight w:val="230"/>
        </w:trPr>
        <w:tc>
          <w:tcPr>
            <w:tcW w:w="4060" w:type="dxa"/>
            <w:vAlign w:val="bottom"/>
            <w:gridSpan w:val="2"/>
          </w:tcPr>
          <w:p>
            <w:pPr>
              <w:ind w:left="360"/>
              <w:spacing w:after="0" w:line="230" w:lineRule="exact"/>
              <w:rPr>
                <w:sz w:val="20"/>
                <w:szCs w:val="20"/>
                <w:color w:val="auto"/>
              </w:rPr>
            </w:pPr>
            <w:r>
              <w:rPr>
                <w:rFonts w:ascii="Arial" w:cs="Arial" w:eastAsia="Arial" w:hAnsi="Arial"/>
                <w:sz w:val="16"/>
                <w:szCs w:val="16"/>
                <w:color w:val="auto"/>
              </w:rPr>
              <w:t>Assets – C Corp</w:t>
            </w:r>
            <w:r>
              <w:rPr>
                <w:rFonts w:ascii="Arial" w:cs="Arial" w:eastAsia="Arial" w:hAnsi="Arial"/>
                <w:sz w:val="26"/>
                <w:szCs w:val="26"/>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7"/>
                <w:szCs w:val="17"/>
                <w:color w:val="auto"/>
              </w:rPr>
              <w:t>0.79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0.69</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0.77</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0.71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0.64</w:t>
            </w:r>
          </w:p>
        </w:tc>
        <w:tc>
          <w:tcPr>
            <w:tcW w:w="80" w:type="dxa"/>
            <w:vAlign w:val="bottom"/>
          </w:tcPr>
          <w:p>
            <w:pPr>
              <w:spacing w:after="0"/>
              <w:rPr>
                <w:sz w:val="19"/>
                <w:szCs w:val="19"/>
                <w:color w:val="auto"/>
              </w:rPr>
            </w:pPr>
          </w:p>
        </w:tc>
      </w:tr>
      <w:tr>
        <w:trPr>
          <w:trHeight w:val="229"/>
        </w:trPr>
        <w:tc>
          <w:tcPr>
            <w:tcW w:w="406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6"/>
                <w:szCs w:val="16"/>
                <w:color w:val="auto"/>
              </w:rPr>
              <w:t>Shareholders’ equity – S Corp</w:t>
            </w:r>
            <w:r>
              <w:rPr>
                <w:rFonts w:ascii="Arial" w:cs="Arial" w:eastAsia="Arial" w:hAnsi="Arial"/>
                <w:sz w:val="26"/>
                <w:szCs w:val="26"/>
                <w:color w:val="auto"/>
                <w:vertAlign w:val="superscript"/>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80" w:type="dxa"/>
            <w:vAlign w:val="bottom"/>
            <w:shd w:val="clear" w:color="auto" w:fill="CCEEFF"/>
          </w:tcPr>
          <w:p>
            <w:pPr>
              <w:spacing w:after="0"/>
              <w:rPr>
                <w:sz w:val="19"/>
                <w:szCs w:val="19"/>
                <w:color w:val="auto"/>
              </w:rPr>
            </w:pPr>
          </w:p>
        </w:tc>
      </w:tr>
      <w:tr>
        <w:trPr>
          <w:trHeight w:val="229"/>
        </w:trPr>
        <w:tc>
          <w:tcPr>
            <w:tcW w:w="4060" w:type="dxa"/>
            <w:vAlign w:val="bottom"/>
            <w:gridSpan w:val="2"/>
          </w:tcPr>
          <w:p>
            <w:pPr>
              <w:ind w:left="360"/>
              <w:spacing w:after="0" w:line="230" w:lineRule="exact"/>
              <w:rPr>
                <w:sz w:val="20"/>
                <w:szCs w:val="20"/>
                <w:color w:val="auto"/>
              </w:rPr>
            </w:pPr>
            <w:r>
              <w:rPr>
                <w:rFonts w:ascii="Arial" w:cs="Arial" w:eastAsia="Arial" w:hAnsi="Arial"/>
                <w:sz w:val="16"/>
                <w:szCs w:val="16"/>
                <w:color w:val="auto"/>
              </w:rPr>
              <w:t>Shareholders’ equity – C Corp</w:t>
            </w:r>
            <w:r>
              <w:rPr>
                <w:rFonts w:ascii="Arial" w:cs="Arial" w:eastAsia="Arial" w:hAnsi="Arial"/>
                <w:sz w:val="26"/>
                <w:szCs w:val="26"/>
                <w:color w:val="auto"/>
                <w:vertAlign w:val="superscript"/>
              </w:rPr>
              <w:t>(1)(3)</w:t>
            </w:r>
          </w:p>
        </w:tc>
        <w:tc>
          <w:tcPr>
            <w:tcW w:w="880" w:type="dxa"/>
            <w:vAlign w:val="bottom"/>
          </w:tcPr>
          <w:p>
            <w:pPr>
              <w:jc w:val="right"/>
              <w:spacing w:after="0"/>
              <w:rPr>
                <w:sz w:val="20"/>
                <w:szCs w:val="20"/>
                <w:color w:val="auto"/>
              </w:rPr>
            </w:pPr>
            <w:r>
              <w:rPr>
                <w:rFonts w:ascii="Arial" w:cs="Arial" w:eastAsia="Arial" w:hAnsi="Arial"/>
                <w:sz w:val="17"/>
                <w:szCs w:val="17"/>
                <w:color w:val="auto"/>
              </w:rPr>
              <w:t>9.66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9.34</w:t>
            </w:r>
          </w:p>
        </w:tc>
        <w:tc>
          <w:tcPr>
            <w:tcW w:w="80" w:type="dxa"/>
            <w:vAlign w:val="bottom"/>
          </w:tcPr>
          <w:p>
            <w:pPr>
              <w:spacing w:after="0"/>
              <w:rPr>
                <w:sz w:val="19"/>
                <w:szCs w:val="19"/>
                <w:color w:val="auto"/>
              </w:rPr>
            </w:pPr>
          </w:p>
        </w:tc>
      </w:tr>
      <w:tr>
        <w:trPr>
          <w:trHeight w:val="230"/>
        </w:trPr>
        <w:tc>
          <w:tcPr>
            <w:tcW w:w="40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6"/>
                <w:szCs w:val="26"/>
                <w:color w:val="auto"/>
                <w:vertAlign w:val="superscript"/>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80" w:type="dxa"/>
            <w:vAlign w:val="bottom"/>
            <w:shd w:val="clear" w:color="auto" w:fill="CCEEFF"/>
          </w:tcPr>
          <w:p>
            <w:pPr>
              <w:spacing w:after="0"/>
              <w:rPr>
                <w:sz w:val="19"/>
                <w:szCs w:val="19"/>
                <w:color w:val="auto"/>
              </w:rPr>
            </w:pPr>
          </w:p>
        </w:tc>
      </w:tr>
      <w:tr>
        <w:trPr>
          <w:trHeight w:val="229"/>
        </w:trPr>
        <w:tc>
          <w:tcPr>
            <w:tcW w:w="406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Efficiency ratio</w:t>
            </w:r>
            <w:r>
              <w:rPr>
                <w:rFonts w:ascii="Arial" w:cs="Arial" w:eastAsia="Arial" w:hAnsi="Arial"/>
                <w:sz w:val="26"/>
                <w:szCs w:val="26"/>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7"/>
                <w:szCs w:val="17"/>
                <w:color w:val="auto"/>
              </w:rPr>
              <w:t>77.64</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77.87</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77.01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78.33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78.74</w:t>
            </w:r>
          </w:p>
        </w:tc>
        <w:tc>
          <w:tcPr>
            <w:tcW w:w="80" w:type="dxa"/>
            <w:vAlign w:val="bottom"/>
          </w:tcPr>
          <w:p>
            <w:pPr>
              <w:spacing w:after="0"/>
              <w:rPr>
                <w:sz w:val="19"/>
                <w:szCs w:val="19"/>
                <w:color w:val="auto"/>
              </w:rPr>
            </w:pPr>
          </w:p>
        </w:tc>
      </w:tr>
      <w:tr>
        <w:trPr>
          <w:trHeight w:val="230"/>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Deposit Ratios:</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4060" w:type="dxa"/>
            <w:vAlign w:val="bottom"/>
            <w:gridSpan w:val="2"/>
          </w:tcPr>
          <w:p>
            <w:pPr>
              <w:ind w:left="180"/>
              <w:spacing w:after="0"/>
              <w:rPr>
                <w:sz w:val="20"/>
                <w:szCs w:val="20"/>
                <w:color w:val="auto"/>
              </w:rPr>
            </w:pPr>
            <w:r>
              <w:rPr>
                <w:rFonts w:ascii="Arial" w:cs="Arial" w:eastAsia="Arial" w:hAnsi="Arial"/>
                <w:sz w:val="17"/>
                <w:szCs w:val="17"/>
                <w:color w:val="auto"/>
              </w:rPr>
              <w:t>Total loans to deposits</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86.61%</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85.70%</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79.67%</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79.85%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75.62%</w:t>
            </w:r>
          </w:p>
        </w:tc>
      </w:tr>
      <w:tr>
        <w:trPr>
          <w:trHeight w:val="236"/>
        </w:trPr>
        <w:tc>
          <w:tcPr>
            <w:tcW w:w="406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7"/>
                <w:szCs w:val="17"/>
                <w:color w:val="auto"/>
              </w:rPr>
              <w:t>Core deposits to total deposits</w:t>
            </w:r>
            <w:r>
              <w:rPr>
                <w:rFonts w:ascii="Arial" w:cs="Arial" w:eastAsia="Arial" w:hAnsi="Arial"/>
                <w:sz w:val="27"/>
                <w:szCs w:val="27"/>
                <w:color w:val="auto"/>
                <w:vertAlign w:val="superscript"/>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90.38</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88.40</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89.97</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87.97</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86.55</w:t>
            </w:r>
          </w:p>
        </w:tc>
        <w:tc>
          <w:tcPr>
            <w:tcW w:w="80" w:type="dxa"/>
            <w:vAlign w:val="bottom"/>
            <w:shd w:val="clear" w:color="auto" w:fill="CCEEFF"/>
          </w:tcPr>
          <w:p>
            <w:pPr>
              <w:spacing w:after="0"/>
              <w:rPr>
                <w:sz w:val="20"/>
                <w:szCs w:val="20"/>
                <w:color w:val="auto"/>
              </w:rPr>
            </w:pPr>
          </w:p>
        </w:tc>
      </w:tr>
      <w:tr>
        <w:trPr>
          <w:trHeight w:val="223"/>
        </w:trPr>
        <w:tc>
          <w:tcPr>
            <w:tcW w:w="4060" w:type="dxa"/>
            <w:vAlign w:val="bottom"/>
            <w:gridSpan w:val="2"/>
          </w:tcPr>
          <w:p>
            <w:pPr>
              <w:ind w:left="180"/>
              <w:spacing w:after="0"/>
              <w:rPr>
                <w:sz w:val="20"/>
                <w:szCs w:val="20"/>
                <w:color w:val="auto"/>
              </w:rPr>
            </w:pPr>
            <w:r>
              <w:rPr>
                <w:rFonts w:ascii="Arial" w:cs="Arial" w:eastAsia="Arial" w:hAnsi="Arial"/>
                <w:sz w:val="17"/>
                <w:szCs w:val="17"/>
                <w:color w:val="auto"/>
              </w:rPr>
              <w:t>Noninterest-bearing deposits to total deposits</w:t>
            </w:r>
          </w:p>
        </w:tc>
        <w:tc>
          <w:tcPr>
            <w:tcW w:w="880" w:type="dxa"/>
            <w:vAlign w:val="bottom"/>
          </w:tcPr>
          <w:p>
            <w:pPr>
              <w:jc w:val="right"/>
              <w:spacing w:after="0"/>
              <w:rPr>
                <w:sz w:val="20"/>
                <w:szCs w:val="20"/>
                <w:color w:val="auto"/>
              </w:rPr>
            </w:pPr>
            <w:r>
              <w:rPr>
                <w:rFonts w:ascii="Arial" w:cs="Arial" w:eastAsia="Arial" w:hAnsi="Arial"/>
                <w:sz w:val="17"/>
                <w:szCs w:val="17"/>
                <w:color w:val="auto"/>
              </w:rPr>
              <w:t>22.40</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22.06</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20.70</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19.45</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17.33</w:t>
            </w:r>
          </w:p>
        </w:tc>
        <w:tc>
          <w:tcPr>
            <w:tcW w:w="80" w:type="dxa"/>
            <w:vAlign w:val="bottom"/>
          </w:tcPr>
          <w:p>
            <w:pPr>
              <w:spacing w:after="0"/>
              <w:rPr>
                <w:sz w:val="19"/>
                <w:szCs w:val="19"/>
                <w:color w:val="auto"/>
              </w:rPr>
            </w:pPr>
          </w:p>
        </w:tc>
      </w:tr>
      <w:tr>
        <w:trPr>
          <w:trHeight w:val="236"/>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Cost of total deposits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80" w:type="dxa"/>
            <w:vAlign w:val="bottom"/>
            <w:shd w:val="clear" w:color="auto" w:fill="CCEEFF"/>
          </w:tcPr>
          <w:p>
            <w:pPr>
              <w:spacing w:after="0"/>
              <w:rPr>
                <w:sz w:val="20"/>
                <w:szCs w:val="20"/>
                <w:color w:val="auto"/>
              </w:rPr>
            </w:pPr>
          </w:p>
        </w:tc>
      </w:tr>
      <w:tr>
        <w:trPr>
          <w:trHeight w:val="226"/>
        </w:trPr>
        <w:tc>
          <w:tcPr>
            <w:tcW w:w="4060" w:type="dxa"/>
            <w:vAlign w:val="bottom"/>
            <w:gridSpan w:val="2"/>
          </w:tcPr>
          <w:p>
            <w:pPr>
              <w:spacing w:after="0"/>
              <w:rPr>
                <w:sz w:val="20"/>
                <w:szCs w:val="20"/>
                <w:color w:val="auto"/>
              </w:rPr>
            </w:pPr>
            <w:r>
              <w:rPr>
                <w:rFonts w:ascii="Arial" w:cs="Arial" w:eastAsia="Arial" w:hAnsi="Arial"/>
                <w:sz w:val="17"/>
                <w:szCs w:val="17"/>
                <w:b w:val="1"/>
                <w:bCs w:val="1"/>
                <w:color w:val="auto"/>
              </w:rPr>
              <w:t>Credit Quality Ratios: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3"/>
        </w:trPr>
        <w:tc>
          <w:tcPr>
            <w:tcW w:w="4060" w:type="dxa"/>
            <w:vAlign w:val="bottom"/>
            <w:gridSpan w:val="2"/>
            <w:shd w:val="clear" w:color="auto" w:fill="CCEEFF"/>
          </w:tcPr>
          <w:p>
            <w:pPr>
              <w:ind w:left="180"/>
              <w:spacing w:after="0" w:line="233" w:lineRule="exact"/>
              <w:rPr>
                <w:sz w:val="20"/>
                <w:szCs w:val="20"/>
                <w:color w:val="auto"/>
              </w:rPr>
            </w:pPr>
            <w:r>
              <w:rPr>
                <w:rFonts w:ascii="Arial" w:cs="Arial" w:eastAsia="Arial" w:hAnsi="Arial"/>
                <w:sz w:val="17"/>
                <w:szCs w:val="17"/>
                <w:color w:val="auto"/>
              </w:rPr>
              <w:t>Nonperforming assets to total loans and OREO</w:t>
            </w:r>
            <w:r>
              <w:rPr>
                <w:rFonts w:ascii="Arial" w:cs="Arial" w:eastAsia="Arial" w:hAnsi="Arial"/>
                <w:sz w:val="27"/>
                <w:szCs w:val="27"/>
                <w:color w:val="auto"/>
                <w:vertAlign w:val="superscript"/>
              </w:rPr>
              <w:t>(8)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0.91%</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w:t>
            </w:r>
          </w:p>
        </w:tc>
      </w:tr>
      <w:tr>
        <w:trPr>
          <w:trHeight w:val="229"/>
        </w:trPr>
        <w:tc>
          <w:tcPr>
            <w:tcW w:w="406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Allowance for loan losses to nonperforming loans</w:t>
            </w:r>
            <w:r>
              <w:rPr>
                <w:rFonts w:ascii="Arial" w:cs="Arial" w:eastAsia="Arial" w:hAnsi="Arial"/>
                <w:sz w:val="26"/>
                <w:szCs w:val="26"/>
                <w:color w:val="auto"/>
                <w:vertAlign w:val="superscript"/>
              </w:rPr>
              <w:t>(9)</w:t>
            </w:r>
          </w:p>
        </w:tc>
        <w:tc>
          <w:tcPr>
            <w:tcW w:w="880" w:type="dxa"/>
            <w:vAlign w:val="bottom"/>
          </w:tcPr>
          <w:p>
            <w:pPr>
              <w:jc w:val="right"/>
              <w:spacing w:after="0"/>
              <w:rPr>
                <w:sz w:val="20"/>
                <w:szCs w:val="20"/>
                <w:color w:val="auto"/>
              </w:rPr>
            </w:pPr>
            <w:r>
              <w:rPr>
                <w:rFonts w:ascii="Arial" w:cs="Arial" w:eastAsia="Arial" w:hAnsi="Arial"/>
                <w:sz w:val="17"/>
                <w:szCs w:val="17"/>
                <w:color w:val="auto"/>
              </w:rPr>
              <w:t>332.56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154.38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294.29</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275.07</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135.18</w:t>
            </w:r>
          </w:p>
        </w:tc>
        <w:tc>
          <w:tcPr>
            <w:tcW w:w="80" w:type="dxa"/>
            <w:vAlign w:val="bottom"/>
          </w:tcPr>
          <w:p>
            <w:pPr>
              <w:spacing w:after="0"/>
              <w:rPr>
                <w:sz w:val="19"/>
                <w:szCs w:val="19"/>
                <w:color w:val="auto"/>
              </w:rPr>
            </w:pPr>
          </w:p>
        </w:tc>
      </w:tr>
      <w:tr>
        <w:trPr>
          <w:trHeight w:val="230"/>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Allowance for loan losses to gross loans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CEEFF"/>
          </w:tcPr>
          <w:p>
            <w:pPr>
              <w:spacing w:after="0"/>
              <w:rPr>
                <w:sz w:val="19"/>
                <w:szCs w:val="19"/>
                <w:color w:val="auto"/>
              </w:rPr>
            </w:pPr>
          </w:p>
        </w:tc>
      </w:tr>
      <w:tr>
        <w:trPr>
          <w:trHeight w:val="223"/>
        </w:trPr>
        <w:tc>
          <w:tcPr>
            <w:tcW w:w="4060" w:type="dxa"/>
            <w:vAlign w:val="bottom"/>
            <w:gridSpan w:val="2"/>
          </w:tcPr>
          <w:p>
            <w:pPr>
              <w:ind w:left="180"/>
              <w:spacing w:after="0"/>
              <w:rPr>
                <w:sz w:val="20"/>
                <w:szCs w:val="20"/>
                <w:color w:val="auto"/>
              </w:rPr>
            </w:pPr>
            <w:r>
              <w:rPr>
                <w:rFonts w:ascii="Arial" w:cs="Arial" w:eastAsia="Arial" w:hAnsi="Arial"/>
                <w:sz w:val="17"/>
                <w:szCs w:val="17"/>
                <w:color w:val="auto"/>
              </w:rPr>
              <w:t>Net loan charge-offs to average loans</w:t>
            </w:r>
          </w:p>
        </w:tc>
        <w:tc>
          <w:tcPr>
            <w:tcW w:w="880" w:type="dxa"/>
            <w:vAlign w:val="bottom"/>
          </w:tcPr>
          <w:p>
            <w:pPr>
              <w:jc w:val="right"/>
              <w:spacing w:after="0"/>
              <w:rPr>
                <w:sz w:val="20"/>
                <w:szCs w:val="20"/>
                <w:color w:val="auto"/>
              </w:rPr>
            </w:pPr>
            <w:r>
              <w:rPr>
                <w:rFonts w:ascii="Arial" w:cs="Arial" w:eastAsia="Arial" w:hAnsi="Arial"/>
                <w:sz w:val="17"/>
                <w:szCs w:val="17"/>
                <w:color w:val="auto"/>
              </w:rPr>
              <w:t>0.27</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0.21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0.30</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0.27</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0.12</w:t>
            </w:r>
          </w:p>
        </w:tc>
        <w:tc>
          <w:tcPr>
            <w:tcW w:w="80" w:type="dxa"/>
            <w:vAlign w:val="bottom"/>
          </w:tcPr>
          <w:p>
            <w:pPr>
              <w:spacing w:after="0"/>
              <w:rPr>
                <w:sz w:val="19"/>
                <w:szCs w:val="19"/>
                <w:color w:val="auto"/>
              </w:rPr>
            </w:pPr>
          </w:p>
        </w:tc>
      </w:tr>
      <w:tr>
        <w:trPr>
          <w:trHeight w:val="236"/>
        </w:trPr>
        <w:tc>
          <w:tcPr>
            <w:tcW w:w="4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Capital Ratios:</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0"/>
        </w:trPr>
        <w:tc>
          <w:tcPr>
            <w:tcW w:w="4060" w:type="dxa"/>
            <w:vAlign w:val="bottom"/>
            <w:gridSpan w:val="2"/>
          </w:tcPr>
          <w:p>
            <w:pPr>
              <w:ind w:left="180"/>
              <w:spacing w:after="0" w:line="230" w:lineRule="exact"/>
              <w:rPr>
                <w:sz w:val="20"/>
                <w:szCs w:val="20"/>
                <w:color w:val="auto"/>
              </w:rPr>
            </w:pPr>
            <w:r>
              <w:rPr>
                <w:rFonts w:ascii="Arial" w:cs="Arial" w:eastAsia="Arial" w:hAnsi="Arial"/>
                <w:sz w:val="16"/>
                <w:szCs w:val="16"/>
                <w:color w:val="auto"/>
              </w:rPr>
              <w:t>Total shareholders’ equity to total assets</w:t>
            </w:r>
            <w:r>
              <w:rPr>
                <w:rFonts w:ascii="Arial" w:cs="Arial" w:eastAsia="Arial" w:hAnsi="Arial"/>
                <w:sz w:val="26"/>
                <w:szCs w:val="26"/>
                <w:color w:val="auto"/>
                <w:vertAlign w:val="superscript"/>
              </w:rPr>
              <w:t>(3)</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7.84%</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8.37%</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7.99%</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7.30%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7.29%</w:t>
            </w:r>
          </w:p>
        </w:tc>
      </w:tr>
      <w:tr>
        <w:trPr>
          <w:trHeight w:val="229"/>
        </w:trPr>
        <w:tc>
          <w:tcPr>
            <w:tcW w:w="40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6"/>
                <w:szCs w:val="16"/>
                <w:color w:val="auto"/>
              </w:rPr>
              <w:t>Tangible common equity to tangible assets</w:t>
            </w:r>
            <w:r>
              <w:rPr>
                <w:rFonts w:ascii="Arial" w:cs="Arial" w:eastAsia="Arial" w:hAnsi="Arial"/>
                <w:sz w:val="26"/>
                <w:szCs w:val="26"/>
                <w:color w:val="auto"/>
                <w:vertAlign w:val="superscript"/>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80" w:type="dxa"/>
            <w:vAlign w:val="bottom"/>
            <w:shd w:val="clear" w:color="auto" w:fill="CCEEFF"/>
          </w:tcPr>
          <w:p>
            <w:pPr>
              <w:spacing w:after="0"/>
              <w:rPr>
                <w:sz w:val="19"/>
                <w:szCs w:val="19"/>
                <w:color w:val="auto"/>
              </w:rPr>
            </w:pPr>
          </w:p>
        </w:tc>
      </w:tr>
      <w:tr>
        <w:trPr>
          <w:trHeight w:val="223"/>
        </w:trPr>
        <w:tc>
          <w:tcPr>
            <w:tcW w:w="4060" w:type="dxa"/>
            <w:vAlign w:val="bottom"/>
            <w:gridSpan w:val="2"/>
          </w:tcPr>
          <w:p>
            <w:pPr>
              <w:ind w:left="180"/>
              <w:spacing w:after="0"/>
              <w:rPr>
                <w:sz w:val="20"/>
                <w:szCs w:val="20"/>
                <w:color w:val="auto"/>
              </w:rPr>
            </w:pPr>
            <w:r>
              <w:rPr>
                <w:rFonts w:ascii="Arial" w:cs="Arial" w:eastAsia="Arial" w:hAnsi="Arial"/>
                <w:sz w:val="17"/>
                <w:szCs w:val="17"/>
                <w:color w:val="auto"/>
              </w:rPr>
              <w:t>Common equity tier 1 capital ratio</w:t>
            </w:r>
          </w:p>
        </w:tc>
        <w:tc>
          <w:tcPr>
            <w:tcW w:w="880" w:type="dxa"/>
            <w:vAlign w:val="bottom"/>
          </w:tcPr>
          <w:p>
            <w:pPr>
              <w:jc w:val="right"/>
              <w:spacing w:after="0"/>
              <w:rPr>
                <w:sz w:val="20"/>
                <w:szCs w:val="20"/>
                <w:color w:val="auto"/>
              </w:rPr>
            </w:pPr>
            <w:r>
              <w:rPr>
                <w:rFonts w:ascii="Arial" w:cs="Arial" w:eastAsia="Arial" w:hAnsi="Arial"/>
                <w:sz w:val="17"/>
                <w:szCs w:val="17"/>
                <w:color w:val="auto"/>
              </w:rPr>
              <w:t>9.91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10.78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10.91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9.96</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r>
      <w:tr>
        <w:trPr>
          <w:trHeight w:val="236"/>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Tier 1 leverage ratio</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80" w:type="dxa"/>
            <w:vAlign w:val="bottom"/>
            <w:shd w:val="clear" w:color="auto" w:fill="CCEEFF"/>
          </w:tcPr>
          <w:p>
            <w:pPr>
              <w:spacing w:after="0"/>
              <w:rPr>
                <w:sz w:val="20"/>
                <w:szCs w:val="20"/>
                <w:color w:val="auto"/>
              </w:rPr>
            </w:pPr>
          </w:p>
        </w:tc>
      </w:tr>
      <w:tr>
        <w:trPr>
          <w:trHeight w:val="223"/>
        </w:trPr>
        <w:tc>
          <w:tcPr>
            <w:tcW w:w="4060" w:type="dxa"/>
            <w:vAlign w:val="bottom"/>
            <w:gridSpan w:val="2"/>
          </w:tcPr>
          <w:p>
            <w:pPr>
              <w:ind w:left="180"/>
              <w:spacing w:after="0"/>
              <w:rPr>
                <w:sz w:val="20"/>
                <w:szCs w:val="20"/>
                <w:color w:val="auto"/>
              </w:rPr>
            </w:pPr>
            <w:r>
              <w:rPr>
                <w:rFonts w:ascii="Arial" w:cs="Arial" w:eastAsia="Arial" w:hAnsi="Arial"/>
                <w:sz w:val="17"/>
                <w:szCs w:val="17"/>
                <w:color w:val="auto"/>
              </w:rPr>
              <w:t>Tier 1 risk-based capital ratio</w:t>
            </w:r>
          </w:p>
        </w:tc>
        <w:tc>
          <w:tcPr>
            <w:tcW w:w="880" w:type="dxa"/>
            <w:vAlign w:val="bottom"/>
          </w:tcPr>
          <w:p>
            <w:pPr>
              <w:jc w:val="right"/>
              <w:spacing w:after="0"/>
              <w:rPr>
                <w:sz w:val="20"/>
                <w:szCs w:val="20"/>
                <w:color w:val="auto"/>
              </w:rPr>
            </w:pPr>
            <w:r>
              <w:rPr>
                <w:rFonts w:ascii="Arial" w:cs="Arial" w:eastAsia="Arial" w:hAnsi="Arial"/>
                <w:sz w:val="17"/>
                <w:szCs w:val="17"/>
                <w:color w:val="auto"/>
              </w:rPr>
              <w:t>11.98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13.38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12.41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13.07</w:t>
            </w:r>
          </w:p>
        </w:tc>
        <w:tc>
          <w:tcPr>
            <w:tcW w:w="80" w:type="dxa"/>
            <w:vAlign w:val="bottom"/>
          </w:tcPr>
          <w:p>
            <w:pPr>
              <w:spacing w:after="0"/>
              <w:rPr>
                <w:sz w:val="19"/>
                <w:szCs w:val="19"/>
                <w:color w:val="auto"/>
              </w:rPr>
            </w:pPr>
          </w:p>
        </w:tc>
      </w:tr>
      <w:tr>
        <w:trPr>
          <w:trHeight w:val="236"/>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risk-based capital ratio</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14.28</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w:t>
            </w:r>
          </w:p>
        </w:tc>
        <w:tc>
          <w:tcPr>
            <w:tcW w:w="80" w:type="dxa"/>
            <w:vAlign w:val="bottom"/>
            <w:shd w:val="clear" w:color="auto" w:fill="CCEEFF"/>
          </w:tcPr>
          <w:p>
            <w:pPr>
              <w:spacing w:after="0"/>
              <w:rPr>
                <w:sz w:val="20"/>
                <w:szCs w:val="20"/>
                <w:color w:val="auto"/>
              </w:rPr>
            </w:pPr>
          </w:p>
        </w:tc>
      </w:tr>
      <w:tr>
        <w:trPr>
          <w:trHeight w:val="203"/>
        </w:trPr>
        <w:tc>
          <w:tcPr>
            <w:tcW w:w="140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11" w:lineRule="exact"/>
        <w:rPr>
          <w:sz w:val="20"/>
          <w:szCs w:val="20"/>
          <w:color w:val="auto"/>
        </w:rPr>
      </w:pPr>
    </w:p>
    <w:p>
      <w:pPr>
        <w:ind w:left="460" w:right="20" w:hanging="342"/>
        <w:spacing w:after="0" w:line="252"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calculates its pro forma C Corporation net income, return on average assets, return on average shareholders’ equity and earnings per share by adding back its franchise S Corporation tax to net income, and using tax rates for Federal income taxes of 35.0% prior to January 1, 2018 and 21.0% after January 1, 2018. This calculation reflects only the revocation of the Company’s status as an S Corporation and does not give effect to any other transaction. As our state income taxes are insignificant, they are not reflected in these calculations.</w:t>
      </w:r>
    </w:p>
    <w:p>
      <w:pPr>
        <w:spacing w:after="0" w:line="79" w:lineRule="exact"/>
        <w:rPr>
          <w:rFonts w:ascii="Arial" w:cs="Arial" w:eastAsia="Arial" w:hAnsi="Arial"/>
          <w:sz w:val="14"/>
          <w:szCs w:val="14"/>
          <w:color w:val="auto"/>
        </w:rPr>
      </w:pPr>
    </w:p>
    <w:p>
      <w:pPr>
        <w:ind w:left="460" w:hanging="34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the total shareholders’ equity of the Company after giving effect to the ESOP Repurchase Right Termination.</w:t>
      </w:r>
    </w:p>
    <w:p>
      <w:pPr>
        <w:spacing w:after="0" w:line="109" w:lineRule="exact"/>
        <w:rPr>
          <w:rFonts w:ascii="Arial" w:cs="Arial" w:eastAsia="Arial" w:hAnsi="Arial"/>
          <w:sz w:val="14"/>
          <w:szCs w:val="14"/>
          <w:color w:val="auto"/>
        </w:rPr>
      </w:pPr>
    </w:p>
    <w:p>
      <w:pPr>
        <w:ind w:left="460" w:hanging="34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the Company’s pro forma total shareholders’ equity.</w:t>
      </w:r>
    </w:p>
    <w:p>
      <w:pPr>
        <w:spacing w:after="0" w:line="109" w:lineRule="exact"/>
        <w:rPr>
          <w:rFonts w:ascii="Arial" w:cs="Arial" w:eastAsia="Arial" w:hAnsi="Arial"/>
          <w:sz w:val="14"/>
          <w:szCs w:val="14"/>
          <w:color w:val="auto"/>
        </w:rPr>
      </w:pPr>
    </w:p>
    <w:p>
      <w:pPr>
        <w:ind w:left="460" w:right="80" w:hanging="342"/>
        <w:spacing w:after="0" w:line="257"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 non-GAAP financial measure. We did not have any goodwill or other intangible assets as of the years ended December 31, 2014 to 2018. See our reconciliation of non-GAAP financial measures to their most directly comparable GAAP financial measures under the caption “Management’s Discussion and Analysis of Financial Condition and Results of Operations — Non-GAAP Financial Measures.”</w:t>
      </w:r>
    </w:p>
    <w:p>
      <w:pPr>
        <w:spacing w:after="0" w:line="76" w:lineRule="exact"/>
        <w:rPr>
          <w:rFonts w:ascii="Arial" w:cs="Arial" w:eastAsia="Arial" w:hAnsi="Arial"/>
          <w:sz w:val="14"/>
          <w:szCs w:val="14"/>
          <w:color w:val="auto"/>
        </w:rPr>
      </w:pPr>
    </w:p>
    <w:p>
      <w:pPr>
        <w:ind w:left="460" w:hanging="34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Net interest margin is calculated as the annual net interest income, on a fully tax-equivalent basis, divided by average interest-earning assets.</w:t>
      </w:r>
    </w:p>
    <w:p>
      <w:pPr>
        <w:spacing w:after="0" w:line="109" w:lineRule="exact"/>
        <w:rPr>
          <w:rFonts w:ascii="Arial" w:cs="Arial" w:eastAsia="Arial" w:hAnsi="Arial"/>
          <w:sz w:val="14"/>
          <w:szCs w:val="14"/>
          <w:color w:val="auto"/>
        </w:rPr>
      </w:pPr>
    </w:p>
    <w:p>
      <w:pPr>
        <w:ind w:left="460" w:hanging="342"/>
        <w:spacing w:after="0"/>
        <w:tabs>
          <w:tab w:leader="none" w:pos="4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efficiency ratio is calculated by dividing noninterest expense by the sum of net interest income on a tax-equivalent basis and noninterest income.</w:t>
      </w:r>
    </w:p>
    <w:p>
      <w:pPr>
        <w:spacing w:after="0" w:line="120" w:lineRule="exact"/>
        <w:rPr>
          <w:rFonts w:ascii="Arial" w:cs="Arial" w:eastAsia="Arial" w:hAnsi="Arial"/>
          <w:sz w:val="13"/>
          <w:szCs w:val="13"/>
          <w:color w:val="auto"/>
        </w:rPr>
      </w:pPr>
    </w:p>
    <w:p>
      <w:pPr>
        <w:ind w:left="460" w:right="140" w:hanging="342"/>
        <w:spacing w:after="0" w:line="273"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Core deposits include deposits obtained directly from depositors and exclude time deposits in excess of $250,000, deposits obtained from listing services, and brokered deposits obtained through an intermediary.</w:t>
      </w:r>
    </w:p>
    <w:p>
      <w:pPr>
        <w:spacing w:after="0" w:line="65" w:lineRule="exact"/>
        <w:rPr>
          <w:rFonts w:ascii="Arial" w:cs="Arial" w:eastAsia="Arial" w:hAnsi="Arial"/>
          <w:sz w:val="14"/>
          <w:szCs w:val="14"/>
          <w:color w:val="auto"/>
        </w:rPr>
      </w:pPr>
    </w:p>
    <w:p>
      <w:pPr>
        <w:ind w:left="460" w:hanging="34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Nonperforming assets consist of nonperforming loans plus OREO.</w:t>
      </w:r>
    </w:p>
    <w:p>
      <w:pPr>
        <w:spacing w:after="0" w:line="109" w:lineRule="exact"/>
        <w:rPr>
          <w:rFonts w:ascii="Arial" w:cs="Arial" w:eastAsia="Arial" w:hAnsi="Arial"/>
          <w:sz w:val="14"/>
          <w:szCs w:val="14"/>
          <w:color w:val="auto"/>
        </w:rPr>
      </w:pPr>
    </w:p>
    <w:p>
      <w:pPr>
        <w:ind w:left="460" w:hanging="34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Nonperforming loans include nonaccrual loans and loans past due 90 days or more.</w:t>
      </w: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you should carefully consider the risks described below, together with all other information included in this prospectus.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Market</w:t>
      </w:r>
    </w:p>
    <w:p>
      <w:pPr>
        <w:spacing w:after="0" w:line="10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Our business has been and may continue to be adversely affected by current conditions in the financial markets and economic conditions generally.</w:t>
      </w:r>
    </w:p>
    <w:p>
      <w:pPr>
        <w:spacing w:after="0" w:line="75"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Our business and operations, which primarily consist of lending money to customers in the form of loans, borrowing money from customers in the form of deposits and investing in securities, are sensitive to general business and economic conditions in the U.S. Uncertainty about the federal fiscal policymaking process, and the medium and long-term fiscal outlook of the federal government and U.S. economy, is a concern for businesses, consumers and investors in the U.S. In addition, economic conditions in foreign countries, including global political hostilities, U.S. and foreign tariff policies and uncertainty over the stability of the euro currency, could affect the stability of global financial markets, which could hinder domestic economic growth. The current economic environment is characterized by interest rates at historically low levels, which impacts our ability to attract deposits and to generate attractive earnings through our investment portfolio. Our business is also significantly affected by monetary and related policies of the U.S. government and its agencies. Rising short term interest rates also may negatively affect the ability of our borrowers to repay their indebtedness subjecting us to potential loan losses. Current monetary policy has led to rising short term interest rates and a flattening, or at times even inverted, yield curve which affects our core business of intermediation of short term funding into longer term assets, impacting our ability to generate attractive returns. Changes in any of these policies are influenced by macroeconomic conditions and other factors that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spacing w:after="0" w:line="166" w:lineRule="exact"/>
        <w:rPr>
          <w:sz w:val="20"/>
          <w:szCs w:val="20"/>
          <w:color w:val="auto"/>
        </w:rPr>
      </w:pPr>
    </w:p>
    <w:p>
      <w:pPr>
        <w:ind w:right="340"/>
        <w:spacing w:after="0" w:line="307" w:lineRule="auto"/>
        <w:rPr>
          <w:sz w:val="20"/>
          <w:szCs w:val="20"/>
          <w:color w:val="auto"/>
        </w:rPr>
      </w:pPr>
      <w:r>
        <w:rPr>
          <w:rFonts w:ascii="Arial" w:cs="Arial" w:eastAsia="Arial" w:hAnsi="Arial"/>
          <w:sz w:val="16"/>
          <w:szCs w:val="16"/>
          <w:b w:val="1"/>
          <w:bCs w:val="1"/>
          <w:i w:val="1"/>
          <w:iCs w:val="1"/>
          <w:color w:val="auto"/>
        </w:rPr>
        <w:t>We may grow through mergers or acquisitions, a strategy which may not be successful or, if successful, may produce risks in successfully integrating and managing the merged companies or acquisitions and may dilute our shareholders.</w:t>
      </w:r>
    </w:p>
    <w:p>
      <w:pPr>
        <w:spacing w:after="0" w:line="2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part of our growth strategy, we may pursue mergers and acquisitions of banks and nonbank financial services companies within or outside our principal market areas. We regularly identify and explore specific acquisition opportunities as part of our ongoing business practices, including our acquisition of an online mortgage platform and staff from an Overland Park, Kansas-based mortgage company at the end of November 2018. However, we have no current arrangements, understandings, or agreements to make any material acquisitions.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Mergers and acquisitions involve numerous risks, any of which could harm our business, including:</w:t>
      </w:r>
    </w:p>
    <w:p>
      <w:pPr>
        <w:spacing w:after="0" w:line="117" w:lineRule="exact"/>
        <w:rPr>
          <w:sz w:val="20"/>
          <w:szCs w:val="20"/>
          <w:color w:val="auto"/>
        </w:rPr>
      </w:pPr>
    </w:p>
    <w:p>
      <w:pPr>
        <w:ind w:left="700" w:right="120" w:hanging="344"/>
        <w:spacing w:after="0" w:line="342"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in integrating the operations, management, products and services, technologies, existing contracts, accounting processes and personnel of the target and realizing the anticipated synergies of the combined businesses;</w:t>
      </w:r>
    </w:p>
    <w:p>
      <w:pPr>
        <w:spacing w:after="0" w:line="15" w:lineRule="exact"/>
        <w:rPr>
          <w:rFonts w:ascii="Arial" w:cs="Arial" w:eastAsia="Arial" w:hAnsi="Arial"/>
          <w:sz w:val="16"/>
          <w:szCs w:val="16"/>
          <w:color w:val="auto"/>
        </w:rPr>
      </w:pPr>
    </w:p>
    <w:p>
      <w:pPr>
        <w:ind w:left="700" w:hanging="34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the target;</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 of nonperforming loans;</w:t>
      </w:r>
    </w:p>
    <w:p>
      <w:pPr>
        <w:spacing w:after="0" w:line="117" w:lineRule="exact"/>
        <w:rPr>
          <w:rFonts w:ascii="Arial" w:cs="Arial" w:eastAsia="Arial" w:hAnsi="Arial"/>
          <w:sz w:val="18"/>
          <w:szCs w:val="18"/>
          <w:color w:val="auto"/>
        </w:rPr>
      </w:pPr>
    </w:p>
    <w:p>
      <w:pPr>
        <w:ind w:left="700" w:right="80" w:hanging="344"/>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4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entering new markets or areas in which we have limited or no experience;</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personnel and customers from either our business or the target’s business;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of the target;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Mergers and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w:t>
      </w:r>
    </w:p>
    <w:p>
      <w:pPr>
        <w:spacing w:after="0" w:line="79"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As a result, if we fail to properly evaluate mergers, acquisitions or investments, we may not achieve the anticipated benefits of any such merger or acquisition, and we may incur costs in excess of what we anticipate. The failure to successfully evaluate and execute mergers, acquisitions or investments or otherwise adequately address these risks could materially harm our business, financial condition and results of operations.</w:t>
      </w:r>
    </w:p>
    <w:p>
      <w:pPr>
        <w:spacing w:after="0" w:line="17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b w:val="1"/>
          <w:bCs w:val="1"/>
          <w:i w:val="1"/>
          <w:iCs w:val="1"/>
          <w:color w:val="auto"/>
        </w:rPr>
        <w:t>If we fail to implement our business strategy, our financial performance and our growth could be materially and adversely affected.</w:t>
      </w:r>
    </w:p>
    <w:p>
      <w:pPr>
        <w:spacing w:after="0" w:line="7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Our future financial performance and success are dependent in large part upon our ability to implement our business plan successfully. If we are unable to do so, our long-term growth and profitability may be adversely affected. Even if we are able to implement some or all of the initiatives of our business plan successfully, our operating results may not improve to the extent we anticipate, or at all. Implementation of our strategic plan could also be affected by a number of factors beyond our control, such as increased competition, legal developments, government regulation, general economic conditions or increased operating costs or expenses.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67"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b w:val="1"/>
          <w:bCs w:val="1"/>
          <w:i w:val="1"/>
          <w:iCs w:val="1"/>
          <w:color w:val="auto"/>
        </w:rPr>
        <w:t>We may not be able to manage the risks associated with our anticipated growth and potential expansion through de novo branching.</w:t>
      </w:r>
    </w:p>
    <w:p>
      <w:pPr>
        <w:spacing w:after="0" w:line="75"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Our business strategy includes evaluating potential strategic opportunities which includes potentially growing through de novo branching. De novo branching carries with it certain potential risks, including significant startup costs and anticipated initial operating losses; an inability to gain regulatory approval; an inability to secure the services of qualified senior management to operate the de novo banking location and successfully integrate and promote our corporate culture; poor market reception for de novo banking locations established in markets where we do not have a preexisting reputation; challenges posed by local economic conditions; challenges associated with securing attractive locations at a reasonable cost; and the additional strain on management resources and internal systems and controls. Failure to adequately manage the risks associated with our anticipated growth through de novo branching could have an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measure and limit our credit risk, which could lead to unexpected losses.</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loan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spacing w:after="0" w:line="7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Accordingly, we maintain an allowance for loan losses that represents management’s judgment of probable losses and risks inherent in our loan portfolio. At December 31, 2018, we had on a consolidated basis 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allowance for loan losses of $23.1 million based on our overall evaluation of the risks of our loan portfolio, which represents approximately 1.18% of our total loans. The allowance for loan losses reflected an increase of $1.7 million over our allowance as of December 31, 2017.</w:t>
      </w:r>
    </w:p>
    <w:p>
      <w:pPr>
        <w:spacing w:after="0" w:line="76"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There is no precise method of predicting loan losses, and therefore, we always face the risk that charge offs in future periods will exceed our allowance for loan losses and that additional increases in the allowance for loan losses will be required. The level of the allowance for loan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loan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loan losses.</w:t>
      </w:r>
    </w:p>
    <w:p>
      <w:pPr>
        <w:spacing w:after="0" w:line="7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If real estate markets or the economy in general deteriorate, the Bank may experience increased delinquencies and credit losses. The allowance for loan losses may not be sufficient to cover actual loan-related losses. Additionally, banking regulators may require the Bank to increase its allowance for loan losses in the future, which could have a negative effect on the Bank’s financial condition and results of operations. Additions to the allowance for loan losses will result in a decrease in net earnings and capital and could hinder our ability to grow our assets.</w:t>
      </w:r>
    </w:p>
    <w:p>
      <w:pPr>
        <w:spacing w:after="0" w:line="18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A new accounting standard will result in a significant change in how we recognize credit losses and may result in material increases to our allowance for loan losses.</w:t>
      </w:r>
    </w:p>
    <w:p>
      <w:pPr>
        <w:spacing w:after="0" w:line="63"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Financial Accounting Standards Board has adopted a new accounting standard referred to as Current Expected Credit Loss, or CECL. As we are an emerging growth company and intend to take advantage of the extended transition period for complying with new or revised financial accounting standards under the JOBS Act, CECL will be effective for the Company and the Bank for our first fiscal quarter after December 15, 2021. This standard will require financial institutions to determine periodic estimates of lifetime expected credit losses on loans, and recognize the expected credit losses as allowances for loan losses. This will change the current method of providing allowances for loan losses that are probable, which would likely require us to increase our allowance for loan losses, and to greatly increase the types of data we would need to collect and review to determine the appropriate level of the allowance for loan losses. In anticipation of the adoption of CECL, we have incurred, and will likely continue to incur, significant additional expense to comply with the new standard.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loans are to commercial borrowers, which have a higher degree of risk than other types of loans.</w:t>
      </w:r>
    </w:p>
    <w:p>
      <w:pPr>
        <w:spacing w:after="0" w:line="117"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As of December 31, 2018, we had approximately $1.3 billion of loans to commercial borrowers, which include approximately $887.4 million in loans secured by real estate to those commercial borrowers. Loans to commercial borrowers represent approximately 68.9% of total loans. Loans to commercial borrowers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w:t>
      </w:r>
    </w:p>
    <w:p>
      <w:pPr>
        <w:spacing w:after="0" w:line="5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spacing w:after="0" w:line="170" w:lineRule="exact"/>
        <w:rPr>
          <w:sz w:val="20"/>
          <w:szCs w:val="20"/>
          <w:color w:val="auto"/>
        </w:rPr>
      </w:pPr>
    </w:p>
    <w:p>
      <w:pPr>
        <w:ind w:right="180"/>
        <w:spacing w:after="0" w:line="343" w:lineRule="auto"/>
        <w:rPr>
          <w:sz w:val="20"/>
          <w:szCs w:val="20"/>
          <w:color w:val="auto"/>
        </w:rPr>
      </w:pPr>
      <w:r>
        <w:rPr>
          <w:rFonts w:ascii="Arial" w:cs="Arial" w:eastAsia="Arial" w:hAnsi="Arial"/>
          <w:sz w:val="15"/>
          <w:szCs w:val="15"/>
          <w:b w:val="1"/>
          <w:bCs w:val="1"/>
          <w:i w:val="1"/>
          <w:iCs w:val="1"/>
          <w:color w:val="auto"/>
        </w:rPr>
        <w:t>Because a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6"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As of December 31, 2018, approximately 64.9% of our loan portfolio was comprised of loans with real estate as a primary component of collateral. Adverse developments affecting real estate values, particularly in our markets, could increase the credit risk associated with our real estate loan portfolio. Real estate values may experience periods of fluctuation, and the market value of real estate can fluctuate significantly in a short period of time. Adverse changes affecting real estate values and the liquidity of real estate in one or more of our markets could increase the credit risk associated with our loan portfolio, and could result in losses that adversely affect credit quality, financial condition and results of operation.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loan losses, which could adversely affect our business, financial condition and results of operations.</w:t>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53"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personal property that we acquire through foreclosure proceedings and to determine certain loan impairments. If any of these valuations are inaccurate, our consolidated financial statements may not reflect the correct value of our OREO, and our allowance for loan losses may not reflect accurate loan impairments. This could have an adverse effect on our business, financial condition or results of operations.</w:t>
      </w:r>
    </w:p>
    <w:p>
      <w:pPr>
        <w:spacing w:after="0" w:line="15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b w:val="1"/>
          <w:bCs w:val="1"/>
          <w:i w:val="1"/>
          <w:iCs w:val="1"/>
          <w:color w:val="auto"/>
        </w:rPr>
        <w:t>Our commercial real estate loan portfolio exposes us to risks that may be greater than the risks related to our other mortgage loans.</w:t>
      </w:r>
    </w:p>
    <w:p>
      <w:pPr>
        <w:spacing w:after="0" w:line="75"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color w:val="auto"/>
        </w:rPr>
        <w:t>Our loan portfolio includes non-owner-occupied commercial real estate loans for individuals and businesses for various purposes, which are secured by commercial properties, as well as real estate construction and development loans. As of December 31, 2018, our non-owner-occupied commercial real estate loans totaled $612.8 million, or 31.3%,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loan losses, which would reduce our profitability, and could materially adversely affect our business, financial condition and results of operations.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of indirect dealer lending exposes us to increased credit risks.</w:t>
      </w:r>
    </w:p>
    <w:p>
      <w:pPr>
        <w:spacing w:after="0" w:line="117"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At December 31, 2018, $195.0 million, or 10.0%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spacing w:after="0" w:line="15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spacing w:after="0" w:line="80"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spacing w:after="0" w:line="155"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i w:val="1"/>
          <w:iCs w:val="1"/>
          <w:color w:val="auto"/>
        </w:rPr>
        <w:t>Agricultural lending and volatility in commodity prices may adversely affect our financial condition and results of operations.</w:t>
      </w:r>
    </w:p>
    <w:p>
      <w:pPr>
        <w:spacing w:after="0" w:line="138"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At December 31, 2018, agricultural loans were $150.7 million, or 7.7%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spacing w:after="0" w:line="163"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i w:val="1"/>
          <w:iCs w:val="1"/>
          <w:color w:val="auto"/>
        </w:rPr>
        <w:t>We generate noninterest income through the sale of crop insurance products, and a termination of or substantial changes to the Federal crop insurance program would adversely impact our revenues from such business</w:t>
      </w:r>
    </w:p>
    <w:p>
      <w:pPr>
        <w:spacing w:after="0" w:line="5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Through the Federal Crop Insurance Corporation, the federal government subsidizes insurance companies by assuming an increasingly higher portion of losses incurred by farmers as a result of weather-related and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perils as well as commodity price fluctuations. The federal government also subsidizes the premium cost to farmers for multi-peril crop yield and revenue insurance. Without this risk assumption, losses incurred by insurers would be higher, increasing the premium on such insurance, and without the premium subsidy, the number of farmers purchasing multi-peril crop insurance would decline significantly. Periodically, members of the United States Congress propose to significantly reduce the government’s involvement in the federal crop insurance program in an effort to reduce government spending. If legislation is adopted to reduce the amount of risk the government assumes, reduce the amount of insurance premium subsidies provided to farmers or otherwise change the coverage provided under multi-peril crop insurance policies, purchases of multi-peril crop insurance could experience a significant decline nationwide and in our market areas. For the year ended December 31, 2018, the Bank had approximately $6.9 million in noninterest income attributable to sales of crop insurance.</w:t>
      </w:r>
    </w:p>
    <w:p>
      <w:pPr>
        <w:spacing w:after="0" w:line="167" w:lineRule="exact"/>
        <w:rPr>
          <w:sz w:val="20"/>
          <w:szCs w:val="20"/>
          <w:color w:val="auto"/>
        </w:rPr>
      </w:pPr>
    </w:p>
    <w:p>
      <w:pPr>
        <w:ind w:right="20"/>
        <w:spacing w:after="0" w:line="343" w:lineRule="auto"/>
        <w:rPr>
          <w:sz w:val="20"/>
          <w:szCs w:val="20"/>
          <w:color w:val="auto"/>
        </w:rPr>
      </w:pPr>
      <w:r>
        <w:rPr>
          <w:rFonts w:ascii="Arial" w:cs="Arial" w:eastAsia="Arial" w:hAnsi="Arial"/>
          <w:sz w:val="15"/>
          <w:szCs w:val="15"/>
          <w:b w:val="1"/>
          <w:bCs w:val="1"/>
          <w:i w:val="1"/>
          <w:iCs w:val="1"/>
          <w:color w:val="auto"/>
        </w:rPr>
        <w:t>We intend to grow our energy loan portfolio, and sustained low oil prices, volatility in oil prices and downturns in the energy industry, including in Texas, could lead to increased credit losses in our energy portfolio and weaker demand for energy lending.</w:t>
      </w:r>
    </w:p>
    <w:p>
      <w:pPr>
        <w:spacing w:after="0" w:line="6"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business, financial condition and results of operations. Oil and gas prices declined significantly during 2018. The full impact to the U.S. economy, and to banks in general, of these decreases and the overall oil and gas price volatility is yet to be determined. As of December 31, 2018, our energy loans, which include loans to exploration and production companies, midstream companies and oilfield service companies, totaled $30.9 million, or 1.6% of gross loans held for investment, as compared to $39.6 million, or 2.2% of gross loans held for investment as of December 31, 2017. In addition to our direct exposure to energy loans, we also have indirect exposure to energy prices, as some of our non-energy customers’ businesses are directly affected by volatility with the oil and gas industry and energy prices. Prolonged or further pricing pressure on oil and gas could lead to increased credit stress in our energy portfolio, increased losses associated with our energy portfolio, increased utilization of our contractual obligations to extend credit and weaker demand for energy lending. Such a decline or general uncertainty resulting from continued volatility could have other adverse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have an adverse effect on our business, financial condition and results of operations.</w:t>
      </w:r>
    </w:p>
    <w:p>
      <w:pPr>
        <w:spacing w:after="0" w:line="166" w:lineRule="exact"/>
        <w:rPr>
          <w:sz w:val="20"/>
          <w:szCs w:val="20"/>
          <w:color w:val="auto"/>
        </w:rPr>
      </w:pPr>
    </w:p>
    <w:p>
      <w:pPr>
        <w:ind w:right="780"/>
        <w:spacing w:after="0" w:line="307" w:lineRule="auto"/>
        <w:rPr>
          <w:sz w:val="20"/>
          <w:szCs w:val="20"/>
          <w:color w:val="auto"/>
        </w:rPr>
      </w:pPr>
      <w:r>
        <w:rPr>
          <w:rFonts w:ascii="Arial" w:cs="Arial" w:eastAsia="Arial" w:hAnsi="Arial"/>
          <w:sz w:val="16"/>
          <w:szCs w:val="16"/>
          <w:b w:val="1"/>
          <w:bCs w:val="1"/>
          <w:i w:val="1"/>
          <w:iCs w:val="1"/>
          <w:color w:val="auto"/>
        </w:rPr>
        <w:t>Changes in U.S. trade policies and other factors beyond the Company’s control, including the imposition of tariffs and retaliatory tariffs, may adversely impact our business, financial condition and results of operations.</w:t>
      </w:r>
    </w:p>
    <w:p>
      <w:pPr>
        <w:spacing w:after="0" w:line="29"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Following the U.S. presidential election in 2016, there has been discussion and dialogue regarding potential changes to U.S. trade policies, legislation, treaties and tariffs, including trade policies and tariffs affecting other countries, including China, the European Union, Canada and Mexico and retaliatory tariffs by such countries. Tariffs and retaliatory tariffs have been imposed, and additional tariffs and retaliation tariffs have been proposed. Such tariffs, retaliatory tariffs or other trade restrictions on products and materials that our customers import or export, including among others, cotton,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materially and adversely impacted in the future. However, a de minimis amount of collateral securing our loans is located outside of the U.S.</w:t>
      </w:r>
    </w:p>
    <w:p>
      <w:pPr>
        <w:spacing w:after="0" w:line="58"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It remains unclear what the U.S. administration or foreign governments will or will not do with respect to tariffs already imposed, additional tariffs that may be imposed, or international trade agreements and policies. On October 1, 2018, the United States, Canada and Mexico agreed to a new trade deal to replace the North American Free Trade Agreement, which is subject to congressional approval which is not expected until 2019 and various components of the agreement are not effective until 2020. The full impact of this agreement on us, our customers and on the economic conditions in our markets is currently unknown. A trade war or other governmental action related to tariffs or international trade agreements or policies has the potential to negatively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impact our and/or our customers’ costs, demand for our customers’ products, and/or the U.S. economy or certain sectors thereof and, thus, adversely impact our business, financial condition and results of operations.</w:t>
      </w:r>
    </w:p>
    <w:p>
      <w:pPr>
        <w:spacing w:after="0" w:line="157"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The Bank’s profitability and liquidity may be adversely affected by deterioration in the credit quality of, or defaults by, third parties who owe it money.</w:t>
      </w:r>
    </w:p>
    <w:p>
      <w:pPr>
        <w:spacing w:after="0" w:line="75"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The Bank is exposed to the risk that third parties that owe it money will not perform their obligations. These parties may default on their obligations to the Banks due to bankruptcy, lack of liquidity, operational failure or other reasons. The bank’s rights against third parties may not be enforceable in all circumstances. In addition, deterioration in the credit quality of third parties whose securities or obligations the Bank holds could result in losses and/or adversely affect the Bank’s ability to use those securities or obligations for liquidity purposes. The bank relies on representations of potential borrowers and/or guarantors as to the accuracy and completeness of certain financial information. The bank’s financial condition and results of operations could be negatively impacted if the financial statements or other information that the Bank relies upon is materially misleading.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nonperforming assets may increase and can take significant time and resources to resolve.</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 At December 31, 2018, the Bank had a total of $9.2 million of nonperforming assets (defined as nonperforming loans, which include nonaccrual loans and loans past due 90 days or more, plus OREO), compared with $16.7 million of nonperforming loans at December 31, 2017.</w:t>
      </w:r>
    </w:p>
    <w:p>
      <w:pPr>
        <w:spacing w:after="0" w:line="6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At December 31, 2018, the Bank had $2.3 million in OREO, compared to $2.8 million as of December 31, 2017. If the amount of OREO increases, the Bank’s losses and the costs and expenses to maintain the real estate likewise increase. Any increase in losses and maintenance costs and expenses due to banks may have material adverse effects on the Bank’s business, financial condition and results of operations. Such effects may be particularly pronounced in a market of reduced real estate values and excess inventory, which may make the disposition of OREO properties more difficult, increase maintenance costs and expenses and reduce our ultimate realization from any OREO sales.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properties that we own and certain foreclosed real estate assets could subject us to environmental risks and associated costs.</w:t>
      </w:r>
    </w:p>
    <w:p>
      <w:pPr>
        <w:spacing w:after="0" w:line="138"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There is a risk that hazardous substances or wastes, contaminants, pollutants or other environmentally restricted substances could be discovered on our properties or our foreclosed assets (particularly in the case of real estate loans). In this event, we might be required to remove the substances from the affected properties or to engage in abatement procedures at our cost and expense.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 environmental liability. Furthermore, despite these actions on our part, the value of the property as collateral will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generally be substantially reduced and, as a result, we may suffer a loss upon collection of the loan. Currently, we are not, and the Company is not, a party to any pending legal proceeding under any environmental statute, nor are we aware of any instances that may give rise to such liability.</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b w:val="1"/>
          <w:bCs w:val="1"/>
          <w:i w:val="1"/>
          <w:iCs w:val="1"/>
          <w:color w:val="auto"/>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spacing w:after="0" w:line="54"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spacing w:after="0" w:line="79"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 An economic downturn could result in losses, as determined under our accounting methodologies that may materially and adversely affect our business, financial condition, results of operations and future prospects.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fair value of our investment securities can fluctuate due to factors outside of our control.</w:t>
      </w:r>
    </w:p>
    <w:p>
      <w:pPr>
        <w:spacing w:after="0" w:line="117"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As of December 31, 2018, the fair value of our portfolio of available-for-sale investment securities was approximately $338.2 million, which included a net unrealized loss of approximately $2.8 million. 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Any of these factors, among others, could cause other-than-temporary impairments and realized or unrealized losses in future periods and declines in other comprehensive income, which could have a material adverse effect on our business, results of operations, financial condition and future prospects. The process for determining whether impairment of a security is other-than-temporary often requires complex, subjective judgments about whether there has been a significant deterioration in the financial condition of the issuer, whether management has the intent or ability to hold a security for a period of time sufficient to allow for any anticipated recovery in fair value, the future financial performance and liquidity of the issuer and any collateral underlying the security, and other relevant factors.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largest loan relationships make up a material percentage of our total loan portfolio.</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As of December 31, 2018, our 20 largest borrowing relationships ranged from approximately $15.5 million to $31.0 million (including unfunded commitments) and totaled approximately $419.8 million in total commitments (representing, in the aggregate, 18.2% of our total outstanding commitments as of December 31, 2018).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could negatively affect our earnings and capital. Even if these loans are adequately collateralized, an increase in classified assets could harm our reputation with our regulators and inhibit our ability to execute our business plan.</w:t>
      </w:r>
    </w:p>
    <w:p>
      <w:pPr>
        <w:spacing w:after="0" w:line="153"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b w:val="1"/>
          <w:bCs w:val="1"/>
          <w:i w:val="1"/>
          <w:i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29" w:lineRule="exact"/>
        <w:rPr>
          <w:sz w:val="20"/>
          <w:szCs w:val="20"/>
          <w:color w:val="auto"/>
        </w:rPr>
      </w:pPr>
    </w:p>
    <w:p>
      <w:pPr>
        <w:ind w:right="220" w:firstLine="360"/>
        <w:spacing w:after="0" w:line="263" w:lineRule="auto"/>
        <w:rPr>
          <w:sz w:val="20"/>
          <w:szCs w:val="20"/>
          <w:color w:val="auto"/>
        </w:rPr>
      </w:pPr>
      <w:r>
        <w:rPr>
          <w:rFonts w:ascii="Arial" w:cs="Arial" w:eastAsia="Arial" w:hAnsi="Arial"/>
          <w:sz w:val="18"/>
          <w:szCs w:val="18"/>
          <w:color w:val="auto"/>
        </w:rPr>
        <w:t>At December 31, 2018, our 20 largest deposit relationships accounted for approximately 20.4% of our total deposits. Withdrawals of deposits by any one of our largest depositors or by one of our related customer groups could force us to rely more heavily on other potentially more expensive and less stable sources of funding 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Public funds deposits are an important source of funds for us and a reduced level of those deposits may hurt our profits.</w:t>
      </w:r>
    </w:p>
    <w:p>
      <w:pPr>
        <w:spacing w:after="0" w:line="12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Public funds deposits are a significant source of funds for our lending and investment activities. At December 31, 2018, $295.4 million, or 13.0% of our total deposits, consisted of public funds deposits from local government entities, primarily domiciled in the state of Texas, such as townships, school districts, hospital districts, sheriff departments and other municipalities, which are collateralized by letters of credit from the FHLB and investment securities. Given our use of these high-average balance public funds deposits as a source of funds, our inability to retain such funds could adversely affect our liquidity. Further, our public funds deposits are primarily interest-bearing transaction accounts and are therefore more sensitive to interest rate risks. If we are forced to pay higher rates on our public funds accounts to retain those funds, or if we are unable to retain such funds and we are forced to resort to other sources of funds for our lending and investment activities, such as borrowings from the FHLB, the interest expense associated with these other funding sources may be higher than the rates we are currently paying on our public funds deposits, which could adversely affect our net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deposits for funding, which can be adversely affected by local and general economic conditions.</w:t>
      </w:r>
    </w:p>
    <w:p>
      <w:pPr>
        <w:spacing w:after="0" w:line="117"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As of December 31, 2018, $2.0 billion, or 86.3% of our deposits, consisted of demand, statement savings, money market, and NOW accounts. The $311.5 million remaining balance are time deposits, of which 52.4% are due to mature within one year. Based on our experience, we believe that our demand, statement savings, money market deposit accounts and commercial demand accounts are relatively stable sources of funds. Our ability to attract and maintain deposits, as well as our cost of funds, has been, and will continue to be, significantly affected by market and general economic conditions. If we increase interest rates paid to retain deposits, our earnings may be adversely affected.</w:t>
      </w:r>
    </w:p>
    <w:p>
      <w:pPr>
        <w:spacing w:after="0" w:line="16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Liquidity risk could impair our ability to fund operations and meet our obligations as they become due and could jeopardize our financial condition.</w:t>
      </w:r>
    </w:p>
    <w:p>
      <w:pPr>
        <w:spacing w:after="0" w:line="75"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Liquidity is essential to the business of the Bank. Liquidity risk is the potential that the Bank will be unable to meet its obligations as they come due because of an inability to liquidate assets or obtain adequate funding. An inability to raise funds through deposits, borrowings, the sale of loans and other sources could have a substantial negative effect on liquidity.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Although management has implemented strategies to maintain sufficient and diverse sources of funding to accommodate planned as well as unanticipated changes in assets and liabilities under both normal and adverse conditions, any substantial, unexpected and/or prolonged change in the level or cost of liquidity could have a material adverse effect on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Customers could pursue alternatives to bank deposits, causing us to lose a relatively inexpensive source of funding.</w:t>
      </w:r>
    </w:p>
    <w:p>
      <w:pPr>
        <w:spacing w:after="0" w:line="115"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Checking and savings account balances and other forms of deposits can decrease when our deposit customers perceive alternative investments, such as the stock market, other non-depository investments or higher yielding deposits, as providing superior expected returns. Technology and other changes has made it more convenient for bank customers to transfer funds into alternative investments or other deposit accounts, including products offered by other financial institutions or non-bank service providers. Future increases in short-term interest rates could increase such transfers of deposits to higher yielding deposits or other investments either with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us or with external providers. In 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These consumer preferences may force us to pay higher interest rates or reduce fees to retain certain deposits and may constrain liquidity as we seek to meet funding needs caused by reduced deposit levels.</w:t>
      </w:r>
    </w:p>
    <w:p>
      <w:pPr>
        <w:spacing w:after="0" w:line="84"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As interest rates rise from historically low levels in recent years, our deposits may not be as stable or as interest rate insensitive as similar deposits may have been in the past, and if the recovery of the U.S. economy continues, some existing or prospective deposit customers of banks generally, including the Bank, may be inclined to pursue other investment alternatives.</w:t>
      </w:r>
    </w:p>
    <w:p>
      <w:pPr>
        <w:spacing w:after="0" w:line="57" w:lineRule="exact"/>
        <w:rPr>
          <w:sz w:val="20"/>
          <w:szCs w:val="20"/>
          <w:color w:val="auto"/>
        </w:rPr>
      </w:pPr>
    </w:p>
    <w:p>
      <w:pPr>
        <w:ind w:firstLine="360"/>
        <w:spacing w:after="0" w:line="301" w:lineRule="auto"/>
        <w:rPr>
          <w:sz w:val="20"/>
          <w:szCs w:val="20"/>
          <w:color w:val="auto"/>
        </w:rPr>
      </w:pPr>
      <w:r>
        <w:rPr>
          <w:rFonts w:ascii="Arial" w:cs="Arial" w:eastAsia="Arial" w:hAnsi="Arial"/>
          <w:sz w:val="16"/>
          <w:szCs w:val="16"/>
          <w:color w:val="auto"/>
        </w:rPr>
        <w:t>Efforts and initiatives we undertake to retain and increase deposits, including deposit pricing, can increase our costs. When bank customers move money out of bank deposits in favor of alternative investments or into higher yielding deposits, we can lose a relatively inexpensive source of funds, increasing our funding cost. As our assets grow, we may face increasing pressure to seek new deposits through expanded channels from new customers at favorable pricing, further increasing our costs.</w:t>
      </w:r>
    </w:p>
    <w:p>
      <w:pPr>
        <w:spacing w:after="0" w:line="14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We continually encounter technological changes which could result in us having fewer resources than many of our competitors to continue to invest in technological improvements.</w:t>
      </w:r>
    </w:p>
    <w:p>
      <w:pPr>
        <w:spacing w:after="0" w:line="7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successfully keep pace with technological change affecting the financial services industry could have a material adverse impact on our business, financial condition,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Consumers may decide not to use banks to complete their financial transactions.</w:t>
      </w:r>
    </w:p>
    <w:p>
      <w:pPr>
        <w:spacing w:after="0" w:line="117"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or general-purpose reloadable prepaid cards. Consumers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The loss of these revenue streams and the lower cost of deposits as a source of funds could have a material adverse effect on our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is vulnerable to interest rate fluctuations.</w:t>
      </w:r>
    </w:p>
    <w:p>
      <w:pPr>
        <w:spacing w:after="0" w:line="117"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Our profitability, like that of most financial institutions, is dependent to a large extent on our net interest income, which is the difference between our interest income on interest-earning assets, such as loans and investment securities, and our interest expense on interest-bearing liabilities, such as deposits and borrowings.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w:t>
      </w:r>
    </w:p>
    <w:p>
      <w:pPr>
        <w:spacing w:after="0" w:line="70"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periods of increasing interest rates, loan originations may decline, and our borrowers may experience greater difficulties meeting their obligations, depending on the performance of the overall economy, which may adversely affect income from these lending activities. In such periods, originations of mortgage loans may also decrease, resulting in fewer loans that are available to be sold to investors. This could result in decreased interest income, decreased mortgage revenues and corresponding decreases in non-interest income from projected levels. In addition,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00" w:firstLine="360"/>
        <w:spacing w:after="0" w:line="263" w:lineRule="auto"/>
        <w:rPr>
          <w:sz w:val="20"/>
          <w:szCs w:val="20"/>
          <w:color w:val="auto"/>
        </w:rPr>
      </w:pPr>
      <w:r>
        <w:rPr>
          <w:rFonts w:ascii="Arial" w:cs="Arial" w:eastAsia="Arial" w:hAnsi="Arial"/>
          <w:sz w:val="18"/>
          <w:szCs w:val="18"/>
          <w:color w:val="auto"/>
        </w:rPr>
        <w:t>We cannot predict fluctuations of market interest rates, which are affected by, among other factors, changes in inflation rates, levels of business activity, unemployment levels, monetary and fiscal policies of the United States and its agencies, particularly the Federal Reserve, money supply and domestic and foreign financial markets.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adversely impacted by an economic downturn or a natural disaster affecting one or more of our market areas.</w:t>
      </w:r>
    </w:p>
    <w:p>
      <w:pPr>
        <w:spacing w:after="0" w:line="127"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Because most of our business activities are conducted in Texas and New Mexico and most of our credit exposure is there, we are at risk from adverse economic, political or business developments, including a downturn in real estate values, agricultural activities, the oil and gas industry and natural hazards such as floods, ice storms and tornadoes that affect Texas and New Mexico. Although our customers’ business and financial interests may extend well beyond these market areas, adverse conditions that affect these market areas could reduce our growth rate, affect the ability of our customers to repay their loans, affect the value of collateral underlying loans, impact our ability to attract deposits, and generally affect our financial conditions and results of operations. Because of our geographic concentration, we may be less able than other regional or national financial institutions to diversify our credit risks across multiple markets.</w:t>
      </w:r>
    </w:p>
    <w:p>
      <w:pPr>
        <w:spacing w:after="0" w:line="17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The borrowing needs of our customers may increase, especially during a challenging economic environment, which could result in increased borrowing against our contractual obligations to extend credit.</w:t>
      </w:r>
    </w:p>
    <w:p>
      <w:pPr>
        <w:spacing w:after="0" w:line="75"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A commitment to extend credit is a formal agreement to lend funds to a customer as long as there is no violation of any condition established under the agreement. The actual borrowing needs of our customers under these credit commitments have historically been lower than the contractual amount of the commitments. A significant portion of these commitments expire without being drawn upon. Because of the credit profile of our customers, we typically have a substantial amount of total unfunded credit commitments, which is not reflected on our balance sheet. As of December 31, 2018, we had $346.2 million in unfunded credit commitments to our customers. Actual borrowing needs of our customers may exceed our expectations, especially during a challenging economic environment when our customers’ companies may be more dependent on our credit commitments due to the lack of available credit elsewhere, the increasing costs of credit, or the limited availability of financings from venture firms. This could adversely affect our liquidity, which could impair our ability to fund operations and meet obligations as they become due and could have a material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originations have decreased due to a slowdown in refinance activity, and this trend may continue.</w:t>
      </w:r>
    </w:p>
    <w:p>
      <w:pPr>
        <w:spacing w:after="0" w:line="117"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Mortgage revenues, which are primarily recognized from the sale in the secondary market of mortgage loans, are a source of noninterest income for the Bank and a contributor to the Bank’s net income. Mortgage revenues for the year ended December 31, 2018 were $21.4 million. As the result of the low level of market interest rates that existed for the past several years, demand for loans to refinance existing mortgages has remained strong. However, recent increases in market interest rates have lessened this demand. If market interest rates were to further increase, there will be fewer opportunities for financial institutions to originate loans to refinance existing mortgages. If mortgage originations decrease, projected mortgage revenues and noninterest income will decrease.</w:t>
      </w:r>
    </w:p>
    <w:p>
      <w:pPr>
        <w:spacing w:after="0" w:line="181"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b w:val="1"/>
          <w:bCs w:val="1"/>
          <w:i w:val="1"/>
          <w:iCs w:val="1"/>
          <w:color w:val="auto"/>
        </w:rPr>
        <w:t>Secondary mortgage market conditions could have a material impact on our ability to resell originated mortgages on the secondary market.</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resell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repurchase mortgage loans in some circumstances, which could diminish our liquidity.</w:t>
      </w:r>
    </w:p>
    <w:p>
      <w:pPr>
        <w:spacing w:after="0" w:line="117"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Historically, we have originated mortgage loans for sale in the secondary market. When mortgage loans are sold in the secondary market, we are required to make customary representations and warranties 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purchasers about the mortgage loans and the manner in which they were originated. The mortgage loan sale agreements require us to repurchase or substitute mortgage loans or indemnify buyers against losses, in the event we breach these representations and warranties. In addition, we may be required to repurchase mortgage loans as a result of early payment default of the borrower on a mortgage loan. With respect to loans that are originated by us through our broker or correspondents, the remedies available against the originating broker or correspondent, if any, may not be as broad as the remedies available to a purchaser of mortgage loans against us or the originating broker or correspondent, if any, may not have the financial capacity to perform remedies that otherwise may be available. Therefore, if a purchaser enforces their remedies against us, we may not be able to recover losses from the originating broker or correspondent. If repurchase and indemnity demands increase and such demands are valid claims, it could diminish our liquidity, which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mortgage servicing rights can be volatile.</w:t>
      </w:r>
    </w:p>
    <w:p>
      <w:pPr>
        <w:spacing w:after="0" w:line="117" w:lineRule="exact"/>
        <w:rPr>
          <w:sz w:val="20"/>
          <w:szCs w:val="20"/>
          <w:color w:val="auto"/>
        </w:rPr>
      </w:pPr>
    </w:p>
    <w:p>
      <w:pPr>
        <w:ind w:right="100" w:firstLine="360"/>
        <w:spacing w:after="0" w:line="296" w:lineRule="auto"/>
        <w:rPr>
          <w:sz w:val="20"/>
          <w:szCs w:val="20"/>
          <w:color w:val="auto"/>
        </w:rPr>
      </w:pPr>
      <w:r>
        <w:rPr>
          <w:rFonts w:ascii="Arial" w:cs="Arial" w:eastAsia="Arial" w:hAnsi="Arial"/>
          <w:sz w:val="16"/>
          <w:szCs w:val="16"/>
          <w:color w:val="auto"/>
        </w:rPr>
        <w:t>We sell in the secondary market residential mortgage loans that we originate, which provides a meaningful portion of our non-interest income in the form of gains on the sale of mortgage loans. We also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spacing w:after="0" w:line="53"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$1.3 million of mortgage servicing rights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framework may not be effective in mitigating risks or losses to us.</w:t>
      </w:r>
    </w:p>
    <w:p>
      <w:pPr>
        <w:spacing w:after="0" w:line="117"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Our risk management framework is comprised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risk management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181" w:lineRule="exact"/>
        <w:rPr>
          <w:sz w:val="20"/>
          <w:szCs w:val="20"/>
          <w:color w:val="auto"/>
        </w:rPr>
      </w:pPr>
    </w:p>
    <w:p>
      <w:pPr>
        <w:ind w:right="540"/>
        <w:spacing w:after="0" w:line="343" w:lineRule="auto"/>
        <w:rPr>
          <w:sz w:val="20"/>
          <w:szCs w:val="20"/>
          <w:color w:val="auto"/>
        </w:rPr>
      </w:pPr>
      <w:r>
        <w:rPr>
          <w:rFonts w:ascii="Arial" w:cs="Arial" w:eastAsia="Arial" w:hAnsi="Arial"/>
          <w:sz w:val="15"/>
          <w:szCs w:val="15"/>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6"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spacing w:after="0" w:line="70" w:lineRule="exact"/>
        <w:rPr>
          <w:sz w:val="20"/>
          <w:szCs w:val="20"/>
          <w:color w:val="auto"/>
        </w:rPr>
      </w:pPr>
    </w:p>
    <w:p>
      <w:pPr>
        <w:ind w:right="200" w:firstLine="360"/>
        <w:spacing w:after="0" w:line="263" w:lineRule="auto"/>
        <w:rPr>
          <w:sz w:val="20"/>
          <w:szCs w:val="20"/>
          <w:color w:val="auto"/>
        </w:rPr>
      </w:pPr>
      <w:r>
        <w:rPr>
          <w:rFonts w:ascii="Arial" w:cs="Arial" w:eastAsia="Arial" w:hAnsi="Arial"/>
          <w:sz w:val="18"/>
          <w:szCs w:val="18"/>
          <w:color w:val="auto"/>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investment performance, fiduciary and asset servicing risks associated with our trust operations.</w:t>
      </w:r>
    </w:p>
    <w:p>
      <w:pPr>
        <w:spacing w:after="0" w:line="117"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spacing w:after="0" w:line="15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Our revenues, earnings and prospects with respect to the Investment Center at City Bank could be adversely affected if the securities markets decline.</w:t>
      </w:r>
    </w:p>
    <w:p>
      <w:pPr>
        <w:spacing w:after="0" w:line="75" w:lineRule="exact"/>
        <w:rPr>
          <w:sz w:val="20"/>
          <w:szCs w:val="20"/>
          <w:color w:val="auto"/>
        </w:rPr>
      </w:pPr>
    </w:p>
    <w:p>
      <w:pPr>
        <w:ind w:right="80" w:firstLine="360"/>
        <w:spacing w:after="0" w:line="269" w:lineRule="auto"/>
        <w:rPr>
          <w:sz w:val="20"/>
          <w:szCs w:val="20"/>
          <w:color w:val="auto"/>
        </w:rPr>
      </w:pPr>
      <w:r>
        <w:rPr>
          <w:rFonts w:ascii="Arial" w:cs="Arial" w:eastAsia="Arial" w:hAnsi="Arial"/>
          <w:sz w:val="17"/>
          <w:szCs w:val="17"/>
          <w:color w:val="auto"/>
        </w:rPr>
        <w:t>Our results of operations related to the Investment Center at City Bank are affected by certain economic factors, including the level of the securities markets. If we experience adverse market conditions such as those experienced from 2008 to 2011, lack of investor confidence could result in investors further withdrawing from the markets, decreasing their rate of investment or reducing the amount of assets under management, any of which could adversely affect our revenues, earnings and growth prospects to a greater extent. Because our investment management fees are based on the value of assets under management at the Investment Center at City Bank, a decline in the value of these assets, including by virtue of a decline in the securities markets, adversely affects our revenues and earnings. In addition, a decline in the market value of these assets could cause our clients to withdraw funds in favor of investments they perceive as offering greater opportunity or lower risk, which could also negatively impact our revenues and earnings. The combination of adverse markets reducing sales and investment management fees could compound on each other and materially affect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11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From time to time, we may implement or may acquire new lines of business or offer new products and services within existing lines of business. There are substantial risks and uncertainties associated with these efforts, particularly in instances where the markets are not fully developed. In developing and marketing new lines of business and new products and services, we may invest significant time and resources. We may not achieve target 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historical growth rate and performance may not be indicative of our future growth or financial results.</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may not be able to sustain our past rate of growth or grow our business at all. We have benefited from the recent low interest rate environment, which has provided us with high net interest margins which we use to grow our business. Higher rates may compress our margins and may impact our ability to grow. Consequently, our past results of operations will not necessarily be indicative of our future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raise additional capital in the future, but sufficient capital may not be available when it is needed.</w:t>
      </w:r>
    </w:p>
    <w:p>
      <w:pPr>
        <w:spacing w:after="0" w:line="115" w:lineRule="exact"/>
        <w:rPr>
          <w:sz w:val="20"/>
          <w:szCs w:val="20"/>
          <w:color w:val="auto"/>
        </w:rPr>
      </w:pPr>
    </w:p>
    <w:p>
      <w:pPr>
        <w:jc w:val="both"/>
        <w:ind w:right="180" w:firstLine="360"/>
        <w:spacing w:after="0" w:line="263" w:lineRule="auto"/>
        <w:rPr>
          <w:sz w:val="20"/>
          <w:szCs w:val="20"/>
          <w:color w:val="auto"/>
        </w:rPr>
      </w:pPr>
      <w:r>
        <w:rPr>
          <w:rFonts w:ascii="Arial" w:cs="Arial" w:eastAsia="Arial" w:hAnsi="Arial"/>
          <w:sz w:val="18"/>
          <w:szCs w:val="18"/>
          <w:color w:val="auto"/>
        </w:rPr>
        <w:t>We may need to raise additional capital in the future to provide us with sufficient capital resources and liquidity to meet our commitments and business needs, particularly if our asset quality or earnings were to deteriorate significantly. Our ability to raise additional capital, if needed, will depend on, among other things,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00"/>
          </w:cols>
          <w:pgMar w:left="1160" w:top="279" w:right="1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conditions in the capital and financial markets at that time, which are outside of our control, and our financial performance. Economic conditions or a loss of confidence in financial institutions may increase our cost of funding and limit access to certain customary sources of capital, including depositors, other financial institution borrowings and borrowings from the discount window of the Federal Reserve. An inability to raise additional capital/liquidity on acceptable terms when needed could have a material adverse effect on our financial condition, results of operations and liquidity.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cybersecurity risks associated with our internet-based systems and online commerce security.</w:t>
      </w:r>
    </w:p>
    <w:p>
      <w:pPr>
        <w:spacing w:after="0" w:line="11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w:t>
      </w:r>
    </w:p>
    <w:p>
      <w:pPr>
        <w:spacing w:after="0" w:line="84" w:lineRule="exact"/>
        <w:rPr>
          <w:sz w:val="20"/>
          <w:szCs w:val="20"/>
          <w:color w:val="auto"/>
        </w:rPr>
      </w:pPr>
    </w:p>
    <w:p>
      <w:pPr>
        <w:ind w:right="100" w:firstLine="360"/>
        <w:spacing w:after="0" w:line="311" w:lineRule="auto"/>
        <w:rPr>
          <w:sz w:val="20"/>
          <w:szCs w:val="20"/>
          <w:color w:val="auto"/>
        </w:rPr>
      </w:pPr>
      <w:r>
        <w:rPr>
          <w:rFonts w:ascii="Arial" w:cs="Arial" w:eastAsia="Arial" w:hAnsi="Arial"/>
          <w:sz w:val="16"/>
          <w:szCs w:val="16"/>
          <w:color w:val="auto"/>
        </w:rPr>
        <w:t>Although we have not experienced a cyber-incident which has been successful in compromising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spacing w:after="0" w:line="41"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A breach in the security of any of our information systems, or other cyber incident, could have an adverse impact on, among other things, our revenue, ability to attract and maintain customers and business reputation.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spacing w:after="0" w:line="164" w:lineRule="exact"/>
        <w:rPr>
          <w:sz w:val="20"/>
          <w:szCs w:val="20"/>
          <w:color w:val="auto"/>
        </w:rPr>
      </w:pPr>
    </w:p>
    <w:p>
      <w:pPr>
        <w:ind w:right="240"/>
        <w:spacing w:after="0" w:line="343" w:lineRule="auto"/>
        <w:rPr>
          <w:sz w:val="20"/>
          <w:szCs w:val="20"/>
          <w:color w:val="auto"/>
        </w:rPr>
      </w:pPr>
      <w:r>
        <w:rPr>
          <w:rFonts w:ascii="Arial" w:cs="Arial" w:eastAsia="Arial" w:hAnsi="Arial"/>
          <w:sz w:val="15"/>
          <w:szCs w:val="15"/>
          <w:b w:val="1"/>
          <w:bCs w:val="1"/>
          <w:i w:val="1"/>
          <w:iCs w:val="1"/>
          <w:color w:val="auto"/>
        </w:rPr>
        <w:t>We depend on third party providers, and these providers may be unable to deliver, or refuse to deliver, necessary technological and customer services support for our systems in a timely manner at prices, quality levels, and volumes acceptable to us.</w:t>
      </w:r>
    </w:p>
    <w:p>
      <w:pPr>
        <w:spacing w:after="0" w:line="6"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We outsource check processing, check imaging, electronic bill payment, statement rendering, internal audit, cybersecurity, IT management, and other services to third party vendors. While we believe that such providers will be able to continue to supply us with these essential services, they may be unable to do so in the short term or at prices or costs that are favorable to us, or at all. In addition, our agreements with each service provider are generally cancelable without cause by either party upon specified notice periods. If one of our third party service providers terminates its agreement with us and we are unable to replace it with another service provider, our operations may be interrupted. In particular, while we believe that we would be able to secure alternate providers for most of this essential technological and customer services support in a relatively short time frame, qualifying alternate providers or developing our own replacement technology services may be time consuming, costly, and may force us to change our services offered. If an interruption were to continue for a significant period of time, our earnings could decrease, we could experience losses, and we could lose customers. In addition, we are obligated to exercise comprehensive risk management and oversight of third party providers involving critical activities, including through the adoption of risk management processes commensurate with the level of risk and complexity of our third party providers.</w:t>
      </w:r>
    </w:p>
    <w:p>
      <w:pPr>
        <w:spacing w:after="0" w:line="15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We are subject to certain operating risks related to employee error and customer, employee and third party misconduct, which could harm our reputation and business.</w:t>
      </w:r>
    </w:p>
    <w:p>
      <w:pPr>
        <w:spacing w:after="0" w:line="7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Employee error or employee and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accuracy and completeness of information about customers and counterparties.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rely on information furnished to us by or on behalf of customers and counterparties, including financial statements and other financial information. We also rely on representations of customers and counterparties as to the accuracy and completeness of that information and, with respect to financial statements, on reports of independent auditors. While we have a practice of seeking to independently verify some of the customer information that we use in deciding whether to extend credit or to agree to a loan modification, including employment, assets, income and credit score, not all customer information is independently verified, and if any of the information that is independently verified (or any other information considered in the loan review process) is misrepresented and such misrepresentation is not detected prior to loan funding, the value of the loan may be significantly lower than expected. Whether a misrepresentation is made by the applicant, another third party or one of our employees, we generally bear the risk of loss associated with the misrepresentation. We may not detect all misrepresented information in our approval process. Any such misrepresented information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activity could damage our reputation, disrupt our businesses, increase our costs and cause losses.</w:t>
      </w:r>
    </w:p>
    <w:p>
      <w:pPr>
        <w:spacing w:after="0" w:line="117"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the Company devotes substantial resources to maintaining effective policies and internal controls to identify and prevent such incidents, given the increasing sophistication of possible perpetrators, the Company may experience financial losses or reputational harm as a result of fraud.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heavily on our management team and the unexpected loss of key officers may adversely affect our operations.</w:t>
      </w:r>
    </w:p>
    <w:p>
      <w:pPr>
        <w:spacing w:after="0" w:line="127"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of Directors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w:t>
      </w:r>
    </w:p>
    <w:p>
      <w:pPr>
        <w:spacing w:after="0" w:line="84" w:lineRule="exact"/>
        <w:rPr>
          <w:sz w:val="20"/>
          <w:szCs w:val="20"/>
          <w:color w:val="auto"/>
        </w:rPr>
      </w:pPr>
    </w:p>
    <w:p>
      <w:pPr>
        <w:ind w:right="80" w:firstLine="360"/>
        <w:spacing w:after="0" w:line="263" w:lineRule="auto"/>
        <w:rPr>
          <w:sz w:val="20"/>
          <w:szCs w:val="20"/>
          <w:color w:val="auto"/>
        </w:rPr>
      </w:pPr>
      <w:r>
        <w:rPr>
          <w:rFonts w:ascii="Arial" w:cs="Arial" w:eastAsia="Arial" w:hAnsi="Arial"/>
          <w:sz w:val="18"/>
          <w:szCs w:val="18"/>
          <w:color w:val="auto"/>
        </w:rPr>
        <w:t>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attract or retain key banking employees which could adversely impact our business and operations.</w:t>
      </w:r>
    </w:p>
    <w:p>
      <w:pPr>
        <w:spacing w:after="0" w:line="127" w:lineRule="exact"/>
        <w:rPr>
          <w:sz w:val="20"/>
          <w:szCs w:val="20"/>
          <w:color w:val="auto"/>
        </w:rPr>
      </w:pPr>
    </w:p>
    <w:p>
      <w:pPr>
        <w:ind w:right="220" w:firstLine="360"/>
        <w:spacing w:after="0" w:line="296" w:lineRule="auto"/>
        <w:rPr>
          <w:sz w:val="20"/>
          <w:szCs w:val="20"/>
          <w:color w:val="auto"/>
        </w:rPr>
      </w:pPr>
      <w:r>
        <w:rPr>
          <w:rFonts w:ascii="Arial" w:cs="Arial" w:eastAsia="Arial" w:hAnsi="Arial"/>
          <w:sz w:val="16"/>
          <w:szCs w:val="16"/>
          <w:color w:val="auto"/>
        </w:rPr>
        <w:t>We expect future success to be driven in large part by the relationships maintained with our customers by our executives and senior lending officers. Our future successes and profitability are substantially dependent upon the management and banking abilities of our senior executives. We strive to attract and retain key banking professionals, management and staff. Competition to attract the best professionals in the industry can be intense, which will limit our ability to hire new professionals. Banking-related revenues and net income could be adversely affected in the event of the unexpected loss of key personnel.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from other financial intermediaries may adversely affect our profitability.</w:t>
      </w:r>
    </w:p>
    <w:p>
      <w:pPr>
        <w:spacing w:after="0" w:line="117" w:lineRule="exact"/>
        <w:rPr>
          <w:sz w:val="20"/>
          <w:szCs w:val="20"/>
          <w:color w:val="auto"/>
        </w:rPr>
      </w:pPr>
    </w:p>
    <w:p>
      <w:pPr>
        <w:ind w:right="140" w:firstLine="360"/>
        <w:spacing w:after="0" w:line="290" w:lineRule="auto"/>
        <w:rPr>
          <w:sz w:val="20"/>
          <w:szCs w:val="20"/>
          <w:color w:val="auto"/>
        </w:rPr>
      </w:pPr>
      <w:r>
        <w:rPr>
          <w:rFonts w:ascii="Arial" w:cs="Arial" w:eastAsia="Arial" w:hAnsi="Arial"/>
          <w:sz w:val="16"/>
          <w:szCs w:val="16"/>
          <w:color w:val="auto"/>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This competition may limit our future growth and earnings prospects.</w:t>
      </w:r>
    </w:p>
    <w:p>
      <w:pPr>
        <w:spacing w:after="0" w:line="152"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b w:val="1"/>
          <w:bCs w:val="1"/>
          <w:i w:val="1"/>
          <w:iCs w:val="1"/>
          <w:color w:val="auto"/>
        </w:rPr>
        <w:t>We may incur substantial costs and other negative effects due to litigation, investigations or similar matters, or adverse facts and developments related thereto, could materially affect our business, operating results and financial condition.</w:t>
      </w:r>
    </w:p>
    <w:p>
      <w:pPr>
        <w:spacing w:after="0" w:line="29"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We may be involved from time to time in a variety of litigation, investigations or similar matters arising out of our business. See “Business—Litigation” for further discussion of current litigation between the Bank and a townhome association and an owner of a townhome. It is inherently difficult to assess the outcome of these matters, and we may not prevail in proceedings or litigation. Our insurance may not cover all claims that may be asserted against us and indemnification rights to which we are entitled may not be honored, and any claims asserted against us, regardless of merit or eventual outcome, may harm our reputation. Should the ultimate judgments or settlements in any litigation or investigation significantly exceed our insurance coverage, they could have a material adverse effect on our business, financial condition and results of operations. In addition, premiums for insurance covering the financial and banking sectors are rising. We may not be able to obtain appropriate types or levels of insurance in the future, nor may we be able to obtain adequate replacement policies with acceptable terms or at historic rates, if at all.</w:t>
      </w:r>
    </w:p>
    <w:p>
      <w:pPr>
        <w:spacing w:after="0" w:line="15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preparation of financial statements and related disclosures in conformity with the accounting principles generally accepted in the United States, or GAAP, requires us to make judgments, assumptions and estimates that affect the amounts reported in our consolidated financial statements and accompanying notes. Our critical accounting policies, which are included in the section captioned “Management’s Discussion and Analysis of Financial Condition and Results of Operations” in this prospectus,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spacing w:after="0" w:line="168" w:lineRule="exact"/>
        <w:rPr>
          <w:sz w:val="20"/>
          <w:szCs w:val="20"/>
          <w:color w:val="auto"/>
        </w:rPr>
      </w:pPr>
    </w:p>
    <w:p>
      <w:pPr>
        <w:ind w:right="560"/>
        <w:spacing w:after="0" w:line="231"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we may not be able to report our financial results accurately and timely, in which case our business may be harmed, investors may lose confidence in the accuracy and completeness of our financial reports, we could be subject to regulatory penalties and the price of our common stock may decline.</w:t>
      </w:r>
    </w:p>
    <w:p>
      <w:pPr>
        <w:spacing w:after="0" w:line="8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and for evaluating and reporting on that system of internal control. Our internal control over financial reporting is a process designed to provide reasonable assurance regarding the reliability of financial reporting and the preparation of financial statements for external purposes in accordance with GAAP. As a public company, we will be required to comply with the Sarbanes-Oxley Act and other rules that govern public companies. In particular, we will be required to certify our compliance with Section 404(a) of the Sarbanes-Oxley Act beginning with our second annual report on Form 10-K, which will require us to furnish annually a report by management on the effectiveness of our internal control over financial reporting. In addition, unless we remain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an emerging growth company and elect additional transitional relief available to emerging growth companies, our independent registered public accounting firm may be required to report on the effectiveness of our internal control over financial reporting beginning as of that second annual report on Form 10-K.</w:t>
      </w:r>
    </w:p>
    <w:p>
      <w:pPr>
        <w:spacing w:after="0" w:line="76" w:lineRule="exact"/>
        <w:rPr>
          <w:sz w:val="20"/>
          <w:szCs w:val="20"/>
          <w:color w:val="auto"/>
        </w:rPr>
      </w:pPr>
    </w:p>
    <w:p>
      <w:pPr>
        <w:ind w:right="60" w:firstLine="360"/>
        <w:spacing w:after="0" w:line="275" w:lineRule="auto"/>
        <w:rPr>
          <w:sz w:val="20"/>
          <w:szCs w:val="20"/>
          <w:color w:val="auto"/>
        </w:rPr>
      </w:pPr>
      <w:r>
        <w:rPr>
          <w:rFonts w:ascii="Arial" w:cs="Arial" w:eastAsia="Arial" w:hAnsi="Arial"/>
          <w:sz w:val="17"/>
          <w:szCs w:val="17"/>
          <w:color w:val="auto"/>
        </w:rPr>
        <w:t>We will continue to periodically test and update, as necessary, our internal control systems, including our financial reporting controls. Our actions, however, may not be sufficient to result in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common stock to decline and subject us to regulatory penalties.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 opinion could damage our reputation and adversely impact our earnings.</w:t>
      </w:r>
    </w:p>
    <w:p>
      <w:pPr>
        <w:spacing w:after="0" w:line="117"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w:t>
      </w:r>
    </w:p>
    <w:p>
      <w:pPr>
        <w:spacing w:after="0" w:line="15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i w:val="1"/>
          <w:iCs w:val="1"/>
          <w:color w:val="auto"/>
        </w:rPr>
        <w:t>If third parties infringe upon our intellectual property or if we were to infringe upon the intellectual property of third parties, we may expend significant resources enforcing or defending our rights or suffer competitive injury.</w:t>
      </w:r>
    </w:p>
    <w:p>
      <w:pPr>
        <w:spacing w:after="0" w:line="53" w:lineRule="exact"/>
        <w:rPr>
          <w:sz w:val="20"/>
          <w:szCs w:val="20"/>
          <w:color w:val="auto"/>
        </w:rPr>
      </w:pPr>
    </w:p>
    <w:p>
      <w:pPr>
        <w:jc w:val="both"/>
        <w:ind w:right="100" w:firstLine="360"/>
        <w:spacing w:after="0" w:line="287" w:lineRule="auto"/>
        <w:rPr>
          <w:sz w:val="20"/>
          <w:szCs w:val="20"/>
          <w:color w:val="auto"/>
        </w:rPr>
      </w:pPr>
      <w:r>
        <w:rPr>
          <w:rFonts w:ascii="Arial" w:cs="Arial" w:eastAsia="Arial" w:hAnsi="Arial"/>
          <w:sz w:val="16"/>
          <w:szCs w:val="16"/>
          <w:color w:val="auto"/>
        </w:rPr>
        <w:t>We rely on a combination of copyright, trademark, trade secret laws and confidentiality provisions to establish and protect our proprietary rights. If we fail to successfully maintain, protect and enforce our intellectual property rights, our competitive position could suffer. Similarly, if we were to infringe on the intellectual property rights of others, our competitive position could suffer.</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soundness of other financial institutions.</w:t>
      </w:r>
    </w:p>
    <w:p>
      <w:pPr>
        <w:spacing w:after="0" w:line="117"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participate in syndicated transactions (including shared national credits)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Until May 31, 2018, our Company was an S Corporation, and claims of taxing authorities related to our prior status as an S Corporation could harm us.</w:t>
      </w:r>
    </w:p>
    <w:p>
      <w:pPr>
        <w:spacing w:after="0" w:line="63"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Until May 31, 2018, our Company was an S Corporation. Effective May 31, 2018, the Company revoked its S Corporation election and the Company became taxed as a C Corporation under the provisions of Sections 301 to 385 of the Code (which treat the corporation as an entity that is subject to an entity level U.S. federal income tax). If the unaudited, open tax years in which we were an S Corporation are audited by the Internal Revenue Service, or IRS, and we are determined not to have qualified for, or to have violated, our S Corporation status, we likely would be obligated to pay corporate level tax, plus interest and possible penalties, with respect to those open tax years. This could result in tax liability with respect to all of the income we reported for periods when we believed we properly were treated as an S Corporation not subject to entity level taxation. Any such claims could result in additional costs to us and could have a material adverse effect on our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108"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b w:val="1"/>
          <w:bCs w:val="1"/>
          <w:i w:val="1"/>
          <w:iCs w:val="1"/>
          <w:color w:val="auto"/>
        </w:rPr>
        <w:t>We are subject to extensive regulation, which increases the cost and expense of compliance and could limit or restrict our activities, which in turn may adversely impact our earnings and ability to grow.</w:t>
      </w:r>
    </w:p>
    <w:p>
      <w:pPr>
        <w:spacing w:after="0" w:line="75"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We operate in a highly regulated environment and are subject to regulation, supervision and examination by a number of governmental regulatory agencies, including the Federal Reserve, the Texas Department of Banking, or TDB, and the FDIC. Regulations adopted by these agencies, which are generally intended to provide protection for depositors, customers and the Deposit Insurance Fund of the FDIC, or the DIF, rather than for the benefit of shareholders, govern a comprehensive range of matters relating to ownership and control of our shares, our acquisition of other companies and businesses, permissible activities for us to engage in, maintenance of adequate capital levels, dividend payments and other aspects of our operations.</w:t>
      </w:r>
    </w:p>
    <w:p>
      <w:pPr>
        <w:spacing w:after="0" w:line="70"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In 2010 and 2011, in response to the financial crisis and recession that began in 2008, significant regulatory and legislative changes resulted in broad reform and increased regulation affecting financial institutions. The Dodd-Frank and Wall Street Consumer Protection Act, or Dodd-Frank Act, has created a significant shift in the way financial institutions operate. The Dodd-Frank Act also created the Consumer Financial Protection Bureau, or CFPB, to implement consumer protection and fair lending laws, a function that was formerly performed by the depository institution regulators. The Dodd-Frank Act contains various provisions designed to enhance the regulation of depository institutions and prevent the recurrence of a financial crisis such as that which occurred in 2008 and 2009. The Dodd-Frank Act has had and may continue to have a material impact on our operations, particularly through increased regulatory burden and compliance costs. On May 24, 2018, the Economic Growth, Regulatory Relief, and Consumer Protection Act, or the EGRRCPA, became law. Among other things, the EGRRCPA changes certain of the regulatory requirements of the Dodd-Frank Act and includes provisions intended to relieve the regulatory burden on community banks. We cannot currently predict the impact of this legislation on us. Any future legislative changes could have a material impact on our profitability, the value of assets held for investment or the value of collateral for loans. Future legislative changes could also require changes to business practices and potentially expose us to additional costs, liabilities, enforcement action and reputational risk.</w:t>
      </w:r>
    </w:p>
    <w:p>
      <w:pPr>
        <w:spacing w:after="0" w:line="66"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These bank regulators possess broad authority to prevent or remedy unsafe or unsound practices or violations of law. Following examinations, we may be required, among other things, to change our asset valuations or the amounts of required loan loss allowances or to restrict our operations, as well as increase our capital levels, which could adversely affect our results of operations. The laws and regulations applicable to the banking industry could change at any time and we cannot predict the effects of these changes on our business, profitability or growth strategy. Increased regulation could increase our cost of compliance and adversely affect profitability. Moreover, certain of these regulations contain significant punitive sanctions for violations, including monetary penalties and limitations on a bank’s ability to implement components of its business plan, such as expansion through mergers and acquisitions or the opening of new branch offices. In addition, changes in regulatory requirements may add costs associated with compliance efforts. Furthermore, government policy and regulation, particularly as implemented through the Federal Reserve, significantly affect credit conditions. Negative developments in the financial industry and the impact of new legislation and regulation in response to those developments could negatively impact our business operations and adversely impact our financial performance.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are subject to commercial real estate lending guidance issued by the federal banking regulators that impacts our operations and capital requirements.</w:t>
      </w:r>
    </w:p>
    <w:p>
      <w:pPr>
        <w:spacing w:after="0" w:line="63"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The federal bank regulators have issued final guidance regarding concentrations in commercial real estate lending directed at institutions that have concentrations of acquisition, development, and construction, or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 should implement heightened risk management practices appropriate to their concentration risk and may be required to maintain higher capital ratios than institutions with lower concentrations in commercial real estate lending. Our ADC loans comprise 75.3% of the Bank’s capital, and our non-owner occupied commercial real estate loans comprise 208.0% of the Bank’s capital. Over the prior 36 months, our non-owner occupied commercial real estate loans have increased 15.5%. Although we are below the concentrations set forth in the guidance, we cannot guarantee that any risk management practices we implement will be effective to prevent losses relating to our commercial real estate portfolio. Management has implemented controls to monitor the Bank’s commercial real estate lending concentrations, but we cannot predict the extent to which this guidance will impact our operations or capital requirements.</w:t>
      </w:r>
    </w:p>
    <w:p>
      <w:pPr>
        <w:spacing w:after="0" w:line="39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 Proposed legislative and regulatory actions, including changes to financial regulation, may not occur on the timeframe that is expected, or at all, which could result in additional uncertainty for our business.</w:t>
      </w:r>
    </w:p>
    <w:p>
      <w:pPr>
        <w:spacing w:after="0" w:line="80"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We are subject to extensive regulation by multiple regulatory bodies. These regulations may affect the manner and terms of delivery of our services. If we do not comply with governmental regulations, we may be subject to fines, penalties, lawsuits or material restrictions on our businesses which may adversely affect our business operations. Changes in these regulations can significantly affect the services that we provide as well as our costs of compliance with such regulations. In addition, adverse publicity and damage to our reputation arising from the failure or perceived failure to comply with legal, regulatory or contractual requirements could affect our ability to attract and retain customers.</w:t>
      </w:r>
    </w:p>
    <w:p>
      <w:pPr>
        <w:spacing w:after="0" w:line="70" w:lineRule="exact"/>
        <w:rPr>
          <w:sz w:val="20"/>
          <w:szCs w:val="20"/>
          <w:color w:val="auto"/>
        </w:rPr>
      </w:pPr>
    </w:p>
    <w:p>
      <w:pPr>
        <w:ind w:right="100" w:firstLine="360"/>
        <w:spacing w:after="0" w:line="268" w:lineRule="auto"/>
        <w:rPr>
          <w:sz w:val="20"/>
          <w:szCs w:val="20"/>
          <w:color w:val="auto"/>
        </w:rPr>
      </w:pPr>
      <w:r>
        <w:rPr>
          <w:rFonts w:ascii="Arial" w:cs="Arial" w:eastAsia="Arial" w:hAnsi="Arial"/>
          <w:sz w:val="17"/>
          <w:szCs w:val="17"/>
          <w:color w:val="auto"/>
        </w:rPr>
        <w:t>Current and past economic conditions, particularly in the financial markets, have resulted in government regulatory agencies and political bodies placing increased focus and scrutiny on the financial services industry. For example, the Dodd-Frank Act significantly changed the regulation of financial institutions and the financial services industry. In addition, 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Federal and state regulatory agencies also frequently adopt changes to their regulations or change the manner in which existing regulations are applied. President Donald Trump issued an executive order directing the review of existing financial regulations. The Trump administration has also indicated in public statements that the Dodd-Frank Act will be under scrutiny and that some of its provisions and the rules promulgated thereunder may be revised, repealed or amended. In May 2018, Congress passed the EGRRCPA that provides for certain regulatory relief for community banks, including mortgage lending relief, treatment of reciprocal deposits and capital simplification.</w:t>
      </w:r>
    </w:p>
    <w:p>
      <w:pPr>
        <w:spacing w:after="0" w:line="78"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spacing w:after="0" w:line="135"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Many of our new activities and expansion plans require regulatory approvals, and failure to obtain them may restrict our growth.</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As part of our growth strategy, we may expand our business by pursuing strategic acquisitions of financial institutions and other complementary businesses. Generally, we must receive federal regulatory approval before we can acquire an FDIC-insured depository institution or related business. In determining whether to approve a proposed acquisition, federal banking regulators will consider, among other factors, the effect of the acquisition on competition, our financial condition, our future prospects and the impact of the proposal on U.S. financial stability. The regulators also review current and projected capital ratios, the competence, experience and integrity of management and its record of compliance with laws and regulations, the convenience and needs of the communities to be served (including the acquiring institution’s record of compliance under the Community Reinvestment Act, or the CRA) and the effectiveness of the acquiring institution in combating money laundering activities.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w:t>
      </w:r>
    </w:p>
    <w:p>
      <w:pPr>
        <w:spacing w:after="0" w:line="74"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In addition to the acquisition of existing financial institutions,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Reserve may require the Company to commit capital resources to support the Bank.</w:t>
      </w:r>
    </w:p>
    <w:p>
      <w:pPr>
        <w:spacing w:after="0" w:line="117"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As a matter of policy, the Federal Reserve expects a bank holding company to act as a source of financial and managerial strength to a subsidiary bank and to commit resources to support such subsidiary bank. The Dodd-Frank Act codified the Federal Reserve’s policy on serving as a source of financial strength. Under the “source of strength” doctrine, the Federal Reserve may require a bank holding company to make capital injections into a troubled subsidiary bank and may charge the Bank holding company with engaging in unsafe and unsound practices for failing to commit resources to such a subsidiary bank. A capital injection may be required at times when the holding company may not have the resources to provide and therefore may be required to borrow the funds or raise capital. Any loans by a holding company to its subsidiary bank are subordinate in right of payment to deposits and to certain other indebtedness of such subsidiary bank. In the event of a bank holding company’s bankruptcy, the bankruptcy trustee will assume any commitment by the holding company to a federal bank regulatory agency to maintain the capital of a subsidiary bank.</w:t>
      </w:r>
    </w:p>
    <w:p>
      <w:pPr>
        <w:spacing w:after="0" w:line="7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Moreover, bankruptcy law provides that claims based on any such commitment will be entitled to a priority of payment over the claims of the institution’s general unsecured creditors, including the holders of its note obligations. Thus, any borrowing by the Company in order to make the required capital injection becomes more difficult and expensive and will adversely impact the Company’s financial condition, results of operations and/or future prospects.</w:t>
      </w:r>
    </w:p>
    <w:p>
      <w:pPr>
        <w:spacing w:after="0" w:line="17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As a regulated entity, we and the Bank must maintain certain required levels of regulatory capital that may limit our and the Bank’s operations and potential growth.</w:t>
      </w:r>
    </w:p>
    <w:p>
      <w:pPr>
        <w:spacing w:after="0" w:line="7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and Bank are subject to various regulatory capital requirements administered by the FDIC and the Federal Reserve, respectively. Failure to meet minimum capital requirements can initiate certain mandatory, and possibly additional discretionary actions by regulators that, if undertaken, could have a direct material effect on our financial statements and the Company’s consolidated financial statements. Under capital adequacy guidelines and the regulatory framework for prompt corrective action, we must meet specific capital guidelines that involve quantitative measures of our assets, liabilities and certain off-balance sheet commitments as calculated under these regulations.</w:t>
      </w:r>
    </w:p>
    <w:p>
      <w:pPr>
        <w:spacing w:after="0" w:line="84"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Quantitative measures established by regulation to ensure capital adequacy require the Bank to maintain minimum amounts and defined ratios of total and tier 1 capital to risk-weighted assets and of tier 1 capital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adjusted total assets, also known as the leverage ratio. As of December 31, 2018, we exceeded the amounts required to be well-capitalized with respect to all three required capital ratios. As of December 31, 2018, the Bank’s common equity tier 1, tier 1 leverage, tier 1 risk-based capital and total risk-based capital ratios were 9.91%, 9.63%, 11.98% and 14.28%, respectively.</w:t>
      </w:r>
    </w:p>
    <w:p>
      <w:pPr>
        <w:spacing w:after="0" w:line="41" w:lineRule="exact"/>
        <w:rPr>
          <w:sz w:val="20"/>
          <w:szCs w:val="20"/>
          <w:color w:val="auto"/>
        </w:rPr>
      </w:pPr>
    </w:p>
    <w:p>
      <w:pPr>
        <w:ind w:right="140" w:firstLine="360"/>
        <w:spacing w:after="0" w:line="273" w:lineRule="auto"/>
        <w:rPr>
          <w:sz w:val="20"/>
          <w:szCs w:val="20"/>
          <w:color w:val="auto"/>
        </w:rPr>
      </w:pPr>
      <w:r>
        <w:rPr>
          <w:rFonts w:ascii="Arial" w:cs="Arial" w:eastAsia="Arial" w:hAnsi="Arial"/>
          <w:sz w:val="17"/>
          <w:szCs w:val="17"/>
          <w:color w:val="auto"/>
        </w:rPr>
        <w:t>Many factors affect the calculation of our risk-based assets and our ability to maintain the level of capital required to achieve acceptable capital ratios. For example, changes in risk weightings of assets relative to capital and other factors may combine to increase the amount of risk-weighted assets in the tier 1 risk-based capital ratio and the total risk-based capital ratio. Any increases in our risk-weighted assets will require a corresponding increase in our capital to maintain the applicable ratios. In addition, recognized loan losses in excess of amounts reserved for such losses, loan impairments, impairment losses on securities and other factors will decrease our capital, thereby reducing the level of the applicable ratios.</w:t>
      </w:r>
    </w:p>
    <w:p>
      <w:pPr>
        <w:spacing w:after="0" w:line="70"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federal banking regulators released a proposed rulemaking on November 21, 2018 that could, if enacted, provide certain banks and their holding companies with the option to substitute compliance with a community bank leverage ratio framework in lieu of the existing capital requirements. The Company will continue to monitor this rulemaking. If and when the rulemaking goes into effect, the Company and the Bank will consider whether it would be possible and advantageous at that time to substitute compliance with a community bank leverage ratio framework in lieu of the existing capital requirements. In any case, the prompt corrective action framework would still apply to the Bank. See “Supervision and Regulation—Regulatory Capital Requirements.”</w:t>
      </w:r>
    </w:p>
    <w:p>
      <w:pPr>
        <w:spacing w:after="0" w:line="56"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Our failure to remain well-capitalized for bank regulatory purposes, either under the existing capital requirements or under the proposed community bank leverage ratio framework, if applicable, could affect customer confidence, our ability to grow, our costs of funds and FDIC insurance costs, our ability to pay dividends to the Company and the Company’s ability to pay dividends on its common stock, the Company’s ability to make acquisitions and on our and the Company’s business, results of operations and financial condition. Under regulatory rules, if we cease to be a well-capitalized institution for bank regulatory purposes, the interest rates that we pay on deposits and our ability to accept brokered deposits may be restricted.</w:t>
      </w:r>
    </w:p>
    <w:p>
      <w:pPr>
        <w:spacing w:after="0" w:line="178"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74"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Our regulators periodically examine our business, including our compliance with laws and regulations. Accommodating such examinations may require management to reallocate resources, which could otherwise be used in the day-to-day operation of other aspects of our business.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an adverse effect on our business, financial condition and results of operations.</w:t>
      </w:r>
    </w:p>
    <w:p>
      <w:pPr>
        <w:spacing w:after="0" w:line="17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spacing w:after="0" w:line="74" w:lineRule="exact"/>
        <w:rPr>
          <w:sz w:val="20"/>
          <w:szCs w:val="20"/>
          <w:color w:val="auto"/>
        </w:rPr>
      </w:pPr>
    </w:p>
    <w:p>
      <w:pPr>
        <w:ind w:right="420" w:firstLine="360"/>
        <w:spacing w:after="0" w:line="259" w:lineRule="auto"/>
        <w:rPr>
          <w:sz w:val="20"/>
          <w:szCs w:val="20"/>
          <w:color w:val="auto"/>
        </w:rPr>
      </w:pPr>
      <w:r>
        <w:rPr>
          <w:rFonts w:ascii="Arial" w:cs="Arial" w:eastAsia="Arial" w:hAnsi="Arial"/>
          <w:sz w:val="18"/>
          <w:szCs w:val="18"/>
          <w:color w:val="auto"/>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Monetary policy and other economic factors could affect our profitability adversely.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factors will affect the demand for loans and our ability to attract deposits:</w:t>
      </w:r>
    </w:p>
    <w:p>
      <w:pPr>
        <w:spacing w:after="0" w:line="117" w:lineRule="exact"/>
        <w:rPr>
          <w:sz w:val="20"/>
          <w:szCs w:val="20"/>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economic and monetary policies;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Code, and banking and credit regulations;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national, state and local economic growth rates;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employment rates;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population trends.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success depends in significant part upon our ability to maintain a sufficient net interest margin between the rates of interest we receive on loans and other investments and the rates we pay out on deposits and other liabilities. The monetary and economic factors listed above, and the need to pay rates sufficient to attract deposits, may adversely affect our ability to maintain an interest margin sufficient to result in operating profits.</w:t>
      </w:r>
    </w:p>
    <w:p>
      <w:pPr>
        <w:spacing w:after="0" w:line="17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Failure to maintain and implement adequate programs to combat money laundering and terrorist financing could have serious reputational consequences for us.</w:t>
      </w:r>
    </w:p>
    <w:p>
      <w:pPr>
        <w:spacing w:after="0" w:line="7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Bank Secrecy Act, or BSA, the USA PATRIOT Act and other laws and regulations require financial institutions, among other duties, to institute and maintain effective anti-money laundering programs and file suspicious activity and currency transaction reports as appropriate. The federal Financial Crimes Enforcement Network, established by the U.S. Treasury to administer the BSA, is authorized to impose significant civil money penalties for violations of those requirements and has recently engaged in coordinated enforcement efforts with the individual federal bank regulators, as well as the U.S. Department of Justice, Drug Enforcement Administration and Internal Revenue Service. There is also increased scrutiny of compliance with the rules enforced by the OFAC. Federal and state bank regulators also have begun to focus on compliance with BSA and anti-money laundering regulations. If our policies, procedures and systems are deemed deficient, we could be subject to liability, including fines and regulatory actions such as restrictions on our ability to pay dividends and the necessity to obtain regulatory approvals to proceed with certain aspects of our 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spacing w:after="0" w:line="16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75"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We are subject to various privacy, information security and data protection laws, including requirements concerning security breach notification, and we could be negatively impacted by these laws. For example, our business is subject to the Gramm-Leach-Bliley Act which, among other things: (i) imposes certain limitations on our ability to share non-public personal information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we develop, implement and maintain a written comprehensive information security program containing safeguards appropriate based on our size and complexity, the nature and scope of our activities and the sensitivity of customer information we process, as well as plans for responding to data security breaches.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United States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w:t>
      </w:r>
    </w:p>
    <w:p>
      <w:pPr>
        <w:spacing w:after="0" w:line="4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increased risk under the terms of the CRA, as we accept additional deposits in new geographic markets.</w:t>
      </w:r>
    </w:p>
    <w:p>
      <w:pPr>
        <w:spacing w:after="0" w:line="115"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we accept additional deposits in new geographic markets, we will be required to maintain an acceptable CRA rating.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Maintaining an acceptable CRA rating may become more difficult as our deposits increase across new geographic markets.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certain restrictions related to interstate banking and branching, including restrictions on interstate deposits.</w:t>
      </w:r>
    </w:p>
    <w:p>
      <w:pPr>
        <w:spacing w:after="0" w:line="138"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The Riegle-Neal Interstate Banking and Branching Efficiency Act of 1994, or Interstate Act, together with the Dodd-Frank Act, relaxed prior interstate branching restrictions under federal law by permitting, subject to regulatory approval, commercial banks to establish branches in states where the laws permit banks chartered in such states to establish branches. As discussed in this prospectus, the Bank operates branches in Texas and New Mexico. Federal banking agency regulations prohibit banks from using their interstate branches primarily for deposit production, and the federal banking agencies have implemented a loan-to-deposit ratio screen to ensure compliance with this prohibition, the purpose of which is to ensure that interstate branches do not take deposits from a community without the bank reasonably helping to meet the credit needs of that community.</w:t>
      </w:r>
    </w:p>
    <w:p>
      <w:pPr>
        <w:spacing w:after="0" w:line="58"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The prohibition on establishing interstate branches for the purpose of deposit production, and the corresponding regulatory loan-to-deposit restrictions, could limit our ability to establish branches outside of Texas. We believe that the Bank’s operations are in compliance with the Interstate Act. In addition, we believe that the Bank is reasonably helping to meet the credit needs of the communities served by the Bank’s New Mexico branches. If, however, the FDIC were to determine that the Bank is not reasonably helping to meet the credit needs of the communities served by the Bank’s New Mexico branches, then the FDIC could require the Bank’s New Mexico branches to be closed or not permit the Bank to open new branches in New Mexico.</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federal and state fair lending laws, and failure to comply with these laws could lead to material penalties.</w:t>
      </w:r>
    </w:p>
    <w:p>
      <w:pPr>
        <w:spacing w:after="0" w:line="127"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Federal and state fair lending laws and regulations, such as the Equal Credit Opportunity Act, or ECOA, and the Fair Housing Act, or FHA, impose nondiscriminatory lending requirements on financial institutions. The Department of Justice, CFPB and other federal and state agencies are responsible for enforcing these laws and regulations. Private parties may also have the ability to challenge an institution’s performance under fair lending laws in private class action litigation.</w:t>
      </w:r>
    </w:p>
    <w:p>
      <w:pPr>
        <w:spacing w:after="0" w:line="63"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 successful challenge to our performance under the fair lending laws and regulations could adversely impact our rating under the CRA and result in a wide variety of sanctions, including the required payment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damages and civil money penalties, injunctive relief, imposition of restrictions on merger and acquisition activity and restrictions on expansion activity, which could negatively impact our reputation, business, financial condition and results of operations.</w:t>
      </w:r>
    </w:p>
    <w:p>
      <w:pPr>
        <w:spacing w:after="0" w:line="110"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b w:val="1"/>
          <w:bCs w:val="1"/>
          <w:i w:val="1"/>
          <w:iCs w:val="1"/>
          <w:color w:val="auto"/>
        </w:rPr>
        <w:t>We may be subject to liability for potential violations of predatory lending laws, which could adversely impact our results of operations, financial condition and business.</w:t>
      </w:r>
    </w:p>
    <w:p>
      <w:pPr>
        <w:spacing w:after="0" w:line="75"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are found to have been originated in violation of predatory or abusive lending laws, we could incur losses, which could adversely impact our results of operations, financial condition and business.</w:t>
      </w:r>
    </w:p>
    <w:p>
      <w:pPr>
        <w:spacing w:after="0" w:line="15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Regulatory agencies and consumer advocacy groups have asserted claims that the practices of lenders and loan servicers result in a disparate impact on protected classes.</w:t>
      </w:r>
    </w:p>
    <w:p>
      <w:pPr>
        <w:spacing w:after="0" w:line="75"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w:t>
      </w:r>
    </w:p>
    <w:p>
      <w:pPr>
        <w:spacing w:after="0" w:line="84"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These regulatory agencies, as well as consumer advocacy groups and plaintiffs’ attorneys, have focused greater attention on “disparate impact” claims. The U.S. Supreme Court has confirmed that the “disparate impact” theory applies to cases 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 apply, we are faced with significant administrative burdens in attempting to comply and potential liability for failures to comply.</w:t>
      </w:r>
    </w:p>
    <w:p>
      <w:pPr>
        <w:spacing w:after="0" w:line="69"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In addition to reputational harm, violations of FHA and ECOA can result in actual damages, punitive damages, injunctive or equitable relief, attorneys’ fees and civil money penalties.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an Investment in Our Common Stock</w:t>
      </w:r>
    </w:p>
    <w:p>
      <w:pPr>
        <w:spacing w:after="0" w:line="10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There has been no prior active trading market for our common stock, and we cannot assure you that an active public trading market will develop after the offering; and, even if it does, our share price may trade below the public offering price and be subject to substantial volatility.</w:t>
      </w:r>
    </w:p>
    <w:p>
      <w:pPr>
        <w:spacing w:after="0" w:line="8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There has been no public market for our common stock prior to this offering. We cannot predict the extent to which investor interest in our Company will lead to the development of an active trading market on the NASDAQ Global Select Market or otherwise, or how liquid that market may become, especially if few stock analysts follow our stock or issue research reports concerning our business. In addition, more than 50% of our outstanding shares will be restricted from trading for a period of 180 days after the date of this prospectus, resulting in a limited number of our shares available to be traded in the public market. If an active trading market does not develop, you may have difficulty selling any shares that you buy in this offering. Neither the underwriters nor any other market maker in our common stock will be obligated to make a market in our shares, and any such market making may be discontinued at any time in the sole discretion of each market maker. The initial public offering price for our common stock has been determined through negotiations between us,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selling shareholders and the underwriters and may not be indicative of prices that will prevail in the open market following this offering. Consequently, you may not be able to sell your shares of common stock at or above the public offering price or at any other price or at the time that you would like to sell. An inactive market may also impair our ability to raise capital by selling our common stock and may impair our ability to expand our business by using our common stock as consideration in an acquisition.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could be volatile following this offering.</w:t>
      </w:r>
    </w:p>
    <w:p>
      <w:pPr>
        <w:spacing w:after="0" w:line="117"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Even if a market develops for our common stock after the offering, the market price of our common stock may be volatile and could be subject to wide fluctuations in price in response to various factors, some of which are beyond our control. These factors include, among other things:</w:t>
      </w:r>
    </w:p>
    <w:p>
      <w:pPr>
        <w:spacing w:after="0" w:line="76" w:lineRule="exact"/>
        <w:rPr>
          <w:sz w:val="20"/>
          <w:szCs w:val="20"/>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or annual results of operations;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 generally;</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in the banking industry such as credit quality and monetary policies;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perceptions in the marketplace regarding us or our competitors;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general market conditions and, in particular, developments related to market conditions for the financial services industry;</w:t>
      </w:r>
    </w:p>
    <w:p>
      <w:pPr>
        <w:spacing w:after="0" w:line="140" w:lineRule="exact"/>
        <w:rPr>
          <w:rFonts w:ascii="Arial" w:cs="Arial" w:eastAsia="Arial" w:hAnsi="Arial"/>
          <w:sz w:val="16"/>
          <w:szCs w:val="16"/>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1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be a distraction to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have broad discretion as to the use of the net proceeds from this offering, and we may not use the proceeds effectively.</w:t>
      </w:r>
    </w:p>
    <w:p>
      <w:pPr>
        <w:spacing w:after="0" w:line="138"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We are not required to apply any portion of the net proceeds of this offering for any particular purpose. Accordingly, our management will have broad discretion as to the application of the net proceeds of this offering and could use them for purposes other than those contemplated at the time of this offering. Our shareholders may not agree with the manner in which our management chooses to allocate and spend the net proceeds. A portion of the proceeds may be used to provide additional capital as a cushion against minimum regulatory capital requirements, which may reduce our return on equity as opposed to if such proceeds were used for further growth. Moreover, our management may use the net proceeds for corporate purposes that may not increase our market value or profitability. We cannot predict whether the proceeds from this offering will be invested to yield a favorable return.</w:t>
      </w:r>
    </w:p>
    <w:p>
      <w:pPr>
        <w:spacing w:after="0" w:line="15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 which will increase our costs of operations and may divert focus from our business operations.</w:t>
      </w:r>
    </w:p>
    <w:p>
      <w:pPr>
        <w:spacing w:after="0" w:line="75"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As a public company, we will face increased legal, accounting, administrative and other costs and expenses that we have not incurred as a private company, particularly after we no longer qualify as an emerging growth company. After the completion of this offering, we will be subject to the reporting requirements of the Exchange Act, which requires that we file annual, quarterly and current reports with respect to our business and financial condition and proxy and other information statements, and the rules and regulations implemented by the Securities and Exchange Commission, or the SEC, the Sarbanes-Oxley Act, the Dodd-Frank Act, the Public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Company Accounting Oversight Board and the NASDAQ Global Select Market, each of which imposes additional reporting and other obligations on public companies. As a public company, compliance with these reporting requirements and other SEC and the NASDAQ Global Select Market rules will make certain operating activities more time-consuming, and we will also incur significant new legal, accounting, insurance and other expenses. Furthermore, the need to establish the corporate infrastructure demanded of a public company may divert management’s attention from implementing our operating strategy, which could prevent us from successfully implementing our strategic initiatives and improving our results of operations. We have made, and will continue to make, changes to our internal controls and procedures for financial reporting and accounting systems to meet our reporting obligations as a public company. However, we cannot predict or estimate the amount of additional costs we may incur in order to comply with these requirements. We anticipate that these costs will materially increase our general and administrative expenses and such increases will reduce our profitability.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analysts may not initiate or continue coverage on us.</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analysts publish about us and our business. We do not have any control over these securities analysts, and they may not cover us. If one or more of these analysts cease to cover us or fail to publish regular reports on us, we could lose visibility in the financial markets, which could cause the price or trading volume of our common stock to decline. If we are covered by securities analysts and are the subject of an unfavorable report, the price of our common stock may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of the shares you purchase in this offering.</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Investors purchasing common stock in this offering will pay more for their shares than the amount paid by existing</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shareholders who acquired shares prior to this offering. You will incur immediate dilution of approximately $ per share if you purchase common stock in this offering, representing the difference between the initial public offering price of $ per share and our adjusted tangible book value per share after giving effect to this offering.</w:t>
      </w:r>
    </w:p>
    <w:p>
      <w:pPr>
        <w:spacing w:after="0" w:line="17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b w:val="1"/>
          <w:bCs w:val="1"/>
          <w:i w:val="1"/>
          <w:iCs w:val="1"/>
          <w:color w:val="auto"/>
        </w:rPr>
        <w:t>Shares of certain shareholders may be sold into the public market in the near future. This could cause the market price of our common stock to drop significantly.</w:t>
      </w:r>
    </w:p>
    <w:p>
      <w:pPr>
        <w:spacing w:after="0" w:line="75"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In connection with this offering, we, our directors, our executive officers and certain of our principal shareholders have each agreed to enter into lock-up agreements that restrict the sale of their holdings of our common stock for a period of 180 days after the date of this prospectus, subject to an extension in certain circumstances. When these lock-up agreements expire, these shares and the shares underlying any options held by these individuals will become eligible for sale, in some cases subject only to the volume, manner of sale and notice requirements of Rule 144 under the Securities Act of 1933, as amended, or the Securities Act. In addition, we estimate that immediately following this offering, approximately % of our outstanding common stock will be beneficially owned by our principal shareholders, executive officers and directors. The substantial amount of common stock that is owned by and issuable to certain of our principal shareholders, executive officers and directors may adversely affect our share price, our share price volatility and the development of an active and liquid trading market. The sale of these shares could impair our ability to raise capital through the sale of additional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equity issuances could result in dilution, which could cause the price of our shares of common stock to decline.</w:t>
      </w:r>
    </w:p>
    <w:p>
      <w:pPr>
        <w:spacing w:after="0" w:line="12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We are generally not restricted from issuing additional shares of common stock, up to the 30,000,000 shares of voting common stock and 1,000,000 shares of preferred stock authorized in our certificate of formation. In addition, on March 20, 2019, in connection with this offering, our board of directors approved for Cory T. Newsom, our President, a stock-settled restricted stock unit award having a fair market value of $1,000,000 on the date of grant and incentive stock options covering shares of common stock. Both equity awards vest over a 4-year period. See “Executive Compensation—Employment Agreement with Cory T. Newsom” for a further discussion of these awards. We may issue additional shares of our common stock in the future pursuant to current or future equity compensation plans, upon conversions of preferred stock or debt, upon exercise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warrants or in connection with future acquisitions or financings.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spacing w:after="0" w:line="15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75"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Although there are currently no shares of our preferred stock outstanding, our certificate of formation authorizes us to issue up to 1,000,000 shares of one or more series of preferred stock. The board of directors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executive officers and principal shareholders have significant control over our business.</w:t>
      </w:r>
    </w:p>
    <w:p>
      <w:pPr>
        <w:spacing w:after="0" w:line="115"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As of March 13, 2019, our directors, executive officers and principal shareholders beneficially owned an aggregate of 5,641,590 shares of our common stock, or approximately 37.3% of our issued and outstanding shares of common stock. Following</w:t>
      </w:r>
    </w:p>
    <w:p>
      <w:pPr>
        <w:ind w:right="300"/>
        <w:spacing w:after="0" w:line="281" w:lineRule="auto"/>
        <w:rPr>
          <w:sz w:val="20"/>
          <w:szCs w:val="20"/>
          <w:color w:val="auto"/>
        </w:rPr>
      </w:pPr>
      <w:r>
        <w:rPr>
          <w:rFonts w:ascii="Arial" w:cs="Arial" w:eastAsia="Arial" w:hAnsi="Arial"/>
          <w:sz w:val="16"/>
          <w:szCs w:val="16"/>
          <w:color w:val="auto"/>
        </w:rPr>
        <w:t>the completion of this offering, that same group will beneficially own in the aggregate approximately % of our outstanding common stock (or % if the underwriters exercise in full their option to purchase additional shares), excluding any shares that</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may be purchased in this offering by our directors and executive officers through the directed share program described in “Underwriting—Directed Share Program.” Consequently, our directors, executive officers and principal shareholders will be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insiders could conflict with the interests of our other shareholders, including you.</w:t>
      </w:r>
    </w:p>
    <w:p>
      <w:pPr>
        <w:spacing w:after="0" w:line="6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In addition, pursuant to a separate Board Representation Agreement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directors of each of the Company and the Bank, subject to any required regulatory and shareholder approvals. We do not expect the governance rights under the Board Representation Agreement to terminate in connection with this offering. See “Certain Relationships and Related Party Transactions—Board Representation Agreement”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the circumstances in which our directors will be liable for monetary damages.</w:t>
      </w:r>
    </w:p>
    <w:p>
      <w:pPr>
        <w:spacing w:after="0" w:line="117"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We have included in our certificate of formation a provision to eliminate the liability of directors for monetary damages to the maximum extent permitted by Texas law. The effect of this provision will be to reduce the situations in which we or our shareholders will be able to seek monetary damages from our directors.</w:t>
      </w:r>
    </w:p>
    <w:p>
      <w:pPr>
        <w:spacing w:after="0" w:line="76"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certificate of formation also has a provision providing for indemnification of our directors and executive officers and advancement of expenses to the fullest extent permitted or required by Texas law, including circumstances in which indemnification is otherwise discretionary. We have also entered into agreements with our officers and directors in which we similarly agree to provide indemnification that is otherwise discretionary. Such indemnification may be available for liabilities arising in connection with this offering.</w:t>
      </w:r>
    </w:p>
    <w:p>
      <w:pPr>
        <w:spacing w:after="0" w:line="174"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b w:val="1"/>
          <w:bCs w:val="1"/>
          <w:i w:val="1"/>
          <w:iCs w:val="1"/>
          <w:color w:val="auto"/>
        </w:rPr>
        <w:t>Our bylaws have an exclusive forum provision, which could limit a shareholder’s ability to obtain a favorable judicial forum for disputes with us or our directors, officers or other employees.</w:t>
      </w:r>
    </w:p>
    <w:p>
      <w:pPr>
        <w:spacing w:after="0" w:line="75" w:lineRule="exact"/>
        <w:rPr>
          <w:sz w:val="20"/>
          <w:szCs w:val="20"/>
          <w:color w:val="auto"/>
        </w:rPr>
      </w:pPr>
    </w:p>
    <w:p>
      <w:pPr>
        <w:jc w:val="both"/>
        <w:ind w:right="80" w:firstLine="360"/>
        <w:spacing w:after="0" w:line="263" w:lineRule="auto"/>
        <w:rPr>
          <w:sz w:val="20"/>
          <w:szCs w:val="20"/>
          <w:color w:val="auto"/>
        </w:rPr>
      </w:pPr>
      <w:r>
        <w:rPr>
          <w:rFonts w:ascii="Arial" w:cs="Arial" w:eastAsia="Arial" w:hAnsi="Arial"/>
          <w:sz w:val="18"/>
          <w:szCs w:val="18"/>
          <w:color w:val="auto"/>
        </w:rPr>
        <w:t>Our bylaws have an exclusive forum provision providing that, unless we consent in writing to an alternative forum, the United States District Court for the Northern District of Texas, Lubbock Division, or in the event that such court lacks jurisdiction to hear the action, the District Courts of the County of Lubbock, Texas, are the sole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and exclusive forum for (i) any derivative action or proceeding brought on behalf of the Company, (ii) any action asserting a claim for breach of a fiduciary duty owed by any director, officer, employee or agent of the Company to the Company or the Company’s shareholders, (iii) any action asserting a claim arising pursuant to any provision of the Texas Business Organizations Code, or TBOC, the certificate of formation or the bylaws or (iv) any action asserting a claim governed by the internal affairs doctrine, in each case subject to said courts having personal jurisdiction over the indispensable parties named as defendants therein. Section 27 of the Exchange Act creates exclusive federal jurisdiction over all suits brought to enforce any duty or liability created by the Exchange Act, and Section 22 of the Securities Act creates concurrent jurisdiction for federal and state courts over all suits brought to enforce any duty or liability created by the Securities Act or the rules and regulations thereunder. Our bylaws do not expressly provide that the United States District Court for the Northern District of Texas, Lubbock Division, or in the event that such court lacks jurisdiction to hear the action, the District Courts of the County of Lubbock, Texas, are the sole and exclusive forum for claims that arise under the Securities Act, the Exchange Act, or other federal securities laws. Any person purchasing or otherwise acquiring any interest in any shares of our capital stock will be deemed to have notice of and to have consented to this provision of our bylaws. Shareholders will not be deemed to have waived the Company’s compliance with the federal securities laws and the rules and regulations thereunder.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dividend policy may change without notice, and our future ability to pay dividends is subject to restrictions.</w:t>
      </w:r>
    </w:p>
    <w:p>
      <w:pPr>
        <w:spacing w:after="0" w:line="115" w:lineRule="exact"/>
        <w:rPr>
          <w:sz w:val="20"/>
          <w:szCs w:val="20"/>
          <w:color w:val="auto"/>
        </w:rPr>
      </w:pPr>
    </w:p>
    <w:p>
      <w:pPr>
        <w:ind w:right="180" w:firstLine="360"/>
        <w:spacing w:after="0" w:line="272" w:lineRule="auto"/>
        <w:rPr>
          <w:sz w:val="20"/>
          <w:szCs w:val="20"/>
          <w:color w:val="auto"/>
        </w:rPr>
      </w:pPr>
      <w:r>
        <w:rPr>
          <w:rFonts w:ascii="Arial" w:cs="Arial" w:eastAsia="Arial" w:hAnsi="Arial"/>
          <w:sz w:val="17"/>
          <w:szCs w:val="17"/>
          <w:color w:val="auto"/>
        </w:rPr>
        <w:t>Holders of our common stock are entitled to receive only such cash dividends as our board of directors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of directors.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w:t>
      </w:r>
    </w:p>
    <w:p>
      <w:pPr>
        <w:spacing w:after="0" w:line="69"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Federal Reserve has indicated that bank holding companies should carefully review their dividend policy in relation to the organization’s overall asset quality, current and prospective earnings and level, composition and quality of capital. The guidance provides that we inform and consult with the Federal Reserve prior to declaring and paying a dividend that exceeds earnings for the period for which the dividend is being paid or that could result in an adverse change to our capital structure, including interest on any debt obligations.</w:t>
      </w:r>
    </w:p>
    <w:p>
      <w:pPr>
        <w:spacing w:after="0" w:line="80"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If required payments on our debt obligations are not made, or dividends on any preferred stock we may issue are not paid, we will be prohibited from paying dividends on our common stock.</w:t>
      </w:r>
    </w:p>
    <w:p>
      <w:pPr>
        <w:spacing w:after="0" w:line="15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b w:val="1"/>
          <w:bCs w:val="1"/>
          <w:i w:val="1"/>
          <w:iCs w:val="1"/>
          <w:color w:val="auto"/>
        </w:rPr>
        <w:t>We are a bank holding company and our only source of cash, other than further issuances of securities, is distributions from the Bank.</w:t>
      </w:r>
    </w:p>
    <w:p>
      <w:pPr>
        <w:spacing w:after="0" w:line="75"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considerations. As is the case with all financial institutions, the profitability of the Bank is subject to the fluctuating cost and availability of money, changes in interest rates and in economic conditions in general. In addition, various federal and state statutes limit the amount of dividends that the Bank may pay to the Company without regulatory approval.</w:t>
      </w:r>
    </w:p>
    <w:p>
      <w:pPr>
        <w:spacing w:after="0" w:line="16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We are an “emerging growth company,” and the reduced reporting requirements applicable to emerging growth companies may make our common stock less attractive to investors.</w:t>
      </w:r>
    </w:p>
    <w:p>
      <w:pPr>
        <w:spacing w:after="0" w:line="75"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reduced regulatory and reporting requirements that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The JOBS Act also permits an “emerging growth company” such as us to take advantage of an extended transition period to comply with new or revised accounting standards applicable to public companies. We have elected to, and expect to continue to, take advantage of certain of these and other exemptions until we are no longer an emerging growth company. Further, the JOBS Act allows us to present only two years of audited financial statements and only two years of related management’s discussion and analysis of financial condition and results of operations and provide less than five years of selected financial data in this prospectus.</w:t>
      </w:r>
    </w:p>
    <w:p>
      <w:pPr>
        <w:spacing w:after="0" w:line="77"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We may take advantage of these provisions for up to five years, unless we earlier cease to be an emerging growth company, which would occur if our annual gross revenues exceed $1.07 billion, if we issue more than $1.0 billion in non-convertible debt in a three-year period or if we become a “large accelerated filer,” in which case we would no longer be an emerging growth company as of the following December 31. We cannot predict if investors will find our common stock less attractive because we may rely on these exemptions, or if we choose to rely on additional exemptions in the future. If some investors find our common stock less attractive as a result, there may be a less active trading market for our common stock and our share price may be more volatile.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not an insured deposit and is subject to risk of loss.</w:t>
      </w:r>
    </w:p>
    <w:p>
      <w:pPr>
        <w:spacing w:after="0" w:line="11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Your investment in our common stock will not be a bank deposit and, therefore, will not be insured against loss or guaranteed by the FDIC, any deposit insurance fund or by any other public or private entity. Investment in our common stock is inherently risky for the reasons described herein, and is subject to similar market forces that may affect the price of common stock in any other company. As a result, if you acquire our common stock, you could lose some or all of your investment.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right="100" w:firstLine="360"/>
        <w:spacing w:after="0" w:line="285" w:lineRule="auto"/>
        <w:rPr>
          <w:sz w:val="20"/>
          <w:szCs w:val="20"/>
          <w:color w:val="auto"/>
        </w:rPr>
      </w:pPr>
      <w:r>
        <w:rPr>
          <w:rFonts w:ascii="Arial" w:cs="Arial" w:eastAsia="Arial" w:hAnsi="Arial"/>
          <w:sz w:val="16"/>
          <w:szCs w:val="16"/>
          <w:color w:val="auto"/>
        </w:rPr>
        <w:t>This prospectus contains forward-looking statements.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70"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62" w:lineRule="exact"/>
        <w:rPr>
          <w:sz w:val="20"/>
          <w:szCs w:val="20"/>
          <w:color w:val="auto"/>
        </w:rPr>
      </w:pPr>
    </w:p>
    <w:p>
      <w:pPr>
        <w:ind w:left="700" w:right="6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acquisitions;</w:t>
      </w:r>
    </w:p>
    <w:p>
      <w:pPr>
        <w:spacing w:after="0" w:line="62" w:lineRule="exact"/>
        <w:rPr>
          <w:rFonts w:ascii="Arial" w:cs="Arial" w:eastAsia="Arial" w:hAnsi="Arial"/>
          <w:sz w:val="18"/>
          <w:szCs w:val="18"/>
          <w:color w:val="auto"/>
        </w:rPr>
      </w:pPr>
    </w:p>
    <w:p>
      <w:pPr>
        <w:ind w:left="700" w:right="56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117" w:lineRule="exact"/>
        <w:rPr>
          <w:rFonts w:ascii="Arial" w:cs="Arial" w:eastAsia="Arial" w:hAnsi="Arial"/>
          <w:sz w:val="18"/>
          <w:szCs w:val="18"/>
          <w:color w:val="auto"/>
        </w:rPr>
      </w:pPr>
    </w:p>
    <w:p>
      <w:pPr>
        <w:ind w:left="700" w:right="26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risk for deterioration in value of the general business assets that secure such loans;</w:t>
      </w:r>
    </w:p>
    <w:p>
      <w:pPr>
        <w:spacing w:after="0" w:line="62" w:lineRule="exact"/>
        <w:rPr>
          <w:rFonts w:ascii="Arial" w:cs="Arial" w:eastAsia="Arial" w:hAnsi="Arial"/>
          <w:sz w:val="18"/>
          <w:szCs w:val="18"/>
          <w:color w:val="auto"/>
        </w:rPr>
      </w:pPr>
    </w:p>
    <w:p>
      <w:pPr>
        <w:ind w:left="700" w:right="8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62" w:lineRule="exact"/>
        <w:rPr>
          <w:rFonts w:ascii="Arial" w:cs="Arial" w:eastAsia="Arial" w:hAnsi="Arial"/>
          <w:sz w:val="18"/>
          <w:szCs w:val="18"/>
          <w:color w:val="auto"/>
        </w:rPr>
      </w:pPr>
    </w:p>
    <w:p>
      <w:pPr>
        <w:ind w:left="700" w:right="28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the sale of crop insurance products, including termination of or substantial changes to the Federal crop insurance program;</w:t>
      </w:r>
    </w:p>
    <w:p>
      <w:pPr>
        <w:spacing w:after="0" w:line="62" w:lineRule="exact"/>
        <w:rPr>
          <w:rFonts w:ascii="Arial" w:cs="Arial" w:eastAsia="Arial" w:hAnsi="Arial"/>
          <w:sz w:val="18"/>
          <w:szCs w:val="18"/>
          <w:color w:val="auto"/>
        </w:rPr>
      </w:pPr>
    </w:p>
    <w:p>
      <w:pPr>
        <w:ind w:left="700" w:right="22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the significant amount of credit that we have extended to a limited number of borrowers and in a limited geographic area;</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117" w:lineRule="exact"/>
        <w:rPr>
          <w:rFonts w:ascii="Arial" w:cs="Arial" w:eastAsia="Arial" w:hAnsi="Arial"/>
          <w:sz w:val="18"/>
          <w:szCs w:val="18"/>
          <w:color w:val="auto"/>
        </w:rPr>
      </w:pPr>
    </w:p>
    <w:p>
      <w:pPr>
        <w:ind w:left="700" w:right="20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when implementing new technologies;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117" w:lineRule="exact"/>
        <w:rPr>
          <w:rFonts w:ascii="Arial" w:cs="Arial" w:eastAsia="Arial" w:hAnsi="Arial"/>
          <w:sz w:val="18"/>
          <w:szCs w:val="18"/>
          <w:color w:val="auto"/>
        </w:rPr>
      </w:pPr>
    </w:p>
    <w:p>
      <w:pPr>
        <w:ind w:left="700" w:right="580" w:hanging="344"/>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error, fraudulent activity by employees or customers and inaccurate or incomplete information about our customers and counterparties;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0" w:hanging="344"/>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62" w:lineRule="exact"/>
        <w:rPr>
          <w:rFonts w:ascii="Arial" w:cs="Arial" w:eastAsia="Arial" w:hAnsi="Arial"/>
          <w:sz w:val="18"/>
          <w:szCs w:val="18"/>
          <w:color w:val="auto"/>
        </w:rPr>
      </w:pPr>
    </w:p>
    <w:p>
      <w:pPr>
        <w:ind w:left="700" w:right="160" w:hanging="344"/>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spacing w:after="0" w:line="62" w:lineRule="exact"/>
        <w:rPr>
          <w:rFonts w:ascii="Arial" w:cs="Arial" w:eastAsia="Arial" w:hAnsi="Arial"/>
          <w:sz w:val="18"/>
          <w:szCs w:val="18"/>
          <w:color w:val="auto"/>
        </w:rPr>
      </w:pPr>
    </w:p>
    <w:p>
      <w:pPr>
        <w:ind w:left="700" w:right="260" w:hanging="344"/>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severe weather, acts of god, acts of war or terrorism;</w:t>
      </w:r>
    </w:p>
    <w:p>
      <w:pPr>
        <w:spacing w:after="0" w:line="117" w:lineRule="exact"/>
        <w:rPr>
          <w:rFonts w:ascii="Arial" w:cs="Arial" w:eastAsia="Arial" w:hAnsi="Arial"/>
          <w:sz w:val="18"/>
          <w:szCs w:val="18"/>
          <w:color w:val="auto"/>
        </w:rPr>
      </w:pPr>
    </w:p>
    <w:p>
      <w:pPr>
        <w:ind w:left="700" w:right="20" w:hanging="344"/>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and others relating to banking, consumer protection, securities and tax matters;</w:t>
      </w:r>
    </w:p>
    <w:p>
      <w:pPr>
        <w:spacing w:after="0" w:line="62" w:lineRule="exact"/>
        <w:rPr>
          <w:rFonts w:ascii="Arial" w:cs="Arial" w:eastAsia="Arial" w:hAnsi="Arial"/>
          <w:sz w:val="18"/>
          <w:szCs w:val="18"/>
          <w:color w:val="auto"/>
        </w:rPr>
      </w:pPr>
    </w:p>
    <w:p>
      <w:pPr>
        <w:ind w:left="700" w:right="180" w:hanging="344"/>
        <w:spacing w:after="0" w:line="263"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Federal Reserve and as a result of initiatives of the Trump administration; and</w:t>
      </w:r>
    </w:p>
    <w:p>
      <w:pPr>
        <w:spacing w:after="0" w:line="75" w:lineRule="exact"/>
        <w:rPr>
          <w:rFonts w:ascii="Arial" w:cs="Arial" w:eastAsia="Arial" w:hAnsi="Arial"/>
          <w:sz w:val="18"/>
          <w:szCs w:val="18"/>
          <w:color w:val="auto"/>
        </w:rPr>
      </w:pPr>
    </w:p>
    <w:p>
      <w:pPr>
        <w:ind w:left="700" w:hanging="34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other factors that are discussed in the section entitled “Risk Factors,” beginning on page </w:t>
      </w:r>
      <w:hyperlink w:anchor="page20">
        <w:r>
          <w:rPr>
            <w:rFonts w:ascii="Arial" w:cs="Arial" w:eastAsia="Arial" w:hAnsi="Arial"/>
            <w:sz w:val="18"/>
            <w:szCs w:val="18"/>
            <w:u w:val="single" w:color="auto"/>
            <w:color w:val="0000EE"/>
          </w:rPr>
          <w:t>13</w:t>
        </w:r>
      </w:hyperlink>
      <w:r>
        <w:rPr>
          <w:rFonts w:ascii="Arial" w:cs="Arial" w:eastAsia="Arial" w:hAnsi="Arial"/>
          <w:sz w:val="18"/>
          <w:szCs w:val="18"/>
          <w:color w:val="auto"/>
        </w:rPr>
        <w:t>.</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prospectus. Because of these risks and other uncertainties, our actual future results, performance or achievements, or industry results, may be materially different from the results indicated by the forward-looking statements in this prospectus.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estimate that the net proceeds to us from this offering, after deducting underwriting discounts and estimated offering expenses, will be approximately $ million, based on an assumed public offering price of $ per share (the midpoint of the price range set forth on the cover page of this prospectus). Each $1.00 increase or decrease in the assumed public offering price of $</w:t>
      </w:r>
    </w:p>
    <w:p>
      <w:pPr>
        <w:spacing w:after="0" w:line="2" w:lineRule="exact"/>
        <w:rPr>
          <w:sz w:val="20"/>
          <w:szCs w:val="20"/>
          <w:color w:val="auto"/>
        </w:rPr>
      </w:pPr>
    </w:p>
    <w:p>
      <w:pPr>
        <w:ind w:right="460" w:firstLine="270"/>
        <w:spacing w:after="0" w:line="260" w:lineRule="auto"/>
        <w:rPr>
          <w:sz w:val="20"/>
          <w:szCs w:val="20"/>
          <w:color w:val="auto"/>
        </w:rPr>
      </w:pPr>
      <w:r>
        <w:rPr>
          <w:rFonts w:ascii="Arial" w:cs="Arial" w:eastAsia="Arial" w:hAnsi="Arial"/>
          <w:sz w:val="18"/>
          <w:szCs w:val="18"/>
          <w:color w:val="auto"/>
        </w:rPr>
        <w:t>per share would increase or decrease the net proceeds to us from this offering by approximately $ million. We will not receive any proceeds from the sale of shares of our common stock by the selling shareholders.</w:t>
      </w:r>
    </w:p>
    <w:p>
      <w:pPr>
        <w:spacing w:after="0" w:line="77" w:lineRule="exact"/>
        <w:rPr>
          <w:sz w:val="20"/>
          <w:szCs w:val="20"/>
          <w:color w:val="auto"/>
        </w:rPr>
      </w:pPr>
    </w:p>
    <w:p>
      <w:pPr>
        <w:ind w:left="360"/>
        <w:spacing w:after="0"/>
        <w:tabs>
          <w:tab w:leader="none" w:pos="8100" w:val="left"/>
        </w:tabs>
        <w:rPr>
          <w:sz w:val="20"/>
          <w:szCs w:val="20"/>
          <w:color w:val="auto"/>
        </w:rPr>
      </w:pPr>
      <w:r>
        <w:rPr>
          <w:rFonts w:ascii="Arial" w:cs="Arial" w:eastAsia="Arial" w:hAnsi="Arial"/>
          <w:sz w:val="18"/>
          <w:szCs w:val="18"/>
          <w:color w:val="auto"/>
        </w:rPr>
        <w:t>We intend to use the net proceeds to us from this offering, which we estimate to be approximately $</w:t>
      </w:r>
      <w:r>
        <w:rPr>
          <w:sz w:val="20"/>
          <w:szCs w:val="20"/>
          <w:color w:val="auto"/>
        </w:rPr>
        <w:tab/>
      </w:r>
      <w:r>
        <w:rPr>
          <w:rFonts w:ascii="Arial" w:cs="Arial" w:eastAsia="Arial" w:hAnsi="Arial"/>
          <w:sz w:val="17"/>
          <w:szCs w:val="17"/>
          <w:color w:val="auto"/>
        </w:rPr>
        <w:t>million (after</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deducting underwriting discounts and the estimated offering expenses) to support future growth of our business, including through strategic acquisitions and organic growth, and for general corporate purposes.</w:t>
      </w:r>
    </w:p>
    <w:p>
      <w:pPr>
        <w:spacing w:after="0" w:line="77"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Our management will retain broad discretion to allocate the net proceeds of this offering. The precise amounts and timing of our use of the proceeds will depend upon market conditions and other factors.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00"/>
          </w:cols>
          <w:pgMar w:left="1160" w:top="279" w:right="1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shows the Company’s capitalization, including regulatory capital ratios, on a consolidated basis, as of</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on:</w:t>
      </w:r>
    </w:p>
    <w:p>
      <w:pPr>
        <w:spacing w:after="0" w:line="88" w:lineRule="exact"/>
        <w:rPr>
          <w:sz w:val="20"/>
          <w:szCs w:val="20"/>
          <w:color w:val="auto"/>
        </w:rPr>
      </w:pPr>
    </w:p>
    <w:p>
      <w:pPr>
        <w:ind w:left="700" w:hanging="34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pro forma basis, assuming that the ESOP Repurchase Right Termination occurred as of December 31, 2018; and</w:t>
      </w:r>
    </w:p>
    <w:p>
      <w:pPr>
        <w:spacing w:after="0" w:line="128" w:lineRule="exact"/>
        <w:rPr>
          <w:rFonts w:ascii="Arial" w:cs="Arial" w:eastAsia="Arial" w:hAnsi="Arial"/>
          <w:sz w:val="17"/>
          <w:szCs w:val="17"/>
          <w:color w:val="auto"/>
        </w:rPr>
      </w:pPr>
    </w:p>
    <w:p>
      <w:pPr>
        <w:ind w:left="700" w:right="180" w:hanging="344"/>
        <w:spacing w:after="0" w:line="291"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pro forma as adjusted basis giving effect to the ESOP Repurchase Right Termination and the sale of shares of common stock by us in this offering and the receipt of the net proceeds from the sale of these shares, at an assumed initial public</w:t>
      </w:r>
    </w:p>
    <w:p>
      <w:pPr>
        <w:ind w:left="700" w:right="440"/>
        <w:spacing w:after="0" w:line="290" w:lineRule="auto"/>
        <w:rPr>
          <w:rFonts w:ascii="Arial" w:cs="Arial" w:eastAsia="Arial" w:hAnsi="Arial"/>
          <w:sz w:val="16"/>
          <w:szCs w:val="16"/>
          <w:color w:val="auto"/>
        </w:rPr>
      </w:pPr>
      <w:r>
        <w:rPr>
          <w:rFonts w:ascii="Arial" w:cs="Arial" w:eastAsia="Arial" w:hAnsi="Arial"/>
          <w:sz w:val="17"/>
          <w:szCs w:val="17"/>
          <w:color w:val="auto"/>
        </w:rPr>
        <w:t>offering price of $ per share, the midpoint of the price range set forth on the cover page of this prospectus, after deducting the underwriting discounts and commissions and estimated offering expenses payable by us.</w:t>
      </w:r>
    </w:p>
    <w:p>
      <w:pPr>
        <w:spacing w:after="0" w:line="40" w:lineRule="exact"/>
        <w:rPr>
          <w:sz w:val="20"/>
          <w:szCs w:val="20"/>
          <w:color w:val="auto"/>
        </w:rPr>
      </w:pPr>
    </w:p>
    <w:p>
      <w:pPr>
        <w:ind w:right="160" w:firstLine="360"/>
        <w:spacing w:after="0" w:line="228" w:lineRule="auto"/>
        <w:rPr>
          <w:sz w:val="20"/>
          <w:szCs w:val="20"/>
          <w:color w:val="auto"/>
        </w:rPr>
      </w:pPr>
      <w:r>
        <w:rPr>
          <w:rFonts w:ascii="Arial" w:cs="Arial" w:eastAsia="Arial" w:hAnsi="Arial"/>
          <w:sz w:val="18"/>
          <w:szCs w:val="18"/>
          <w:color w:val="auto"/>
        </w:rPr>
        <w:t>The “as adjusted” information below is illustrative only, and our capitalization following the closing of this offering will be adjusted based on the actual public offering price and other terms of this offering determined at pricing. You should read the following table in conjunction with the sections titled “Selected Historical Consolidated Financial and Operating Information” and “Management’s Discussion and Analysis of Financial Condition and Results of Operations,” and our consolidated financial statements and related notes appearing elsewhere in this prospectus.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center"/>
              <w:ind w:right="1040"/>
              <w:spacing w:after="0"/>
              <w:rPr>
                <w:sz w:val="20"/>
                <w:szCs w:val="20"/>
                <w:color w:val="auto"/>
              </w:rPr>
            </w:pPr>
            <w:r>
              <w:rPr>
                <w:rFonts w:ascii="Arial" w:cs="Arial" w:eastAsia="Arial" w:hAnsi="Arial"/>
                <w:sz w:val="14"/>
                <w:szCs w:val="14"/>
                <w:b w:val="1"/>
                <w:bCs w:val="1"/>
                <w:color w:val="auto"/>
                <w:w w:val="92"/>
              </w:rPr>
              <w:t>As of December 31, 2018</w:t>
            </w:r>
          </w:p>
        </w:tc>
        <w:tc>
          <w:tcPr>
            <w:tcW w:w="100" w:type="dxa"/>
            <w:vAlign w:val="bottom"/>
          </w:tcPr>
          <w:p>
            <w:pPr>
              <w:spacing w:after="0"/>
              <w:rPr>
                <w:sz w:val="14"/>
                <w:szCs w:val="14"/>
                <w:color w:val="auto"/>
              </w:rPr>
            </w:pPr>
          </w:p>
        </w:tc>
      </w:tr>
      <w:tr>
        <w:trPr>
          <w:trHeight w:val="173"/>
        </w:trPr>
        <w:tc>
          <w:tcPr>
            <w:tcW w:w="14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Pro Forma</w:t>
            </w:r>
          </w:p>
        </w:tc>
      </w:tr>
      <w:tr>
        <w:trPr>
          <w:trHeight w:val="162"/>
        </w:trPr>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As Adjusted</w:t>
            </w:r>
          </w:p>
        </w:tc>
      </w:tr>
      <w:tr>
        <w:trPr>
          <w:trHeight w:val="171"/>
        </w:trPr>
        <w:tc>
          <w:tcPr>
            <w:tcW w:w="1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200" w:type="dxa"/>
            <w:vAlign w:val="bottom"/>
            <w:gridSpan w:val="2"/>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for Offering</w:t>
            </w:r>
          </w:p>
        </w:tc>
        <w:tc>
          <w:tcPr>
            <w:tcW w:w="100" w:type="dxa"/>
            <w:vAlign w:val="bottom"/>
          </w:tcPr>
          <w:p>
            <w:pPr>
              <w:spacing w:after="0"/>
              <w:rPr>
                <w:sz w:val="14"/>
                <w:szCs w:val="14"/>
                <w:color w:val="auto"/>
              </w:rPr>
            </w:pPr>
          </w:p>
        </w:tc>
      </w:tr>
      <w:tr>
        <w:trPr>
          <w:trHeight w:val="196"/>
        </w:trPr>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2"/>
          </w:tcPr>
          <w:p>
            <w:pPr>
              <w:jc w:val="center"/>
              <w:ind w:right="240"/>
              <w:spacing w:after="0"/>
              <w:rPr>
                <w:sz w:val="20"/>
                <w:szCs w:val="20"/>
                <w:color w:val="auto"/>
              </w:rPr>
            </w:pPr>
            <w:r>
              <w:rPr>
                <w:rFonts w:ascii="Arial" w:cs="Arial" w:eastAsia="Arial" w:hAnsi="Arial"/>
                <w:sz w:val="14"/>
                <w:szCs w:val="14"/>
                <w:b w:val="1"/>
                <w:bCs w:val="1"/>
                <w:color w:val="auto"/>
                <w:w w:val="91"/>
              </w:rPr>
              <w:t>(Dollars in thousands, except per share data)</w:t>
            </w:r>
          </w:p>
        </w:tc>
      </w:tr>
      <w:tr>
        <w:trPr>
          <w:trHeight w:val="243"/>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Borrowings:</w:t>
            </w:r>
          </w:p>
        </w:tc>
        <w:tc>
          <w:tcPr>
            <w:tcW w:w="2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Subordinated debt securities</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34,002</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34,002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jc w:val="right"/>
              <w:ind w:right="864"/>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62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Trust preferred securities</w:t>
            </w:r>
            <w:r>
              <w:rPr>
                <w:rFonts w:ascii="Arial" w:cs="Arial" w:eastAsia="Arial" w:hAnsi="Arial"/>
                <w:sz w:val="28"/>
                <w:szCs w:val="28"/>
                <w:color w:val="auto"/>
                <w:vertAlign w:val="superscript"/>
              </w:rPr>
              <w:t>(1)</w:t>
            </w:r>
          </w:p>
        </w:tc>
        <w:tc>
          <w:tcPr>
            <w:tcW w:w="2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4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contingent liabilities:</w:t>
            </w:r>
          </w:p>
        </w:tc>
        <w:tc>
          <w:tcPr>
            <w:tcW w:w="2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ESOP-owned shares</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58,195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144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58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6"/>
              </w:rPr>
              <w:t>Preferred stock, par value $1.00 per share, 1,000,000 shares authorized;</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3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none issued or outstanding</w:t>
            </w:r>
          </w:p>
        </w:tc>
        <w:tc>
          <w:tcPr>
            <w:tcW w:w="2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5800" w:type="dxa"/>
            <w:vAlign w:val="bottom"/>
            <w:gridSpan w:val="4"/>
          </w:tcPr>
          <w:p>
            <w:pPr>
              <w:ind w:left="180"/>
              <w:spacing w:after="0"/>
              <w:rPr>
                <w:sz w:val="20"/>
                <w:szCs w:val="20"/>
                <w:color w:val="auto"/>
              </w:rPr>
            </w:pPr>
            <w:r>
              <w:rPr>
                <w:rFonts w:ascii="Arial" w:cs="Arial" w:eastAsia="Arial" w:hAnsi="Arial"/>
                <w:sz w:val="18"/>
                <w:szCs w:val="18"/>
                <w:color w:val="auto"/>
              </w:rPr>
              <w:t>Common stock, voting, par value $1.00 per share, 30,000,000 shares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gridSpan w:val="2"/>
          </w:tcPr>
          <w:p>
            <w:pPr>
              <w:ind w:left="360"/>
              <w:spacing w:after="0"/>
              <w:rPr>
                <w:sz w:val="20"/>
                <w:szCs w:val="20"/>
                <w:color w:val="auto"/>
              </w:rPr>
            </w:pPr>
            <w:r>
              <w:rPr>
                <w:rFonts w:ascii="Arial" w:cs="Arial" w:eastAsia="Arial" w:hAnsi="Arial"/>
                <w:sz w:val="18"/>
                <w:szCs w:val="18"/>
                <w:color w:val="auto"/>
                <w:w w:val="93"/>
              </w:rPr>
              <w:t>authorized; 14,771,520 shares outstanding;</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shares outstanding, as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adjusted</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14,772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14,772</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2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80,412</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80,412</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119,834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119,834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5800" w:type="dxa"/>
            <w:vAlign w:val="bottom"/>
            <w:gridSpan w:val="4"/>
          </w:tcPr>
          <w:p>
            <w:pPr>
              <w:spacing w:after="0"/>
              <w:rPr>
                <w:sz w:val="20"/>
                <w:szCs w:val="20"/>
                <w:color w:val="auto"/>
              </w:rPr>
            </w:pPr>
            <w:r>
              <w:rPr>
                <w:rFonts w:ascii="Arial" w:cs="Arial" w:eastAsia="Arial" w:hAnsi="Arial"/>
                <w:sz w:val="18"/>
                <w:szCs w:val="18"/>
                <w:b w:val="1"/>
                <w:bCs w:val="1"/>
                <w:color w:val="auto"/>
              </w:rPr>
              <w:t>Total shareholders’ equity, including ESOP-owned shares</w:t>
            </w: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212,775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212,775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ESOP-owned shares</w:t>
            </w:r>
          </w:p>
        </w:tc>
        <w:tc>
          <w:tcPr>
            <w:tcW w:w="2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57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shareholders’ equity, net of ESOP-owned shares</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154,580</w:t>
            </w:r>
          </w:p>
        </w:tc>
        <w:tc>
          <w:tcPr>
            <w:tcW w:w="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212,775</w:t>
            </w:r>
          </w:p>
        </w:tc>
        <w:tc>
          <w:tcPr>
            <w:tcW w:w="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77"/>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233,582</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291,777</w:t>
            </w: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14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c>
          <w:tcPr>
            <w:tcW w:w="2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2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Total shareholders’ equity to total assets</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7.84%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7.84%</w:t>
            </w:r>
          </w:p>
        </w:tc>
        <w:tc>
          <w:tcPr>
            <w:tcW w:w="4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362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w w:val="99"/>
              </w:rPr>
              <w:t>Tangible common equity to tangible assets</w:t>
            </w:r>
            <w:r>
              <w:rPr>
                <w:rFonts w:ascii="Arial" w:cs="Arial" w:eastAsia="Arial" w:hAnsi="Arial"/>
                <w:sz w:val="28"/>
                <w:szCs w:val="28"/>
                <w:color w:val="auto"/>
                <w:w w:val="99"/>
                <w:vertAlign w:val="superscript"/>
              </w:rPr>
              <w:t>(2)</w:t>
            </w:r>
          </w:p>
        </w:tc>
        <w:tc>
          <w:tcPr>
            <w:tcW w:w="2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Common equity tier 1 capital ratio</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Tier 1 leverage ratio</w:t>
            </w:r>
          </w:p>
        </w:tc>
        <w:tc>
          <w:tcPr>
            <w:tcW w:w="2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Tier 1 risk-based capital ratio</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11.98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11.98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risk-based capital ratio</w:t>
            </w:r>
          </w:p>
        </w:tc>
        <w:tc>
          <w:tcPr>
            <w:tcW w:w="2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14.28</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14.28</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75"/>
        </w:trPr>
        <w:tc>
          <w:tcPr>
            <w:tcW w:w="1440" w:type="dxa"/>
            <w:vAlign w:val="bottom"/>
            <w:tcBorders>
              <w:bottom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60" w:right="320" w:hanging="355"/>
        <w:spacing w:after="0" w:line="273" w:lineRule="auto"/>
        <w:tabs>
          <w:tab w:leader="none" w:pos="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purposes of capitalization, trust preferred securities are used rather than junior subordinated deferrable interest debentures which is in accordance with capitalization requirements.</w:t>
      </w:r>
    </w:p>
    <w:p>
      <w:pPr>
        <w:spacing w:after="0" w:line="65" w:lineRule="exact"/>
        <w:rPr>
          <w:rFonts w:ascii="Arial" w:cs="Arial" w:eastAsia="Arial" w:hAnsi="Arial"/>
          <w:sz w:val="14"/>
          <w:szCs w:val="14"/>
          <w:color w:val="auto"/>
        </w:rPr>
      </w:pPr>
    </w:p>
    <w:p>
      <w:pPr>
        <w:jc w:val="both"/>
        <w:ind w:left="360" w:right="80" w:hanging="355"/>
        <w:spacing w:after="0" w:line="257" w:lineRule="auto"/>
        <w:tabs>
          <w:tab w:leader="none" w:pos="3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a non-GAAP financial measure. We did not have any goodwill or other intangible assets as of the years ended December 31, 2014 to 2018. See our reconciliation of non-GAAP financial measures to their most directly comparable GAAP financial measures under the caption “Management’s Discussion and Analysis of Financial Condition and Results of Operations—Non-GAAP Financial Measures.”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If you purchase shares of our common stock in this offering, your ownership interest will be diluted to the extent the public offering price per share exceeds our tangible book value per share immediately following this offering. Tangible book value per share is equal to our total shareholders’ equity less goodwill and other intangible assets, divided by the number of shares of our common stock outstanding at the end of the relevant period. Tangible book value per share is a non-GAAP financial measure. The most directly comparable GAAP financial measure is book value per share. See our reconciliation of non-GAAP financial measures to their most directly comparable GAAP financial measures under the caption “Management’s Discussion and Analysis of Financial Condition and Results of Operations—Non-GAAP Financial Measures.”</w:t>
      </w:r>
    </w:p>
    <w:p>
      <w:pPr>
        <w:spacing w:after="0" w:line="69"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After giving effect to the ESOP Repurchase Right Termination and our sale of shares in this offering at an assumed initial public offering price of $ per share, the midpoint of the price range set forth on the cover page of this prospectus, and after deducting estimated underwriting discounts and offering expenses payable by us, the pro forma tangible book value of our common</w:t>
      </w:r>
    </w:p>
    <w:tbl>
      <w:tblPr>
        <w:tblLayout w:type="fixed"/>
        <w:tblInd w:w="0" w:type="dxa"/>
        <w:tblCellMar>
          <w:top w:w="0" w:type="dxa"/>
          <w:left w:w="0" w:type="dxa"/>
          <w:bottom w:w="0" w:type="dxa"/>
          <w:right w:w="0" w:type="dxa"/>
        </w:tblCellMar>
      </w:tblPr>
      <w:tr>
        <w:trPr>
          <w:trHeight w:val="204"/>
        </w:trPr>
        <w:tc>
          <w:tcPr>
            <w:tcW w:w="4880" w:type="dxa"/>
            <w:vAlign w:val="bottom"/>
            <w:gridSpan w:val="4"/>
          </w:tcPr>
          <w:p>
            <w:pPr>
              <w:spacing w:after="0" w:line="204" w:lineRule="exact"/>
              <w:rPr>
                <w:sz w:val="20"/>
                <w:szCs w:val="20"/>
                <w:color w:val="auto"/>
              </w:rPr>
            </w:pPr>
            <w:r>
              <w:rPr>
                <w:rFonts w:ascii="Arial" w:cs="Arial" w:eastAsia="Arial" w:hAnsi="Arial"/>
                <w:sz w:val="18"/>
                <w:szCs w:val="18"/>
                <w:color w:val="auto"/>
                <w:w w:val="93"/>
              </w:rPr>
              <w:t>stock as of December 31, 2018 would have been approximately $</w:t>
            </w:r>
          </w:p>
        </w:tc>
        <w:tc>
          <w:tcPr>
            <w:tcW w:w="1240" w:type="dxa"/>
            <w:vAlign w:val="bottom"/>
          </w:tcPr>
          <w:p>
            <w:pPr>
              <w:ind w:left="160"/>
              <w:spacing w:after="0" w:line="204" w:lineRule="exact"/>
              <w:rPr>
                <w:sz w:val="20"/>
                <w:szCs w:val="20"/>
                <w:color w:val="auto"/>
              </w:rPr>
            </w:pPr>
            <w:r>
              <w:rPr>
                <w:rFonts w:ascii="Arial" w:cs="Arial" w:eastAsia="Arial" w:hAnsi="Arial"/>
                <w:sz w:val="18"/>
                <w:szCs w:val="18"/>
                <w:color w:val="auto"/>
              </w:rPr>
              <w:t>million, or $</w:t>
            </w:r>
          </w:p>
        </w:tc>
        <w:tc>
          <w:tcPr>
            <w:tcW w:w="3440" w:type="dxa"/>
            <w:vAlign w:val="bottom"/>
            <w:gridSpan w:val="2"/>
          </w:tcPr>
          <w:p>
            <w:pPr>
              <w:jc w:val="right"/>
              <w:spacing w:after="0" w:line="204" w:lineRule="exact"/>
              <w:rPr>
                <w:sz w:val="20"/>
                <w:szCs w:val="20"/>
                <w:color w:val="auto"/>
              </w:rPr>
            </w:pPr>
            <w:r>
              <w:rPr>
                <w:rFonts w:ascii="Arial" w:cs="Arial" w:eastAsia="Arial" w:hAnsi="Arial"/>
                <w:sz w:val="18"/>
                <w:szCs w:val="18"/>
                <w:color w:val="auto"/>
                <w:w w:val="91"/>
              </w:rPr>
              <w:t>per share. Therefore, under those assumptions</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w w:val="97"/>
              </w:rPr>
              <w:t>this offering would result in an immediate increase of $</w:t>
            </w:r>
          </w:p>
        </w:tc>
        <w:tc>
          <w:tcPr>
            <w:tcW w:w="5320" w:type="dxa"/>
            <w:vAlign w:val="bottom"/>
            <w:gridSpan w:val="4"/>
          </w:tcPr>
          <w:p>
            <w:pPr>
              <w:jc w:val="right"/>
              <w:ind w:right="150"/>
              <w:spacing w:after="0"/>
              <w:rPr>
                <w:sz w:val="20"/>
                <w:szCs w:val="20"/>
                <w:color w:val="auto"/>
              </w:rPr>
            </w:pPr>
            <w:r>
              <w:rPr>
                <w:rFonts w:ascii="Arial" w:cs="Arial" w:eastAsia="Arial" w:hAnsi="Arial"/>
                <w:sz w:val="18"/>
                <w:szCs w:val="18"/>
                <w:color w:val="auto"/>
                <w:w w:val="91"/>
              </w:rPr>
              <w:t>in the tangible book value to our existing shareholders and immediate</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dilution of $</w:t>
            </w:r>
          </w:p>
        </w:tc>
        <w:tc>
          <w:tcPr>
            <w:tcW w:w="7520" w:type="dxa"/>
            <w:vAlign w:val="bottom"/>
            <w:gridSpan w:val="5"/>
          </w:tcPr>
          <w:p>
            <w:pPr>
              <w:ind w:left="220"/>
              <w:spacing w:after="0"/>
              <w:rPr>
                <w:sz w:val="20"/>
                <w:szCs w:val="20"/>
                <w:color w:val="auto"/>
              </w:rPr>
            </w:pPr>
            <w:r>
              <w:rPr>
                <w:rFonts w:ascii="Arial" w:cs="Arial" w:eastAsia="Arial" w:hAnsi="Arial"/>
                <w:sz w:val="18"/>
                <w:szCs w:val="18"/>
                <w:color w:val="auto"/>
                <w:w w:val="91"/>
              </w:rPr>
              <w:t>in the tangible book value per share to investors purchasing shares in this offering, or approximately</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 of</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the public offering price of $</w:t>
            </w:r>
          </w:p>
        </w:tc>
        <w:tc>
          <w:tcPr>
            <w:tcW w:w="200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4"/>
        </w:trPr>
        <w:tc>
          <w:tcPr>
            <w:tcW w:w="4240" w:type="dxa"/>
            <w:vAlign w:val="bottom"/>
            <w:gridSpan w:val="3"/>
          </w:tcPr>
          <w:p>
            <w:pPr>
              <w:ind w:left="360"/>
              <w:spacing w:after="0"/>
              <w:rPr>
                <w:sz w:val="20"/>
                <w:szCs w:val="20"/>
                <w:color w:val="auto"/>
              </w:rPr>
            </w:pPr>
            <w:r>
              <w:rPr>
                <w:rFonts w:ascii="Arial" w:cs="Arial" w:eastAsia="Arial" w:hAnsi="Arial"/>
                <w:sz w:val="18"/>
                <w:szCs w:val="18"/>
                <w:color w:val="auto"/>
                <w:w w:val="93"/>
              </w:rPr>
              <w:t>The following table illustrates this per share dilution.</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
        </w:trPr>
        <w:tc>
          <w:tcPr>
            <w:tcW w:w="4240" w:type="dxa"/>
            <w:vAlign w:val="bottom"/>
            <w:gridSpan w:val="3"/>
          </w:tcPr>
          <w:p>
            <w:pPr>
              <w:spacing w:after="0"/>
              <w:rPr>
                <w:sz w:val="4"/>
                <w:szCs w:val="4"/>
                <w:color w:val="auto"/>
              </w:rPr>
            </w:pPr>
          </w:p>
        </w:tc>
        <w:tc>
          <w:tcPr>
            <w:tcW w:w="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43"/>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6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r>
      <w:tr>
        <w:trPr>
          <w:trHeight w:val="237"/>
        </w:trPr>
        <w:tc>
          <w:tcPr>
            <w:tcW w:w="8640" w:type="dxa"/>
            <w:vAlign w:val="bottom"/>
            <w:gridSpan w:val="6"/>
          </w:tcPr>
          <w:p>
            <w:pPr>
              <w:ind w:left="180"/>
              <w:spacing w:after="0"/>
              <w:rPr>
                <w:sz w:val="20"/>
                <w:szCs w:val="20"/>
                <w:color w:val="auto"/>
              </w:rPr>
            </w:pPr>
            <w:r>
              <w:rPr>
                <w:rFonts w:ascii="Arial" w:cs="Arial" w:eastAsia="Arial" w:hAnsi="Arial"/>
                <w:sz w:val="18"/>
                <w:szCs w:val="18"/>
                <w:color w:val="auto"/>
                <w:w w:val="91"/>
              </w:rPr>
              <w:t>Tangible book value per share at December 31, 2018 after giving effect to the ESOP Repurchase Right Termination</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14.40</w:t>
            </w:r>
          </w:p>
        </w:tc>
      </w:tr>
      <w:tr>
        <w:trPr>
          <w:trHeight w:val="249"/>
        </w:trPr>
        <w:tc>
          <w:tcPr>
            <w:tcW w:w="61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Increase in tangible book value per share attributable to this offering</w:t>
            </w:r>
          </w:p>
        </w:tc>
        <w:tc>
          <w:tcPr>
            <w:tcW w:w="2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7"/>
        </w:trPr>
        <w:tc>
          <w:tcPr>
            <w:tcW w:w="8640" w:type="dxa"/>
            <w:vAlign w:val="bottom"/>
            <w:gridSpan w:val="6"/>
          </w:tcPr>
          <w:p>
            <w:pPr>
              <w:spacing w:after="0"/>
              <w:rPr>
                <w:sz w:val="20"/>
                <w:szCs w:val="20"/>
                <w:color w:val="auto"/>
              </w:rPr>
            </w:pPr>
            <w:r>
              <w:rPr>
                <w:rFonts w:ascii="Arial" w:cs="Arial" w:eastAsia="Arial" w:hAnsi="Arial"/>
                <w:sz w:val="18"/>
                <w:szCs w:val="18"/>
                <w:color w:val="auto"/>
              </w:rPr>
              <w:t>As adjusted tangible book value per share after this offering and the ESOP Repurchase Right Termination</w:t>
            </w:r>
          </w:p>
        </w:tc>
        <w:tc>
          <w:tcPr>
            <w:tcW w:w="920" w:type="dxa"/>
            <w:vAlign w:val="bottom"/>
          </w:tcPr>
          <w:p>
            <w:pPr>
              <w:spacing w:after="0"/>
              <w:rPr>
                <w:sz w:val="20"/>
                <w:szCs w:val="20"/>
                <w:color w:val="auto"/>
              </w:rPr>
            </w:pPr>
          </w:p>
        </w:tc>
      </w:tr>
      <w:tr>
        <w:trPr>
          <w:trHeight w:val="249"/>
        </w:trPr>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Dilution in tangible book value per share to new investors</w:t>
            </w:r>
          </w:p>
        </w:tc>
        <w:tc>
          <w:tcPr>
            <w:tcW w:w="6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r>
      <w:tr>
        <w:trPr>
          <w:trHeight w:val="324"/>
        </w:trPr>
        <w:tc>
          <w:tcPr>
            <w:tcW w:w="6120" w:type="dxa"/>
            <w:vAlign w:val="bottom"/>
            <w:gridSpan w:val="5"/>
          </w:tcPr>
          <w:p>
            <w:pPr>
              <w:ind w:left="360"/>
              <w:spacing w:after="0"/>
              <w:rPr>
                <w:sz w:val="20"/>
                <w:szCs w:val="20"/>
                <w:color w:val="auto"/>
              </w:rPr>
            </w:pPr>
            <w:r>
              <w:rPr>
                <w:rFonts w:ascii="Arial" w:cs="Arial" w:eastAsia="Arial" w:hAnsi="Arial"/>
                <w:sz w:val="18"/>
                <w:szCs w:val="18"/>
                <w:color w:val="auto"/>
                <w:w w:val="93"/>
              </w:rPr>
              <w:t>A $1.00 increase (or decrease) in the assumed initial public offering price of $</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w w:val="96"/>
              </w:rPr>
              <w:t>per share, which is the midpoint of the price</w:t>
            </w:r>
          </w:p>
        </w:tc>
      </w:tr>
    </w:tbl>
    <w:p>
      <w:pPr>
        <w:ind w:right="40"/>
        <w:spacing w:after="0" w:line="281" w:lineRule="auto"/>
        <w:rPr>
          <w:sz w:val="20"/>
          <w:szCs w:val="20"/>
          <w:color w:val="auto"/>
        </w:rPr>
      </w:pPr>
      <w:r>
        <w:rPr>
          <w:rFonts w:ascii="Arial" w:cs="Arial" w:eastAsia="Arial" w:hAnsi="Arial"/>
          <w:sz w:val="16"/>
          <w:szCs w:val="16"/>
          <w:color w:val="auto"/>
        </w:rPr>
        <w:t>range set forth on the cover page of this prospectus, would increase (or decrease) the as adjusted tangible book value per share after this offering by approximately $ , and dilution in tangible book value per share to new investors by approximately $ , assuming that the number of shares offered by us, as set forth on the cover page of this prospectus, remains the same and after deducting estimated underwriting discounts and commissions and estimated offering expenses payable by us. If the underwriters exercise in full their option to purchase additional shares of common stock from us in this offering, the as adjusted tangible book value after this offering would be $ per share, the increase in net tangible book value to existing shareholders would be $ per</w:t>
      </w:r>
    </w:p>
    <w:p>
      <w:pPr>
        <w:spacing w:after="0" w:line="4" w:lineRule="exact"/>
        <w:rPr>
          <w:sz w:val="20"/>
          <w:szCs w:val="20"/>
          <w:color w:val="auto"/>
        </w:rPr>
      </w:pPr>
    </w:p>
    <w:p>
      <w:pPr>
        <w:spacing w:after="0"/>
        <w:tabs>
          <w:tab w:leader="none" w:pos="4060" w:val="left"/>
          <w:tab w:leader="none" w:pos="9240" w:val="left"/>
        </w:tabs>
        <w:rPr>
          <w:sz w:val="20"/>
          <w:szCs w:val="20"/>
          <w:color w:val="auto"/>
        </w:rPr>
      </w:pPr>
      <w:r>
        <w:rPr>
          <w:rFonts w:ascii="Arial" w:cs="Arial" w:eastAsia="Arial" w:hAnsi="Arial"/>
          <w:sz w:val="18"/>
          <w:szCs w:val="18"/>
          <w:color w:val="auto"/>
        </w:rPr>
        <w:t>share and the dilution to new investors would be $</w:t>
      </w:r>
      <w:r>
        <w:rPr>
          <w:sz w:val="20"/>
          <w:szCs w:val="20"/>
          <w:color w:val="auto"/>
        </w:rPr>
        <w:tab/>
      </w:r>
      <w:r>
        <w:rPr>
          <w:rFonts w:ascii="Arial" w:cs="Arial" w:eastAsia="Arial" w:hAnsi="Arial"/>
          <w:sz w:val="18"/>
          <w:szCs w:val="18"/>
          <w:color w:val="auto"/>
        </w:rPr>
        <w:t>per share, in each case assuming an initial public offering price of $</w:t>
      </w:r>
      <w:r>
        <w:rPr>
          <w:sz w:val="20"/>
          <w:szCs w:val="20"/>
          <w:color w:val="auto"/>
        </w:rPr>
        <w:tab/>
      </w:r>
      <w:r>
        <w:rPr>
          <w:rFonts w:ascii="Arial" w:cs="Arial" w:eastAsia="Arial" w:hAnsi="Arial"/>
          <w:sz w:val="16"/>
          <w:szCs w:val="16"/>
          <w:color w:val="auto"/>
        </w:rPr>
        <w:t>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which is the midpoint of the price range set forth on the cover page of this prospectus.</w:t>
      </w:r>
    </w:p>
    <w:p>
      <w:pPr>
        <w:spacing w:after="0" w:line="103"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The following table summarizes the total consideration paid to us and the average price paid per share by existing shareholders and investors purchasing common stock in this offering. This information is presented on a pro forma basis as of December 31,</w:t>
      </w:r>
    </w:p>
    <w:tbl>
      <w:tblPr>
        <w:tblLayout w:type="fixed"/>
        <w:tblInd w:w="0" w:type="dxa"/>
        <w:tblCellMar>
          <w:top w:w="0" w:type="dxa"/>
          <w:left w:w="0" w:type="dxa"/>
          <w:bottom w:w="0" w:type="dxa"/>
          <w:right w:w="0" w:type="dxa"/>
        </w:tblCellMar>
      </w:tblPr>
      <w:tr>
        <w:trPr>
          <w:trHeight w:val="202"/>
        </w:trPr>
        <w:tc>
          <w:tcPr>
            <w:tcW w:w="2940" w:type="dxa"/>
            <w:vAlign w:val="bottom"/>
            <w:gridSpan w:val="2"/>
          </w:tcPr>
          <w:p>
            <w:pPr>
              <w:spacing w:after="0" w:line="202" w:lineRule="exact"/>
              <w:rPr>
                <w:sz w:val="20"/>
                <w:szCs w:val="20"/>
                <w:color w:val="auto"/>
              </w:rPr>
            </w:pPr>
            <w:r>
              <w:rPr>
                <w:rFonts w:ascii="Arial" w:cs="Arial" w:eastAsia="Arial" w:hAnsi="Arial"/>
                <w:sz w:val="18"/>
                <w:szCs w:val="18"/>
                <w:color w:val="auto"/>
                <w:w w:val="98"/>
              </w:rPr>
              <w:t>2018, after giving effect to our sale of</w:t>
            </w:r>
          </w:p>
        </w:tc>
        <w:tc>
          <w:tcPr>
            <w:tcW w:w="6620" w:type="dxa"/>
            <w:vAlign w:val="bottom"/>
            <w:gridSpan w:val="20"/>
          </w:tcPr>
          <w:p>
            <w:pPr>
              <w:ind w:left="140"/>
              <w:spacing w:after="0" w:line="202" w:lineRule="exact"/>
              <w:rPr>
                <w:sz w:val="20"/>
                <w:szCs w:val="20"/>
                <w:color w:val="auto"/>
              </w:rPr>
            </w:pPr>
            <w:r>
              <w:rPr>
                <w:rFonts w:ascii="Arial" w:cs="Arial" w:eastAsia="Arial" w:hAnsi="Arial"/>
                <w:sz w:val="18"/>
                <w:szCs w:val="18"/>
                <w:color w:val="auto"/>
                <w:w w:val="93"/>
              </w:rPr>
              <w:t>shares of common stock in this offering, assuming the underwriters exercise in full their</w:t>
            </w:r>
          </w:p>
        </w:tc>
        <w:tc>
          <w:tcPr>
            <w:tcW w:w="0" w:type="dxa"/>
            <w:vAlign w:val="bottom"/>
          </w:tcPr>
          <w:p>
            <w:pPr>
              <w:spacing w:after="0"/>
              <w:rPr>
                <w:sz w:val="1"/>
                <w:szCs w:val="1"/>
                <w:color w:val="auto"/>
              </w:rPr>
            </w:pPr>
          </w:p>
        </w:tc>
      </w:tr>
      <w:tr>
        <w:trPr>
          <w:trHeight w:val="216"/>
        </w:trPr>
        <w:tc>
          <w:tcPr>
            <w:tcW w:w="8660" w:type="dxa"/>
            <w:vAlign w:val="bottom"/>
            <w:gridSpan w:val="20"/>
          </w:tcPr>
          <w:p>
            <w:pPr>
              <w:spacing w:after="0"/>
              <w:rPr>
                <w:sz w:val="20"/>
                <w:szCs w:val="20"/>
                <w:color w:val="auto"/>
              </w:rPr>
            </w:pPr>
            <w:r>
              <w:rPr>
                <w:rFonts w:ascii="Arial" w:cs="Arial" w:eastAsia="Arial" w:hAnsi="Arial"/>
                <w:sz w:val="18"/>
                <w:szCs w:val="18"/>
                <w:color w:val="auto"/>
                <w:w w:val="95"/>
              </w:rPr>
              <w:t>option to purchase additional shares of common stock from us in this offering, at an initial public offering price of $</w:t>
            </w:r>
          </w:p>
        </w:tc>
        <w:tc>
          <w:tcPr>
            <w:tcW w:w="900" w:type="dxa"/>
            <w:vAlign w:val="bottom"/>
            <w:gridSpan w:val="2"/>
          </w:tcPr>
          <w:p>
            <w:pPr>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30"/>
        </w:trPr>
        <w:tc>
          <w:tcPr>
            <w:tcW w:w="5940" w:type="dxa"/>
            <w:vAlign w:val="bottom"/>
            <w:gridSpan w:val="8"/>
          </w:tcPr>
          <w:p>
            <w:pPr>
              <w:spacing w:after="0"/>
              <w:rPr>
                <w:sz w:val="20"/>
                <w:szCs w:val="20"/>
                <w:color w:val="auto"/>
              </w:rPr>
            </w:pPr>
            <w:r>
              <w:rPr>
                <w:rFonts w:ascii="Arial" w:cs="Arial" w:eastAsia="Arial" w:hAnsi="Arial"/>
                <w:sz w:val="18"/>
                <w:szCs w:val="18"/>
                <w:color w:val="auto"/>
              </w:rPr>
              <w:t>which is the midpoint of the price range on the cover of this prospectus.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7"/>
            <w:vMerge w:val="restart"/>
          </w:tcPr>
          <w:p>
            <w:pPr>
              <w:ind w:left="280"/>
              <w:spacing w:after="0"/>
              <w:rPr>
                <w:sz w:val="20"/>
                <w:szCs w:val="20"/>
                <w:color w:val="auto"/>
              </w:rPr>
            </w:pPr>
            <w:r>
              <w:rPr>
                <w:rFonts w:ascii="Arial" w:cs="Arial" w:eastAsia="Arial" w:hAnsi="Arial"/>
                <w:sz w:val="14"/>
                <w:szCs w:val="14"/>
                <w:b w:val="1"/>
                <w:bCs w:val="1"/>
                <w:color w:val="auto"/>
              </w:rPr>
              <w:t>Shares Purchased/Issued</w:t>
            </w:r>
          </w:p>
        </w:tc>
        <w:tc>
          <w:tcPr>
            <w:tcW w:w="1800" w:type="dxa"/>
            <w:vAlign w:val="bottom"/>
            <w:gridSpan w:val="8"/>
            <w:vMerge w:val="restart"/>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63"/>
        </w:trPr>
        <w:tc>
          <w:tcPr>
            <w:tcW w:w="14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7"/>
            <w:vMerge w:val="continue"/>
          </w:tcPr>
          <w:p>
            <w:pPr>
              <w:spacing w:after="0"/>
              <w:rPr>
                <w:sz w:val="5"/>
                <w:szCs w:val="5"/>
                <w:color w:val="auto"/>
              </w:rPr>
            </w:pPr>
          </w:p>
        </w:tc>
        <w:tc>
          <w:tcPr>
            <w:tcW w:w="1800" w:type="dxa"/>
            <w:vAlign w:val="bottom"/>
            <w:gridSpan w:val="8"/>
            <w:vMerge w:val="continue"/>
          </w:tcPr>
          <w:p>
            <w:pPr>
              <w:spacing w:after="0"/>
              <w:rPr>
                <w:sz w:val="5"/>
                <w:szCs w:val="5"/>
                <w:color w:val="auto"/>
              </w:rPr>
            </w:pPr>
          </w:p>
        </w:tc>
        <w:tc>
          <w:tcPr>
            <w:tcW w:w="9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79"/>
        </w:trPr>
        <w:tc>
          <w:tcPr>
            <w:tcW w:w="14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Number</w:t>
            </w:r>
          </w:p>
        </w:tc>
        <w:tc>
          <w:tcPr>
            <w:tcW w:w="200" w:type="dxa"/>
            <w:vAlign w:val="bottom"/>
            <w:gridSpan w:val="2"/>
          </w:tcPr>
          <w:p>
            <w:pPr>
              <w:spacing w:after="0"/>
              <w:rPr>
                <w:sz w:val="15"/>
                <w:szCs w:val="15"/>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Percent</w:t>
            </w:r>
          </w:p>
        </w:tc>
        <w:tc>
          <w:tcPr>
            <w:tcW w:w="180" w:type="dxa"/>
            <w:vAlign w:val="bottom"/>
            <w:gridSpan w:val="2"/>
          </w:tcPr>
          <w:p>
            <w:pPr>
              <w:spacing w:after="0"/>
              <w:rPr>
                <w:sz w:val="15"/>
                <w:szCs w:val="15"/>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200" w:type="dxa"/>
            <w:vAlign w:val="bottom"/>
            <w:gridSpan w:val="2"/>
          </w:tcPr>
          <w:p>
            <w:pPr>
              <w:spacing w:after="0"/>
              <w:rPr>
                <w:sz w:val="15"/>
                <w:szCs w:val="15"/>
                <w:color w:val="auto"/>
              </w:rPr>
            </w:pPr>
          </w:p>
        </w:tc>
        <w:tc>
          <w:tcPr>
            <w:tcW w:w="80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Shareholders as of December 31, 2018</w:t>
            </w:r>
          </w:p>
        </w:tc>
        <w:tc>
          <w:tcPr>
            <w:tcW w:w="500" w:type="dxa"/>
            <w:vAlign w:val="bottom"/>
            <w:shd w:val="clear" w:color="auto" w:fill="CCEEFF"/>
          </w:tcPr>
          <w:p>
            <w:pPr>
              <w:spacing w:after="0"/>
              <w:rPr>
                <w:sz w:val="21"/>
                <w:szCs w:val="21"/>
                <w:color w:val="auto"/>
              </w:rPr>
            </w:pPr>
          </w:p>
        </w:tc>
        <w:tc>
          <w:tcPr>
            <w:tcW w:w="24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14,771,520</w:t>
            </w:r>
          </w:p>
        </w:tc>
        <w:tc>
          <w:tcPr>
            <w:tcW w:w="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40" w:type="dxa"/>
            <w:vAlign w:val="bottom"/>
            <w:gridSpan w:val="2"/>
          </w:tcPr>
          <w:p>
            <w:pPr>
              <w:spacing w:after="0"/>
              <w:rPr>
                <w:sz w:val="20"/>
                <w:szCs w:val="20"/>
                <w:color w:val="auto"/>
              </w:rPr>
            </w:pPr>
            <w:r>
              <w:rPr>
                <w:rFonts w:ascii="Arial" w:cs="Arial" w:eastAsia="Arial" w:hAnsi="Arial"/>
                <w:sz w:val="18"/>
                <w:szCs w:val="18"/>
                <w:color w:val="auto"/>
              </w:rPr>
              <w:t>New investors in this offering</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40" w:type="dxa"/>
            <w:vAlign w:val="bottom"/>
            <w:tcBorders>
              <w:top w:val="single" w:sz="8" w:color="CCEEFF"/>
              <w:bottom w:val="single" w:sz="8" w:color="auto"/>
            </w:tcBorders>
          </w:tcPr>
          <w:p>
            <w:pPr>
              <w:spacing w:after="0"/>
              <w:rPr>
                <w:sz w:val="15"/>
                <w:szCs w:val="15"/>
                <w:color w:val="auto"/>
              </w:rPr>
            </w:pPr>
          </w:p>
        </w:tc>
        <w:tc>
          <w:tcPr>
            <w:tcW w:w="200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180" w:type="dxa"/>
            <w:vAlign w:val="bottom"/>
            <w:tcBorders>
              <w:top w:val="single" w:sz="8" w:color="auto"/>
            </w:tcBorders>
            <w:gridSpan w:val="2"/>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3440" w:type="dxa"/>
            <w:vAlign w:val="bottom"/>
            <w:gridSpan w:val="3"/>
          </w:tcPr>
          <w:p>
            <w:pPr>
              <w:spacing w:after="0"/>
              <w:rPr>
                <w:sz w:val="20"/>
                <w:szCs w:val="20"/>
                <w:color w:val="auto"/>
              </w:rPr>
            </w:pPr>
            <w:r>
              <w:rPr>
                <w:rFonts w:ascii="Arial" w:cs="Arial" w:eastAsia="Arial" w:hAnsi="Arial"/>
                <w:sz w:val="14"/>
                <w:szCs w:val="14"/>
                <w:color w:val="auto"/>
              </w:rPr>
              <w:t>(1)   Calculated as $    million in common stock plus $</w:t>
            </w:r>
          </w:p>
        </w:tc>
        <w:tc>
          <w:tcPr>
            <w:tcW w:w="2500" w:type="dxa"/>
            <w:vAlign w:val="bottom"/>
            <w:gridSpan w:val="5"/>
          </w:tcPr>
          <w:p>
            <w:pPr>
              <w:ind w:left="120"/>
              <w:spacing w:after="0"/>
              <w:rPr>
                <w:sz w:val="20"/>
                <w:szCs w:val="20"/>
                <w:color w:val="auto"/>
              </w:rPr>
            </w:pPr>
            <w:r>
              <w:rPr>
                <w:rFonts w:ascii="Arial" w:cs="Arial" w:eastAsia="Arial" w:hAnsi="Arial"/>
                <w:sz w:val="14"/>
                <w:szCs w:val="14"/>
                <w:color w:val="auto"/>
              </w:rPr>
              <w:t>million in additional paid-in capital.</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gridSpan w:val="3"/>
          </w:tcPr>
          <w:p>
            <w:pPr>
              <w:jc w:val="right"/>
              <w:ind w:right="788"/>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44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60" w:top="279"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In addition, if the underwriters’ option to purchase additional shares is exercised in full, the number of shares of common stock held by existing shareholders will be further reduced to % of the total number of shares of common stock to be outstanding upon the completion of this offering, and the number of shares of common stock held by investors participating in this offering will be</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further increased to shares or % of the total number of shares of common stock to be outstanding upon the completion of this offering.</w:t>
      </w:r>
    </w:p>
    <w:p>
      <w:pPr>
        <w:spacing w:after="0" w:line="77" w:lineRule="exact"/>
        <w:rPr>
          <w:sz w:val="20"/>
          <w:szCs w:val="20"/>
          <w:color w:val="auto"/>
        </w:rPr>
      </w:pPr>
    </w:p>
    <w:p>
      <w:pPr>
        <w:ind w:left="360"/>
        <w:spacing w:after="0"/>
        <w:tabs>
          <w:tab w:leader="none" w:pos="2520" w:val="left"/>
        </w:tabs>
        <w:rPr>
          <w:sz w:val="20"/>
          <w:szCs w:val="20"/>
          <w:color w:val="auto"/>
        </w:rPr>
      </w:pPr>
      <w:r>
        <w:rPr>
          <w:rFonts w:ascii="Arial" w:cs="Arial" w:eastAsia="Arial" w:hAnsi="Arial"/>
          <w:sz w:val="18"/>
          <w:szCs w:val="18"/>
          <w:color w:val="auto"/>
        </w:rPr>
        <w:t>The tables above exclude</w:t>
      </w:r>
      <w:r>
        <w:rPr>
          <w:sz w:val="20"/>
          <w:szCs w:val="20"/>
          <w:color w:val="auto"/>
        </w:rPr>
        <w:tab/>
      </w:r>
      <w:r>
        <w:rPr>
          <w:rFonts w:ascii="Arial" w:cs="Arial" w:eastAsia="Arial" w:hAnsi="Arial"/>
          <w:sz w:val="16"/>
          <w:szCs w:val="16"/>
          <w:color w:val="auto"/>
        </w:rPr>
        <w:t>shares of our common stock reserved for issuance under the 2019 Plan, which was adopted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earlier this year. To the extent that we issue shares of our common stock upon the exercise of any options issued under the 2019</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Plan,</w:t>
            </w:r>
          </w:p>
        </w:tc>
        <w:tc>
          <w:tcPr>
            <w:tcW w:w="2660" w:type="dxa"/>
            <w:vAlign w:val="bottom"/>
          </w:tcPr>
          <w:p>
            <w:pPr>
              <w:ind w:left="180"/>
              <w:spacing w:after="0"/>
              <w:rPr>
                <w:sz w:val="20"/>
                <w:szCs w:val="20"/>
                <w:color w:val="auto"/>
              </w:rPr>
            </w:pPr>
            <w:r>
              <w:rPr>
                <w:rFonts w:ascii="Arial" w:cs="Arial" w:eastAsia="Arial" w:hAnsi="Arial"/>
                <w:sz w:val="18"/>
                <w:szCs w:val="18"/>
                <w:color w:val="auto"/>
                <w:w w:val="97"/>
              </w:rPr>
              <w:t>of which were outstanding as of</w:t>
            </w:r>
          </w:p>
        </w:tc>
        <w:tc>
          <w:tcPr>
            <w:tcW w:w="6360" w:type="dxa"/>
            <w:vAlign w:val="bottom"/>
          </w:tcPr>
          <w:p>
            <w:pPr>
              <w:jc w:val="right"/>
              <w:ind w:right="530"/>
              <w:spacing w:after="0"/>
              <w:rPr>
                <w:sz w:val="20"/>
                <w:szCs w:val="20"/>
                <w:color w:val="auto"/>
              </w:rPr>
            </w:pPr>
            <w:r>
              <w:rPr>
                <w:rFonts w:ascii="Arial" w:cs="Arial" w:eastAsia="Arial" w:hAnsi="Arial"/>
                <w:sz w:val="18"/>
                <w:szCs w:val="18"/>
                <w:color w:val="auto"/>
                <w:w w:val="95"/>
              </w:rPr>
              <w:t>, 2019, investors participating in this offering will experience further dilution.</w:t>
            </w:r>
          </w:p>
        </w:tc>
      </w:tr>
      <w:tr>
        <w:trPr>
          <w:trHeight w:val="418"/>
        </w:trPr>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360" w:type="dxa"/>
            <w:vAlign w:val="bottom"/>
          </w:tcPr>
          <w:p>
            <w:pPr>
              <w:jc w:val="right"/>
              <w:ind w:right="4590"/>
              <w:spacing w:after="0"/>
              <w:rPr>
                <w:sz w:val="20"/>
                <w:szCs w:val="20"/>
                <w:color w:val="auto"/>
              </w:rPr>
            </w:pPr>
            <w:r>
              <w:rPr>
                <w:rFonts w:ascii="Arial" w:cs="Arial" w:eastAsia="Arial" w:hAnsi="Arial"/>
                <w:sz w:val="18"/>
                <w:szCs w:val="18"/>
                <w:color w:val="auto"/>
              </w:rPr>
              <w:t>47</w:t>
            </w:r>
          </w:p>
        </w:tc>
      </w:tr>
      <w:tr>
        <w:trPr>
          <w:trHeight w:val="459"/>
        </w:trPr>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68"/>
        </w:trPr>
        <w:tc>
          <w:tcPr>
            <w:tcW w:w="540" w:type="dxa"/>
            <w:vAlign w:val="bottom"/>
            <w:shd w:val="clear" w:color="auto" w:fill="000000"/>
          </w:tcPr>
          <w:p>
            <w:pPr>
              <w:spacing w:after="0"/>
              <w:rPr>
                <w:sz w:val="5"/>
                <w:szCs w:val="5"/>
                <w:color w:val="auto"/>
              </w:rPr>
            </w:pPr>
          </w:p>
        </w:tc>
        <w:tc>
          <w:tcPr>
            <w:tcW w:w="2660" w:type="dxa"/>
            <w:vAlign w:val="bottom"/>
            <w:shd w:val="clear" w:color="auto" w:fill="000000"/>
          </w:tcPr>
          <w:p>
            <w:pPr>
              <w:spacing w:after="0"/>
              <w:rPr>
                <w:sz w:val="5"/>
                <w:szCs w:val="5"/>
                <w:color w:val="auto"/>
              </w:rPr>
            </w:pPr>
          </w:p>
        </w:tc>
        <w:tc>
          <w:tcPr>
            <w:tcW w:w="636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Prior to this offering, our common stock has not been traded on an established public trading market and quotations for our common stock were not reported on any market. As a result, there has been no regular trading market for our common stock. Although our shares may have been sporadically traded in private transactions, the prices at which such transactions occurred may not necessarily reflect the price that would be paid for our common stock in an active market. As of December 31, 2018, there were 122 holders of record of our common stock.</w:t>
      </w:r>
    </w:p>
    <w:p>
      <w:pPr>
        <w:spacing w:after="0" w:line="8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anticipate that this offering and the listing of our common stock on the NASDAQ Global Select Market will result in a more active trading market for our common stock. However, we cannot assure you that a liquid trading market for our common stock will develop or be sustained after this offering. You may not be able to sell your shares quickly or at the market price if trading in our common stock is not active. See “Underwriting” for more information regarding our arrangements with the underwriters and the factors considered in setting the initial public offering price.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88"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“Selected Historical Consolidated Financial and Operating Information” and our consolidated financial statements and related notes included elsewhere in this prospectus. This discussion and analysis contains forward-looking statements that involve risks, uncertainties and assumptions. Certain risks, uncertainties and other factors, including but not limited to those set forth under “Cautionary Note Regarding Forward-Looking Statements,” “Risk Factors” and elsewhere in this prospectus, may cause actual results to differ materially from those projected in the forward-looking statements. We assume no obligation to update any of these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We are a bank holding company headquartered in Lubbock, Texas, and our wholly-owned subsidiary,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Subchapter S Corporation Status</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Beginning January 1, 1998, the Company elected to be taxed for U.S. federal income tax purposes as an S Corporation under the provisions of Sections 1361 to 1379 of the Internal Revenue Code of 1986, as amended, or the Code. While we were an S Corporation, our net income was not subject to, and we did not pay, U.S. federal income tax, and no provision or liability for U.S. federal income tax was included in our consolidated financial statements. Instead, for U.S. federal income tax purposes our taxable income was “passed through” to our shareholders.</w:t>
      </w:r>
    </w:p>
    <w:p>
      <w:pPr>
        <w:spacing w:after="0" w:line="80" w:lineRule="exact"/>
        <w:rPr>
          <w:sz w:val="20"/>
          <w:szCs w:val="20"/>
          <w:color w:val="auto"/>
        </w:rPr>
      </w:pPr>
    </w:p>
    <w:p>
      <w:pPr>
        <w:ind w:right="300" w:firstLine="360"/>
        <w:spacing w:after="0" w:line="311" w:lineRule="auto"/>
        <w:rPr>
          <w:sz w:val="20"/>
          <w:szCs w:val="20"/>
          <w:color w:val="auto"/>
        </w:rPr>
      </w:pPr>
      <w:r>
        <w:rPr>
          <w:rFonts w:ascii="Arial" w:cs="Arial" w:eastAsia="Arial" w:hAnsi="Arial"/>
          <w:sz w:val="16"/>
          <w:szCs w:val="16"/>
          <w:color w:val="auto"/>
        </w:rPr>
        <w:t>Effective May 31, 2018, the Company revoked its election to be taxed as an S Corporation, we became taxed as a C Corporation under the provisions of Sections 301 to 385 of the Code, and we established a deferred tax asset to reflect the S Corporation revocation. Thus, our net income is now subject to U.S. federal income tax and we bear the liability for those taxes.</w:t>
      </w:r>
    </w:p>
    <w:p>
      <w:pPr>
        <w:spacing w:after="0" w:line="4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a result of the revocation of our S Corporation election, the net income and earnings per share data presented in our historical financial statements for the years ended December 31, 2014, 2015, 2016 and 2017, which do not include any provision for federal income taxes, will not be comparable with our historical financial statements for the year ended December 31, 2018, or our future net income and earnings per share, which will be calculated by including a provision for federal income taxes. We had no federal income tax expense for the first five months of 2018. Unless otherwise stated, all information in this prospectus,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w:t>
      </w:r>
    </w:p>
    <w:p>
      <w:pPr>
        <w:spacing w:after="0" w:line="70"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While we were an S Corporation, our shareholders were subject to a shareholder agreement that was intended to preserve our S Corporation status, which we amended and restated when we became a C Corporation. At the 2019 annual meeting of shareholders, our shareholders approved the termination of that shareholder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21"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We had net income of $20.8 million for the year ended December 31, 2018, compared to net income of $17.6 million for the year ended December 31, 2017. Return on average equity was 9.66% and return on average assets was 0.79% for the year ended December 31, 2018, compared to 8.48% and 0.69%, respectively, for the year ended December 31, 2017. Net income increased by $3.2 million for the year ended December 31, 2018 compared to 2017. This increase was primarily the result of an increase of $7.1 million in net interest income, 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increase of $4.7 million in noninterest income, and a decrease of $1.6 million in income tax expense, offset by an increase of $2.9 million in the provision for loan losses and an increase of $7.3 million in noninterest expense.</w:t>
      </w:r>
    </w:p>
    <w:p>
      <w:pPr>
        <w:spacing w:after="0" w:line="6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Our total assets increased $139.4 million, or 5.4%, to $2.7 billion at December 31, 2018 as compared to $2.6 billion at December 31, 2017. The increase in total assets was primarily the result of our organic loan growth. Our gross loans held for investment increased $119.0 million, or 6.5%, to $2.0 billion at December 31, 2018, compared to $1.8 billion at December 31, 2017. Our securities portfolio increased $54.1 million, or 19.0%, to $338.2 million at December 31, 2018, compared to $284.1 million at December 31, 2017. Total deposits increased $123.4 million, or 5.7% to $2.3 billion at December 31, 2018, compared to $2.2 billion at December 31, 2017. This increase in deposits was used to help fund our growth in loans held for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Income Tax Expense and Net Income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result of our prior status as an S Corporation, we had no U.S. federal income tax expense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2017 and the first five months of 2018. The pro forma impact of being taxed as a C Corporation is illustrated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14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 Corporation</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26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Net income</w:t>
            </w:r>
            <w:r>
              <w:rPr>
                <w:rFonts w:ascii="Arial" w:cs="Arial" w:eastAsia="Arial" w:hAnsi="Arial"/>
                <w:sz w:val="28"/>
                <w:szCs w:val="28"/>
                <w:color w:val="auto"/>
                <w:vertAlign w:val="superscript"/>
              </w:rPr>
              <w:t>(1)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29,290</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Pr>
          <w:p>
            <w:pPr>
              <w:spacing w:after="0"/>
              <w:rPr>
                <w:sz w:val="21"/>
                <w:szCs w:val="21"/>
                <w:color w:val="auto"/>
              </w:rPr>
            </w:pPr>
          </w:p>
        </w:tc>
      </w:tr>
      <w:tr>
        <w:trPr>
          <w:trHeight w:val="243"/>
        </w:trPr>
        <w:tc>
          <w:tcPr>
            <w:tcW w:w="1440" w:type="dxa"/>
            <w:vAlign w:val="bottom"/>
            <w:shd w:val="clear" w:color="auto" w:fill="CCEEFF"/>
          </w:tcPr>
          <w:p>
            <w:pPr>
              <w:spacing w:after="0"/>
              <w:rPr>
                <w:sz w:val="21"/>
                <w:szCs w:val="21"/>
                <w:color w:val="auto"/>
              </w:rPr>
            </w:pPr>
          </w:p>
        </w:tc>
        <w:tc>
          <w:tcPr>
            <w:tcW w:w="5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Pro forma C Corporation</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60" w:type="dxa"/>
            <w:vAlign w:val="bottom"/>
            <w:gridSpan w:val="2"/>
            <w:shd w:val="clear" w:color="auto" w:fill="CCEEFF"/>
          </w:tcPr>
          <w:p>
            <w:pPr>
              <w:ind w:left="180"/>
              <w:spacing w:after="0" w:line="247" w:lineRule="exact"/>
              <w:rPr>
                <w:sz w:val="20"/>
                <w:szCs w:val="20"/>
                <w:color w:val="auto"/>
              </w:rPr>
            </w:pPr>
            <w:r>
              <w:rPr>
                <w:rFonts w:ascii="Arial" w:cs="Arial" w:eastAsia="Arial" w:hAnsi="Arial"/>
                <w:sz w:val="17"/>
                <w:szCs w:val="17"/>
                <w:color w:val="auto"/>
              </w:rPr>
              <w:t>Combined effective income tax rate</w:t>
            </w:r>
            <w:r>
              <w:rPr>
                <w:rFonts w:ascii="Arial" w:cs="Arial" w:eastAsia="Arial" w:hAnsi="Arial"/>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7"/>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4,511</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0"/>
                <w:szCs w:val="20"/>
                <w:color w:val="auto"/>
              </w:rPr>
            </w:pPr>
          </w:p>
        </w:tc>
      </w:tr>
      <w:tr>
        <w:trPr>
          <w:trHeight w:val="249"/>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20,757</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100" w:type="dxa"/>
            <w:vAlign w:val="bottom"/>
            <w:shd w:val="clear" w:color="auto" w:fill="CCEEFF"/>
          </w:tcPr>
          <w:p>
            <w:pPr>
              <w:spacing w:after="0"/>
              <w:rPr>
                <w:sz w:val="21"/>
                <w:szCs w:val="2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60" w:right="40" w:hanging="355"/>
        <w:spacing w:after="0" w:line="273" w:lineRule="auto"/>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portion of our net income in each of these periods was derived from non-taxable investment income, offset by nondeductible expenses. This has the effect of lowering the statutory tax rate.</w:t>
      </w:r>
    </w:p>
    <w:p>
      <w:pPr>
        <w:spacing w:after="0" w:line="65" w:lineRule="exact"/>
        <w:rPr>
          <w:rFonts w:ascii="Arial" w:cs="Arial" w:eastAsia="Arial" w:hAnsi="Arial"/>
          <w:sz w:val="14"/>
          <w:szCs w:val="14"/>
          <w:color w:val="auto"/>
        </w:rPr>
      </w:pPr>
    </w:p>
    <w:p>
      <w:pPr>
        <w:ind w:left="360" w:right="440" w:hanging="355"/>
        <w:spacing w:after="0" w:line="273" w:lineRule="auto"/>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a statutory federal income tax rate of 21% and 35% for the years ended December 31, 2018 and December 31, 2017, respectively. As our state income taxes are insignificant, they are not reflected in these calculations.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Expense</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U.S. federal income tax expense would have been approximately $4.5 million for the year ended December 31, 2018, compared to approximately $6.1 million for the year ended December 31, 2017 with effective tax rates of 17.9% and 25.6%, respectively. The decrease was primarily due to the decrease in the statutory federal income tax rate, offset by the increase in our net income.</w:t>
      </w:r>
    </w:p>
    <w:p>
      <w:pPr>
        <w:spacing w:after="0" w:line="183" w:lineRule="exact"/>
        <w:rPr>
          <w:sz w:val="20"/>
          <w:szCs w:val="20"/>
          <w:color w:val="auto"/>
        </w:rPr>
      </w:pPr>
    </w:p>
    <w:p>
      <w:pPr>
        <w:ind w:right="4080"/>
        <w:spacing w:after="0" w:line="378" w:lineRule="auto"/>
        <w:rPr>
          <w:sz w:val="20"/>
          <w:szCs w:val="20"/>
          <w:color w:val="auto"/>
        </w:rPr>
      </w:pPr>
      <w:r>
        <w:rPr>
          <w:rFonts w:ascii="Arial" w:cs="Arial" w:eastAsia="Arial" w:hAnsi="Arial"/>
          <w:sz w:val="18"/>
          <w:szCs w:val="18"/>
          <w:b w:val="1"/>
          <w:bCs w:val="1"/>
          <w:color w:val="auto"/>
        </w:rPr>
        <w:t xml:space="preserve">Results of Operations for the Years Ended December 31, 2018 and 2017 </w:t>
      </w:r>
      <w:r>
        <w:rPr>
          <w:rFonts w:ascii="Arial" w:cs="Arial" w:eastAsia="Arial" w:hAnsi="Arial"/>
          <w:sz w:val="18"/>
          <w:szCs w:val="18"/>
          <w:b w:val="1"/>
          <w:bCs w:val="1"/>
          <w:i w:val="1"/>
          <w:iCs w:val="1"/>
          <w:color w:val="auto"/>
        </w:rPr>
        <w:t>Net Interest Income</w:t>
      </w:r>
    </w:p>
    <w:p>
      <w:pPr>
        <w:ind w:right="20" w:firstLine="360"/>
        <w:spacing w:after="0" w:line="270" w:lineRule="auto"/>
        <w:rPr>
          <w:sz w:val="20"/>
          <w:szCs w:val="20"/>
          <w:color w:val="auto"/>
        </w:rPr>
      </w:pPr>
      <w:r>
        <w:rPr>
          <w:rFonts w:ascii="Arial" w:cs="Arial" w:eastAsia="Arial" w:hAnsi="Arial"/>
          <w:sz w:val="17"/>
          <w:szCs w:val="17"/>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73"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301" w:lineRule="auto"/>
        <w:rPr>
          <w:sz w:val="20"/>
          <w:szCs w:val="20"/>
          <w:color w:val="auto"/>
        </w:rPr>
      </w:pPr>
      <w:r>
        <w:rPr>
          <w:rFonts w:ascii="Arial" w:cs="Arial" w:eastAsia="Arial" w:hAnsi="Arial"/>
          <w:sz w:val="16"/>
          <w:szCs w:val="16"/>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is shown on a fully tax-equivalent basis.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351"/>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0"/>
        </w:trPr>
        <w:tc>
          <w:tcPr>
            <w:tcW w:w="14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6"/>
              </w:rPr>
              <w:t>Yield/</w:t>
            </w:r>
          </w:p>
        </w:tc>
        <w:tc>
          <w:tcPr>
            <w:tcW w:w="160" w:type="dxa"/>
            <w:vAlign w:val="bottom"/>
          </w:tcPr>
          <w:p>
            <w:pPr>
              <w:spacing w:after="0"/>
              <w:rPr>
                <w:sz w:val="13"/>
                <w:szCs w:val="13"/>
                <w:color w:val="auto"/>
              </w:rPr>
            </w:pPr>
          </w:p>
        </w:tc>
        <w:tc>
          <w:tcPr>
            <w:tcW w:w="980" w:type="dxa"/>
            <w:vAlign w:val="bottom"/>
            <w:gridSpan w:val="2"/>
          </w:tcPr>
          <w:p>
            <w:pPr>
              <w:jc w:val="right"/>
              <w:ind w:right="420"/>
              <w:spacing w:after="0" w:line="160"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Yield/</w:t>
            </w:r>
          </w:p>
        </w:tc>
      </w:tr>
      <w:tr>
        <w:trPr>
          <w:trHeight w:val="185"/>
        </w:trPr>
        <w:tc>
          <w:tcPr>
            <w:tcW w:w="1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6"/>
                <w:szCs w:val="16"/>
                <w:color w:val="auto"/>
              </w:rPr>
            </w:pPr>
          </w:p>
        </w:tc>
        <w:tc>
          <w:tcPr>
            <w:tcW w:w="5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85"/>
              </w:rPr>
              <w:t>Rate</w:t>
            </w:r>
          </w:p>
        </w:tc>
        <w:tc>
          <w:tcPr>
            <w:tcW w:w="16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8"/>
              </w:rPr>
              <w:t>(Dollars in thousands)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43"/>
        </w:trPr>
        <w:tc>
          <w:tcPr>
            <w:tcW w:w="4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7"/>
        </w:trPr>
        <w:tc>
          <w:tcPr>
            <w:tcW w:w="414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Total loans</w:t>
            </w:r>
            <w:r>
              <w:rPr>
                <w:rFonts w:ascii="Arial" w:cs="Arial" w:eastAsia="Arial" w:hAnsi="Arial"/>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1,921,221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105,897</w:t>
            </w:r>
          </w:p>
        </w:tc>
        <w:tc>
          <w:tcPr>
            <w:tcW w:w="880" w:type="dxa"/>
            <w:vAlign w:val="bottom"/>
            <w:tcBorders>
              <w:right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1,790,201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94,505</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5.28%</w:t>
            </w: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Investment securities – taxable</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209,631</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5,392</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133,324</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2,435</w:t>
            </w:r>
          </w:p>
        </w:tc>
        <w:tc>
          <w:tcPr>
            <w:tcW w:w="420" w:type="dxa"/>
            <w:vAlign w:val="bottom"/>
          </w:tcPr>
          <w:p>
            <w:pPr>
              <w:ind w:left="100"/>
              <w:spacing w:after="0"/>
              <w:rPr>
                <w:sz w:val="20"/>
                <w:szCs w:val="20"/>
                <w:color w:val="auto"/>
              </w:rPr>
            </w:pPr>
            <w:r>
              <w:rPr>
                <w:rFonts w:ascii="Arial" w:cs="Arial" w:eastAsia="Arial" w:hAnsi="Arial"/>
                <w:sz w:val="18"/>
                <w:szCs w:val="18"/>
                <w:color w:val="auto"/>
                <w:w w:val="79"/>
              </w:rPr>
              <w:t>1.83</w:t>
            </w:r>
          </w:p>
        </w:tc>
        <w:tc>
          <w:tcPr>
            <w:tcW w:w="16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101,778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3.57</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172,368</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7,499</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4.35</w:t>
            </w:r>
          </w:p>
        </w:tc>
        <w:tc>
          <w:tcPr>
            <w:tcW w:w="160" w:type="dxa"/>
            <w:vAlign w:val="bottom"/>
            <w:tcBorders>
              <w:left w:val="single" w:sz="8" w:color="CCEEFF"/>
            </w:tcBorders>
            <w:shd w:val="clear" w:color="auto" w:fill="CCEEFF"/>
          </w:tcPr>
          <w:p>
            <w:pPr>
              <w:spacing w:after="0"/>
              <w:rPr>
                <w:sz w:val="21"/>
                <w:szCs w:val="21"/>
                <w:color w:val="auto"/>
              </w:rPr>
            </w:pPr>
          </w:p>
        </w:tc>
      </w:tr>
      <w:tr>
        <w:trPr>
          <w:trHeight w:val="243"/>
        </w:trPr>
        <w:tc>
          <w:tcPr>
            <w:tcW w:w="4140" w:type="dxa"/>
            <w:vAlign w:val="bottom"/>
            <w:gridSpan w:val="2"/>
          </w:tcPr>
          <w:p>
            <w:pPr>
              <w:ind w:left="180"/>
              <w:spacing w:after="0" w:line="243" w:lineRule="exact"/>
              <w:rPr>
                <w:sz w:val="20"/>
                <w:szCs w:val="20"/>
                <w:color w:val="auto"/>
              </w:rPr>
            </w:pPr>
            <w:r>
              <w:rPr>
                <w:rFonts w:ascii="Arial" w:cs="Arial" w:eastAsia="Arial" w:hAnsi="Arial"/>
                <w:sz w:val="17"/>
                <w:szCs w:val="17"/>
                <w:color w:val="auto"/>
              </w:rPr>
              <w:t xml:space="preserve">Other interest-earning assets </w:t>
            </w:r>
            <w:r>
              <w:rPr>
                <w:rFonts w:ascii="Arial" w:cs="Arial" w:eastAsia="Arial" w:hAnsi="Arial"/>
                <w:sz w:val="28"/>
                <w:szCs w:val="28"/>
                <w:color w:val="auto"/>
                <w:vertAlign w:val="superscript"/>
              </w:rPr>
              <w:t>(2)</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218,777</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4,120</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282,124</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3,021</w:t>
            </w:r>
          </w:p>
        </w:tc>
        <w:tc>
          <w:tcPr>
            <w:tcW w:w="420" w:type="dxa"/>
            <w:vAlign w:val="bottom"/>
          </w:tcPr>
          <w:p>
            <w:pPr>
              <w:ind w:left="100"/>
              <w:spacing w:after="0"/>
              <w:rPr>
                <w:sz w:val="20"/>
                <w:szCs w:val="20"/>
                <w:color w:val="auto"/>
              </w:rPr>
            </w:pPr>
            <w:r>
              <w:rPr>
                <w:rFonts w:ascii="Arial" w:cs="Arial" w:eastAsia="Arial" w:hAnsi="Arial"/>
                <w:sz w:val="18"/>
                <w:szCs w:val="18"/>
                <w:color w:val="auto"/>
                <w:w w:val="79"/>
              </w:rPr>
              <w:t>1.07</w:t>
            </w:r>
          </w:p>
        </w:tc>
        <w:tc>
          <w:tcPr>
            <w:tcW w:w="160" w:type="dxa"/>
            <w:vAlign w:val="bottom"/>
          </w:tcPr>
          <w:p>
            <w:pPr>
              <w:spacing w:after="0"/>
              <w:rPr>
                <w:sz w:val="21"/>
                <w:szCs w:val="21"/>
                <w:color w:val="auto"/>
              </w:rPr>
            </w:pPr>
          </w:p>
        </w:tc>
      </w:tr>
      <w:tr>
        <w:trPr>
          <w:trHeight w:val="20"/>
        </w:trPr>
        <w:tc>
          <w:tcPr>
            <w:tcW w:w="144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4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interest-earning assets</w:t>
            </w:r>
          </w:p>
        </w:tc>
        <w:tc>
          <w:tcPr>
            <w:tcW w:w="16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2,451,407</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119,044</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4.86</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2,378,017</w:t>
            </w: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107,460</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4.52</w:t>
            </w:r>
          </w:p>
        </w:tc>
        <w:tc>
          <w:tcPr>
            <w:tcW w:w="160" w:type="dxa"/>
            <w:vAlign w:val="bottom"/>
            <w:tcBorders>
              <w:left w:val="single" w:sz="8" w:color="CCEEFF"/>
            </w:tcBorders>
            <w:shd w:val="clear" w:color="auto" w:fill="CCEEFF"/>
          </w:tcPr>
          <w:p>
            <w:pPr>
              <w:spacing w:after="0"/>
              <w:rPr>
                <w:sz w:val="20"/>
                <w:szCs w:val="20"/>
                <w:color w:val="auto"/>
              </w:rPr>
            </w:pPr>
          </w:p>
        </w:tc>
      </w:tr>
      <w:tr>
        <w:trPr>
          <w:trHeight w:val="243"/>
        </w:trPr>
        <w:tc>
          <w:tcPr>
            <w:tcW w:w="414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172,489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170,099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144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0"/>
        </w:trPr>
        <w:tc>
          <w:tcPr>
            <w:tcW w:w="41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2,623,896</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2,548,116</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60" w:type="dxa"/>
            <w:vAlign w:val="bottom"/>
            <w:tcBorders>
              <w:left w:val="single" w:sz="8" w:color="CCEEFF"/>
            </w:tcBorders>
            <w:shd w:val="clear" w:color="auto" w:fill="CCEEFF"/>
          </w:tcPr>
          <w:p>
            <w:pPr>
              <w:spacing w:after="0"/>
              <w:rPr>
                <w:sz w:val="23"/>
                <w:szCs w:val="23"/>
                <w:color w:val="auto"/>
              </w:rPr>
            </w:pPr>
          </w:p>
        </w:tc>
      </w:tr>
      <w:tr>
        <w:trPr>
          <w:trHeight w:val="243"/>
        </w:trPr>
        <w:tc>
          <w:tcPr>
            <w:tcW w:w="1440" w:type="dxa"/>
            <w:vAlign w:val="bottom"/>
            <w:tcBorders>
              <w:top w:val="single" w:sz="8" w:color="CCEEFF"/>
            </w:tcBorders>
          </w:tcPr>
          <w:p>
            <w:pPr>
              <w:spacing w:after="0"/>
              <w:rPr>
                <w:sz w:val="21"/>
                <w:szCs w:val="21"/>
                <w:color w:val="auto"/>
              </w:rPr>
            </w:pPr>
          </w:p>
        </w:tc>
        <w:tc>
          <w:tcPr>
            <w:tcW w:w="27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r>
      <w:tr>
        <w:trPr>
          <w:trHeight w:val="243"/>
        </w:trPr>
        <w:tc>
          <w:tcPr>
            <w:tcW w:w="4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7"/>
        </w:trPr>
        <w:tc>
          <w:tcPr>
            <w:tcW w:w="4140" w:type="dxa"/>
            <w:vAlign w:val="bottom"/>
            <w:gridSpan w:val="2"/>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NOW, savings and money market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1,394,617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w:t>
            </w:r>
          </w:p>
        </w:tc>
        <w:tc>
          <w:tcPr>
            <w:tcW w:w="880" w:type="dxa"/>
            <w:vAlign w:val="bottom"/>
            <w:tcBorders>
              <w:right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0.93%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1,306,168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7,655</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0.59%</w:t>
            </w: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313,298</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4,556</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355,759</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4,749</w:t>
            </w:r>
          </w:p>
        </w:tc>
        <w:tc>
          <w:tcPr>
            <w:tcW w:w="420" w:type="dxa"/>
            <w:vAlign w:val="bottom"/>
          </w:tcPr>
          <w:p>
            <w:pPr>
              <w:ind w:left="100"/>
              <w:spacing w:after="0"/>
              <w:rPr>
                <w:sz w:val="20"/>
                <w:szCs w:val="20"/>
                <w:color w:val="auto"/>
              </w:rPr>
            </w:pPr>
            <w:r>
              <w:rPr>
                <w:rFonts w:ascii="Arial" w:cs="Arial" w:eastAsia="Arial" w:hAnsi="Arial"/>
                <w:sz w:val="18"/>
                <w:szCs w:val="18"/>
                <w:color w:val="auto"/>
                <w:w w:val="79"/>
              </w:rPr>
              <w:t>1.33</w:t>
            </w:r>
          </w:p>
        </w:tc>
        <w:tc>
          <w:tcPr>
            <w:tcW w:w="16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18,334</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1.45</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22,794</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0.77</w:t>
            </w:r>
          </w:p>
        </w:tc>
        <w:tc>
          <w:tcPr>
            <w:tcW w:w="160" w:type="dxa"/>
            <w:vAlign w:val="bottom"/>
            <w:tcBorders>
              <w:left w:val="single" w:sz="8" w:color="CCEEFF"/>
            </w:tcBorders>
            <w:shd w:val="clear" w:color="auto" w:fill="CCEEFF"/>
          </w:tcPr>
          <w:p>
            <w:pPr>
              <w:spacing w:after="0"/>
              <w:rPr>
                <w:sz w:val="21"/>
                <w:szCs w:val="21"/>
                <w:color w:val="auto"/>
              </w:rPr>
            </w:pP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Notes payable &amp; other longer-term borrowings</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1,786</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1,056</w:t>
            </w:r>
          </w:p>
        </w:tc>
        <w:tc>
          <w:tcPr>
            <w:tcW w:w="420" w:type="dxa"/>
            <w:vAlign w:val="bottom"/>
          </w:tcPr>
          <w:p>
            <w:pPr>
              <w:ind w:left="120"/>
              <w:spacing w:after="0"/>
              <w:rPr>
                <w:sz w:val="20"/>
                <w:szCs w:val="20"/>
                <w:color w:val="auto"/>
              </w:rPr>
            </w:pPr>
            <w:r>
              <w:rPr>
                <w:rFonts w:ascii="Arial" w:cs="Arial" w:eastAsia="Arial" w:hAnsi="Arial"/>
                <w:sz w:val="18"/>
                <w:szCs w:val="18"/>
                <w:color w:val="auto"/>
                <w:w w:val="74"/>
              </w:rPr>
              <w:t>1.11</w:t>
            </w:r>
          </w:p>
        </w:tc>
        <w:tc>
          <w:tcPr>
            <w:tcW w:w="16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21,529</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4.86</w:t>
            </w: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20,887</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979</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4.69</w:t>
            </w:r>
          </w:p>
        </w:tc>
        <w:tc>
          <w:tcPr>
            <w:tcW w:w="160" w:type="dxa"/>
            <w:vAlign w:val="bottom"/>
            <w:tcBorders>
              <w:left w:val="single" w:sz="8" w:color="CCEEFF"/>
            </w:tcBorders>
            <w:shd w:val="clear" w:color="auto" w:fill="CCEEFF"/>
          </w:tcPr>
          <w:p>
            <w:pPr>
              <w:spacing w:after="0"/>
              <w:rPr>
                <w:sz w:val="21"/>
                <w:szCs w:val="21"/>
                <w:color w:val="auto"/>
              </w:rPr>
            </w:pPr>
          </w:p>
        </w:tc>
      </w:tr>
      <w:tr>
        <w:trPr>
          <w:trHeight w:val="243"/>
        </w:trPr>
        <w:tc>
          <w:tcPr>
            <w:tcW w:w="4140" w:type="dxa"/>
            <w:vAlign w:val="bottom"/>
            <w:gridSpan w:val="2"/>
          </w:tcPr>
          <w:p>
            <w:pPr>
              <w:ind w:left="180"/>
              <w:spacing w:after="0"/>
              <w:rPr>
                <w:sz w:val="20"/>
                <w:szCs w:val="20"/>
                <w:color w:val="auto"/>
              </w:rPr>
            </w:pPr>
            <w:r>
              <w:rPr>
                <w:rFonts w:ascii="Arial" w:cs="Arial" w:eastAsia="Arial" w:hAnsi="Arial"/>
                <w:sz w:val="18"/>
                <w:szCs w:val="18"/>
                <w:color w:val="auto"/>
                <w:w w:val="97"/>
              </w:rPr>
              <w:t>Junior subordinated deferrable interest debentures</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46,393</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1,824</w:t>
            </w:r>
          </w:p>
        </w:tc>
        <w:tc>
          <w:tcPr>
            <w:tcW w:w="700" w:type="dxa"/>
            <w:vAlign w:val="bottom"/>
            <w:gridSpan w:val="3"/>
          </w:tcPr>
          <w:p>
            <w:pPr>
              <w:ind w:left="320"/>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46,393</w:t>
            </w:r>
          </w:p>
        </w:tc>
        <w:tc>
          <w:tcPr>
            <w:tcW w:w="12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1,363</w:t>
            </w:r>
          </w:p>
        </w:tc>
        <w:tc>
          <w:tcPr>
            <w:tcW w:w="420" w:type="dxa"/>
            <w:vAlign w:val="bottom"/>
          </w:tcPr>
          <w:p>
            <w:pPr>
              <w:ind w:left="100"/>
              <w:spacing w:after="0"/>
              <w:rPr>
                <w:sz w:val="20"/>
                <w:szCs w:val="20"/>
                <w:color w:val="auto"/>
              </w:rPr>
            </w:pPr>
            <w:r>
              <w:rPr>
                <w:rFonts w:ascii="Arial" w:cs="Arial" w:eastAsia="Arial" w:hAnsi="Arial"/>
                <w:sz w:val="18"/>
                <w:szCs w:val="18"/>
                <w:color w:val="auto"/>
                <w:w w:val="79"/>
              </w:rPr>
              <w:t>2.94</w:t>
            </w:r>
          </w:p>
        </w:tc>
        <w:tc>
          <w:tcPr>
            <w:tcW w:w="160" w:type="dxa"/>
            <w:vAlign w:val="bottom"/>
          </w:tcPr>
          <w:p>
            <w:pPr>
              <w:spacing w:after="0"/>
              <w:rPr>
                <w:sz w:val="21"/>
                <w:szCs w:val="21"/>
                <w:color w:val="auto"/>
              </w:rPr>
            </w:pPr>
          </w:p>
        </w:tc>
      </w:tr>
      <w:tr>
        <w:trPr>
          <w:trHeight w:val="20"/>
        </w:trPr>
        <w:tc>
          <w:tcPr>
            <w:tcW w:w="1440" w:type="dxa"/>
            <w:vAlign w:val="bottom"/>
          </w:tcPr>
          <w:p>
            <w:pPr>
              <w:spacing w:after="0" w:line="20" w:lineRule="exact"/>
              <w:rPr>
                <w:sz w:val="1"/>
                <w:szCs w:val="1"/>
                <w:color w:val="auto"/>
              </w:rPr>
            </w:pPr>
          </w:p>
        </w:tc>
        <w:tc>
          <w:tcPr>
            <w:tcW w:w="27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41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1,889,171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22,482</w:t>
            </w: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1.19</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1,847,001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15,977</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0.87</w:t>
            </w:r>
          </w:p>
        </w:tc>
        <w:tc>
          <w:tcPr>
            <w:tcW w:w="160" w:type="dxa"/>
            <w:vAlign w:val="bottom"/>
            <w:tcBorders>
              <w:left w:val="single" w:sz="8" w:color="CCEEFF"/>
            </w:tcBorders>
            <w:shd w:val="clear" w:color="auto" w:fill="CCEEFF"/>
          </w:tcPr>
          <w:p>
            <w:pPr>
              <w:spacing w:after="0"/>
              <w:rPr>
                <w:sz w:val="20"/>
                <w:szCs w:val="20"/>
                <w:color w:val="auto"/>
              </w:rPr>
            </w:pPr>
          </w:p>
        </w:tc>
      </w:tr>
      <w:tr>
        <w:trPr>
          <w:trHeight w:val="236"/>
        </w:trPr>
        <w:tc>
          <w:tcPr>
            <w:tcW w:w="1440" w:type="dxa"/>
            <w:vAlign w:val="bottom"/>
            <w:tcBorders>
              <w:top w:val="single" w:sz="8" w:color="CCEEFF"/>
            </w:tcBorders>
          </w:tcPr>
          <w:p>
            <w:pPr>
              <w:spacing w:after="0"/>
              <w:rPr>
                <w:sz w:val="20"/>
                <w:szCs w:val="20"/>
                <w:color w:val="auto"/>
              </w:rPr>
            </w:pPr>
          </w:p>
        </w:tc>
        <w:tc>
          <w:tcPr>
            <w:tcW w:w="27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r>
      <w:tr>
        <w:trPr>
          <w:trHeight w:val="243"/>
        </w:trPr>
        <w:tc>
          <w:tcPr>
            <w:tcW w:w="4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Noninterest-bearing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487,363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464,518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32,534</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29,273</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0"/>
        </w:trPr>
        <w:tc>
          <w:tcPr>
            <w:tcW w:w="1440" w:type="dxa"/>
            <w:vAlign w:val="bottom"/>
            <w:shd w:val="clear" w:color="auto" w:fill="CCEEFF"/>
          </w:tcPr>
          <w:p>
            <w:pPr>
              <w:spacing w:after="0" w:line="20" w:lineRule="exact"/>
              <w:rPr>
                <w:sz w:val="1"/>
                <w:szCs w:val="1"/>
                <w:color w:val="auto"/>
              </w:rPr>
            </w:pPr>
          </w:p>
        </w:tc>
        <w:tc>
          <w:tcPr>
            <w:tcW w:w="27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r>
      <w:tr>
        <w:trPr>
          <w:trHeight w:val="230"/>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519,898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493,791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41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214,828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207,324</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0"/>
        </w:trPr>
        <w:tc>
          <w:tcPr>
            <w:tcW w:w="1440" w:type="dxa"/>
            <w:vAlign w:val="bottom"/>
            <w:shd w:val="clear" w:color="auto" w:fill="CCEEFF"/>
          </w:tcPr>
          <w:p>
            <w:pPr>
              <w:spacing w:after="0" w:line="20" w:lineRule="exact"/>
              <w:rPr>
                <w:sz w:val="1"/>
                <w:szCs w:val="1"/>
                <w:color w:val="auto"/>
              </w:rPr>
            </w:pPr>
          </w:p>
        </w:tc>
        <w:tc>
          <w:tcPr>
            <w:tcW w:w="27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r>
      <w:tr>
        <w:trPr>
          <w:trHeight w:val="223"/>
        </w:trPr>
        <w:tc>
          <w:tcPr>
            <w:tcW w:w="4140" w:type="dxa"/>
            <w:vAlign w:val="bottom"/>
            <w:gridSpan w:val="2"/>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2,623,896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2,548,116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8"/>
        </w:trPr>
        <w:tc>
          <w:tcPr>
            <w:tcW w:w="14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1440" w:type="dxa"/>
            <w:vAlign w:val="bottom"/>
            <w:shd w:val="clear" w:color="auto" w:fill="CCEEFF"/>
          </w:tcPr>
          <w:p>
            <w:pPr>
              <w:spacing w:after="0"/>
              <w:rPr>
                <w:sz w:val="21"/>
                <w:szCs w:val="21"/>
                <w:color w:val="auto"/>
              </w:rPr>
            </w:pPr>
          </w:p>
        </w:tc>
        <w:tc>
          <w:tcPr>
            <w:tcW w:w="27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96,562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91,483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8"/>
        </w:trPr>
        <w:tc>
          <w:tcPr>
            <w:tcW w:w="14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8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3.65%</w:t>
            </w:r>
          </w:p>
        </w:tc>
      </w:tr>
      <w:tr>
        <w:trPr>
          <w:trHeight w:val="27"/>
        </w:trPr>
        <w:tc>
          <w:tcPr>
            <w:tcW w:w="14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r>
      <w:tr>
        <w:trPr>
          <w:trHeight w:val="230"/>
        </w:trPr>
        <w:tc>
          <w:tcPr>
            <w:tcW w:w="4140" w:type="dxa"/>
            <w:vAlign w:val="bottom"/>
            <w:gridSpan w:val="2"/>
          </w:tcPr>
          <w:p>
            <w:pPr>
              <w:spacing w:after="0" w:line="230"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6"/>
                <w:szCs w:val="26"/>
                <w:color w:val="auto"/>
                <w:vertAlign w:val="superscript"/>
              </w:rPr>
              <w:t>(3)</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ind w:left="120"/>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w w:val="90"/>
              </w:rPr>
              <w:t>3.85%</w:t>
            </w:r>
          </w:p>
        </w:tc>
      </w:tr>
      <w:tr>
        <w:trPr>
          <w:trHeight w:val="20"/>
        </w:trPr>
        <w:tc>
          <w:tcPr>
            <w:tcW w:w="1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103" w:lineRule="exact"/>
        <w:rPr>
          <w:sz w:val="20"/>
          <w:szCs w:val="20"/>
          <w:color w:val="auto"/>
        </w:rPr>
      </w:pPr>
    </w:p>
    <w:p>
      <w:pPr>
        <w:ind w:left="360" w:hanging="355"/>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109" w:lineRule="exact"/>
        <w:rPr>
          <w:rFonts w:ascii="Arial" w:cs="Arial" w:eastAsia="Arial" w:hAnsi="Arial"/>
          <w:sz w:val="14"/>
          <w:szCs w:val="14"/>
          <w:color w:val="auto"/>
        </w:rPr>
      </w:pPr>
    </w:p>
    <w:p>
      <w:pPr>
        <w:ind w:left="360" w:right="480" w:hanging="355"/>
        <w:spacing w:after="0" w:line="273" w:lineRule="auto"/>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income and average balances for interest-earning deposits at other banks, nonmarketable securities, federal funds sold and other miscellaneous interest-earning assets.</w:t>
      </w:r>
    </w:p>
    <w:p>
      <w:pPr>
        <w:spacing w:after="0" w:line="65" w:lineRule="exact"/>
        <w:rPr>
          <w:rFonts w:ascii="Arial" w:cs="Arial" w:eastAsia="Arial" w:hAnsi="Arial"/>
          <w:sz w:val="14"/>
          <w:szCs w:val="14"/>
          <w:color w:val="auto"/>
        </w:rPr>
      </w:pPr>
    </w:p>
    <w:p>
      <w:pPr>
        <w:ind w:left="360" w:hanging="355"/>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interest margin is calculated as the annual net interest income, on a fully tax-equivalent basis, divided by average interest-earning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r>
      <w:tr>
        <w:trPr>
          <w:trHeight w:val="183"/>
        </w:trPr>
        <w:tc>
          <w:tcPr>
            <w:tcW w:w="65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2018 over 2017</w:t>
            </w:r>
          </w:p>
        </w:tc>
        <w:tc>
          <w:tcPr>
            <w:tcW w:w="9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Change due to:</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Volume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Variance</w:t>
            </w:r>
          </w:p>
        </w:tc>
        <w:tc>
          <w:tcPr>
            <w:tcW w:w="100" w:type="dxa"/>
            <w:vAlign w:val="bottom"/>
          </w:tcPr>
          <w:p>
            <w:pPr>
              <w:spacing w:after="0"/>
              <w:rPr>
                <w:sz w:val="15"/>
                <w:szCs w:val="15"/>
                <w:color w:val="auto"/>
              </w:rPr>
            </w:pPr>
          </w:p>
        </w:tc>
      </w:tr>
      <w:tr>
        <w:trPr>
          <w:trHeight w:val="183"/>
        </w:trPr>
        <w:tc>
          <w:tcPr>
            <w:tcW w:w="6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6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1"/>
              </w:rPr>
              <w:t>(Dollars in thousands)</w:t>
            </w:r>
          </w:p>
        </w:tc>
      </w:tr>
      <w:tr>
        <w:trPr>
          <w:trHeight w:val="243"/>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6,917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4,475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11,392</w:t>
            </w: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1,394</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w:t>
            </w: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Investment securities – non-taxable</w:t>
            </w:r>
          </w:p>
        </w:tc>
        <w:tc>
          <w:tcPr>
            <w:tcW w:w="120" w:type="dxa"/>
            <w:vAlign w:val="bottom"/>
          </w:tcPr>
          <w:p>
            <w:pPr>
              <w:spacing w:after="0"/>
              <w:rPr>
                <w:sz w:val="20"/>
                <w:szCs w:val="20"/>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(3,071)</w:t>
            </w:r>
          </w:p>
        </w:tc>
        <w:tc>
          <w:tcPr>
            <w:tcW w:w="1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(3,864)</w:t>
            </w: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interest-earning assets</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r>
      <w:tr>
        <w:trPr>
          <w:trHeight w:val="20"/>
        </w:trPr>
        <w:tc>
          <w:tcPr>
            <w:tcW w:w="65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6520" w:type="dxa"/>
            <w:vAlign w:val="bottom"/>
          </w:tcPr>
          <w:p>
            <w:pPr>
              <w:ind w:left="360"/>
              <w:spacing w:after="0"/>
              <w:rPr>
                <w:sz w:val="20"/>
                <w:szCs w:val="20"/>
                <w:color w:val="auto"/>
              </w:rPr>
            </w:pPr>
            <w:r>
              <w:rPr>
                <w:rFonts w:ascii="Arial" w:cs="Arial" w:eastAsia="Arial" w:hAnsi="Arial"/>
                <w:sz w:val="18"/>
                <w:szCs w:val="18"/>
                <w:color w:val="auto"/>
              </w:rPr>
              <w:t>Total increase (decrease) in interest income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7,022</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11,584</w:t>
            </w:r>
          </w:p>
        </w:tc>
      </w:tr>
      <w:tr>
        <w:trPr>
          <w:trHeight w:val="236"/>
        </w:trPr>
        <w:tc>
          <w:tcPr>
            <w:tcW w:w="652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9"/>
        </w:trPr>
        <w:tc>
          <w:tcPr>
            <w:tcW w:w="65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NOW, Savings, MMDAs</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4,832</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w:t>
            </w: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20"/>
                <w:szCs w:val="20"/>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120" w:type="dxa"/>
            <w:vAlign w:val="bottom"/>
          </w:tcPr>
          <w:p>
            <w:pPr>
              <w:spacing w:after="0"/>
              <w:rPr>
                <w:sz w:val="20"/>
                <w:szCs w:val="20"/>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r>
      <w:tr>
        <w:trPr>
          <w:trHeight w:val="249"/>
        </w:trPr>
        <w:tc>
          <w:tcPr>
            <w:tcW w:w="6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r>
      <w:tr>
        <w:trPr>
          <w:trHeight w:val="20"/>
        </w:trPr>
        <w:tc>
          <w:tcPr>
            <w:tcW w:w="65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increase (decrease) interest expense:</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6,558</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6,505</w:t>
            </w:r>
          </w:p>
        </w:tc>
      </w:tr>
      <w:tr>
        <w:trPr>
          <w:trHeight w:val="237"/>
        </w:trPr>
        <w:tc>
          <w:tcPr>
            <w:tcW w:w="65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50"/>
        </w:trPr>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net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5,079</w:t>
            </w:r>
          </w:p>
        </w:tc>
      </w:tr>
      <w:tr>
        <w:trPr>
          <w:trHeight w:val="27"/>
        </w:trPr>
        <w:tc>
          <w:tcPr>
            <w:tcW w:w="652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180" w:firstLine="360"/>
        <w:spacing w:after="0" w:line="284" w:lineRule="auto"/>
        <w:rPr>
          <w:sz w:val="20"/>
          <w:szCs w:val="20"/>
          <w:color w:val="auto"/>
        </w:rPr>
      </w:pPr>
      <w:r>
        <w:rPr>
          <w:rFonts w:ascii="Arial" w:cs="Arial" w:eastAsia="Arial" w:hAnsi="Arial"/>
          <w:sz w:val="16"/>
          <w:szCs w:val="16"/>
          <w:color w:val="auto"/>
        </w:rPr>
        <w:t>Net interest income for the year ended December 31, 2018 was $95.6 million compared to $88.4 million for the year ended December 31, 2017, an increase of $7.1 million, or 8.1%. The increase in net interest income was comprised of a $13.7 million, or 13.1%, increase in interest income offset by a $6.5 million, or 40.7%, increase in interest expense. The growth in interest income was primarily attributable to a $131.0 million, or 7.3%, increase in average loans outstanding for the year ended December 31, 2018, compared to 2017, and by an 0.23% increase in the yield on total loans. The increase in average loans outstanding was primarily due to organic growth in most loan portfolios with the largest increase in the auto loan portion of the consumer sector of our loan portfolio. The $6.5 million increase in interest expense for the year ended December 31, 2018 was primarily related to a</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0.32% increase in the rate paid on interest-bearing liabilities and an increase of $46.0 million, or 2.8%, in average interest-bearing deposits over the same period in 2017. The increase in average interest-bearing liabilities from 2017 to 2018 was due primarily to an increase in money market accounts of $76.5 million, offset by a decrease in time deposits of $ 42.5 million. Additionally, average noninterest-bearing demand deposits increased to $487.4 million in 2018 from $464.5 million in 2017. For the year ended December 31, 2018, net interest margin and net interest spread were 3.94% and 3.67%, respectively, compared to 3.85% and 3.65% for the same period in 2017, which reflects the increases in interest income discussed above relative to the increases in interest 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the amount and frequency of charges to our earnings. The provision for loan losses and level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79" w:lineRule="exact"/>
        <w:rPr>
          <w:sz w:val="20"/>
          <w:szCs w:val="20"/>
          <w:color w:val="auto"/>
        </w:rPr>
      </w:pPr>
    </w:p>
    <w:p>
      <w:pPr>
        <w:ind w:right="120" w:firstLine="360"/>
        <w:spacing w:after="0" w:line="301" w:lineRule="auto"/>
        <w:rPr>
          <w:sz w:val="20"/>
          <w:szCs w:val="20"/>
          <w:color w:val="auto"/>
        </w:rPr>
      </w:pPr>
      <w:r>
        <w:rPr>
          <w:rFonts w:ascii="Arial" w:cs="Arial" w:eastAsia="Arial" w:hAnsi="Arial"/>
          <w:sz w:val="16"/>
          <w:szCs w:val="16"/>
          <w:color w:val="auto"/>
        </w:rPr>
        <w:t>The provision for loan losses for the year ended December 31, 2018 was $6.9 million compared to $4.0 million for the year ended December 31, 2017, and the increase of $2.9 million, or 74.0%, was primarily due to the need to fund the allowance for loan losses after a $3.6 million charge-off on one borrower and an increase in the overall size of the loan portfolio. The allowance for loan losses as a percentage of gross loans was 1.18% at December 31, 2018 and 1.17% at December 31, 2017.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79" w:lineRule="exact"/>
        <w:rPr>
          <w:sz w:val="20"/>
          <w:szCs w:val="20"/>
          <w:color w:val="auto"/>
        </w:rPr>
      </w:pPr>
    </w:p>
    <w:p>
      <w:pPr>
        <w:ind w:right="200" w:firstLine="360"/>
        <w:spacing w:after="0" w:line="263" w:lineRule="auto"/>
        <w:rPr>
          <w:sz w:val="20"/>
          <w:szCs w:val="20"/>
          <w:color w:val="auto"/>
        </w:rPr>
      </w:pPr>
      <w:r>
        <w:rPr>
          <w:rFonts w:ascii="Arial" w:cs="Arial" w:eastAsia="Arial" w:hAnsi="Arial"/>
          <w:sz w:val="18"/>
          <w:szCs w:val="18"/>
          <w:color w:val="auto"/>
        </w:rPr>
        <w:t>Noninterest income for the year ended December 31, 2018 was $52.1 million compared to $47.4 million for the year ended December 31, 2017, an increase of $4.7 million, or 10.0%. The following table sets forth the major components of our noninterest income for the years ended December 31, 2018 and 2017:</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44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14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(decrease)</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6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7,813</w:t>
            </w:r>
          </w:p>
        </w:tc>
        <w:tc>
          <w:tcPr>
            <w:tcW w:w="20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49"/>
        </w:trPr>
        <w:tc>
          <w:tcPr>
            <w:tcW w:w="6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insurance activities</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6,422</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r>
      <w:tr>
        <w:trPr>
          <w:trHeight w:val="237"/>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8,845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7,857</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r>
      <w:tr>
        <w:trPr>
          <w:trHeight w:val="249"/>
        </w:trPr>
        <w:tc>
          <w:tcPr>
            <w:tcW w:w="6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 banking activities</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20,391</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r>
      <w:tr>
        <w:trPr>
          <w:trHeight w:val="237"/>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Investment commissions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r>
      <w:tr>
        <w:trPr>
          <w:trHeight w:val="249"/>
        </w:trPr>
        <w:tc>
          <w:tcPr>
            <w:tcW w:w="6700" w:type="dxa"/>
            <w:vAlign w:val="bottom"/>
            <w:tcBorders>
              <w:right w:val="single" w:sz="8" w:color="CCEEFF"/>
            </w:tcBorders>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Other income and fees</w:t>
            </w:r>
            <w:r>
              <w:rPr>
                <w:rFonts w:ascii="Arial" w:cs="Arial" w:eastAsia="Arial" w:hAnsi="Arial"/>
                <w:sz w:val="28"/>
                <w:szCs w:val="28"/>
                <w:color w:val="auto"/>
                <w:vertAlign w:val="superscript"/>
              </w:rPr>
              <w:t>(1)</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3,816</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w:t>
            </w:r>
          </w:p>
        </w:tc>
      </w:tr>
      <w:tr>
        <w:trPr>
          <w:trHeight w:val="20"/>
        </w:trPr>
        <w:tc>
          <w:tcPr>
            <w:tcW w:w="1440" w:type="dxa"/>
            <w:vAlign w:val="bottom"/>
            <w:shd w:val="clear" w:color="auto" w:fill="CCEEFF"/>
          </w:tcPr>
          <w:p>
            <w:pPr>
              <w:spacing w:after="0" w:line="20" w:lineRule="exact"/>
              <w:rPr>
                <w:sz w:val="1"/>
                <w:szCs w:val="1"/>
                <w:color w:val="auto"/>
              </w:rPr>
            </w:pPr>
          </w:p>
        </w:tc>
        <w:tc>
          <w:tcPr>
            <w:tcW w:w="52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Total noninterest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52,121</w:t>
            </w:r>
          </w:p>
        </w:tc>
        <w:tc>
          <w:tcPr>
            <w:tcW w:w="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47,389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r>
      <w:tr>
        <w:trPr>
          <w:trHeight w:val="20"/>
        </w:trPr>
        <w:tc>
          <w:tcPr>
            <w:tcW w:w="1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60" w:right="80" w:hanging="355"/>
        <w:spacing w:after="0" w:line="273" w:lineRule="auto"/>
        <w:tabs>
          <w:tab w:leader="none" w:pos="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 income and fees includes income and fees associated with fiduciary activities, the increase in the cash surrender value of life insurance, safe deposit box rental, check printing, collections, wire transfer and other miscellaneous services.</w:t>
      </w:r>
    </w:p>
    <w:p>
      <w:pPr>
        <w:spacing w:after="0" w:line="5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Income from service charges on deposit accounts include fees for overdraft privilege charges, insufficient funds charges, account analysis service fees on commercial accounts, and monthly account service fees. These fees increased $388,000, or 5.2%, to $7.8 million for the year ended December 31, 2018 from $7.4 million for the year ended December 31, 2017. The increase was primarily a result in raising the fees charged on overdraft privilege and insufficient funds transactions early in the first quarter of 2018.</w:t>
      </w:r>
    </w:p>
    <w:p>
      <w:pPr>
        <w:spacing w:after="0" w:line="80"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Income from insurance activities is primarily derived from our insurance agency subsidiary, Windmark Insurance. Insurance income increased $706,000, or 11.0%, to $7.1 million for the year ended December 31, 2018 from $6.4 million for the year ended December 31, 2017. This increase was attributable to an increase in commissions and bonuses for insurance sales due to an expanded customer base during 2018.</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Income from mortgage banking activities includes gains on the sale of mortgage loans originated for sale in the secondary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market, servicing income on mortgages sold with retained servicing, and related mortgage loan service charges. Income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mortgage banking activities increased $993,000, or 4.9%, to $21.4 million for the year ended December 31, 2018 from $20.4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for the year ended December 31, 2017. The increase was due primarily to an increase in net gain on sales of loans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$767,000 from 2017 to 2018 as a result of an increase of $13.2 million in sales of mortgage loans. Production of mortgage loans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by 3.4% from 2017 to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60" w:firstLine="360"/>
        <w:spacing w:after="0" w:line="342" w:lineRule="auto"/>
        <w:rPr>
          <w:sz w:val="20"/>
          <w:szCs w:val="20"/>
          <w:color w:val="auto"/>
        </w:rPr>
      </w:pPr>
      <w:r>
        <w:rPr>
          <w:rFonts w:ascii="Arial" w:cs="Arial" w:eastAsia="Arial" w:hAnsi="Arial"/>
          <w:sz w:val="16"/>
          <w:szCs w:val="16"/>
          <w:color w:val="auto"/>
        </w:rPr>
        <w:t>Other noninterest income increased $1.4 million, or 35.5%, to $5.2 million for the year ended December 31, 2018 from $3.8 million for the year ended December 31, 2017. This increase was primarily due to a gain on sale of securities of $620,000.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Noninterest expense for 2018 was $115.4 million compared to $108.1 million for 2017, an increase of $7.3 million, or 6.7%.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major components of our noninterest expense for the years ended December 31, 2018 and 2017:</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44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1"/>
              </w:rPr>
              <w:t>Increase</w:t>
            </w:r>
          </w:p>
        </w:tc>
      </w:tr>
      <w:tr>
        <w:trPr>
          <w:trHeight w:val="185"/>
        </w:trPr>
        <w:tc>
          <w:tcPr>
            <w:tcW w:w="14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6"/>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Salaries and employee benefits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71,778</w:t>
            </w:r>
          </w:p>
        </w:tc>
        <w:tc>
          <w:tcPr>
            <w:tcW w:w="2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67,127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4,651</w:t>
            </w:r>
          </w:p>
        </w:tc>
      </w:tr>
      <w:tr>
        <w:trPr>
          <w:trHeight w:val="249"/>
        </w:trPr>
        <w:tc>
          <w:tcPr>
            <w:tcW w:w="6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Occupancy expense, net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12,988</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r>
      <w:tr>
        <w:trPr>
          <w:trHeight w:val="237"/>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6,734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4,544</w:t>
            </w: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r>
      <w:tr>
        <w:trPr>
          <w:trHeight w:val="249"/>
        </w:trPr>
        <w:tc>
          <w:tcPr>
            <w:tcW w:w="6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Marketing and development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2,994</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37"/>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Bankcard expenses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2,298</w:t>
            </w: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r>
      <w:tr>
        <w:trPr>
          <w:trHeight w:val="249"/>
        </w:trPr>
        <w:tc>
          <w:tcPr>
            <w:tcW w:w="6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r>
      <w:tr>
        <w:trPr>
          <w:trHeight w:val="237"/>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IT and data services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2,115</w:t>
            </w:r>
          </w:p>
        </w:tc>
        <w:tc>
          <w:tcPr>
            <w:tcW w:w="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49"/>
        </w:trPr>
        <w:tc>
          <w:tcPr>
            <w:tcW w:w="6700" w:type="dxa"/>
            <w:vAlign w:val="bottom"/>
            <w:tcBorders>
              <w:right w:val="single" w:sz="8" w:color="CCEEFF"/>
            </w:tcBorders>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Other expenses</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14,544</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r>
      <w:tr>
        <w:trPr>
          <w:trHeight w:val="20"/>
        </w:trPr>
        <w:tc>
          <w:tcPr>
            <w:tcW w:w="1440" w:type="dxa"/>
            <w:vAlign w:val="bottom"/>
            <w:shd w:val="clear" w:color="auto" w:fill="CCEEFF"/>
          </w:tcPr>
          <w:p>
            <w:pPr>
              <w:spacing w:after="0" w:line="20" w:lineRule="exact"/>
              <w:rPr>
                <w:sz w:val="1"/>
                <w:szCs w:val="1"/>
                <w:color w:val="auto"/>
              </w:rPr>
            </w:pPr>
          </w:p>
        </w:tc>
        <w:tc>
          <w:tcPr>
            <w:tcW w:w="52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Total noninterest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115,443</w:t>
            </w:r>
          </w:p>
        </w:tc>
        <w:tc>
          <w:tcPr>
            <w:tcW w:w="2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108,144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7,299</w:t>
            </w:r>
          </w:p>
        </w:tc>
      </w:tr>
      <w:tr>
        <w:trPr>
          <w:trHeight w:val="21"/>
        </w:trPr>
        <w:tc>
          <w:tcPr>
            <w:tcW w:w="1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60" w:hanging="355"/>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 expenses include items such as telephone expenses, postage, courier fees, directors’ fees, and insurance.</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Salaries and employee benefits include (i) amounts paid to employees for base pay, commissions, incentive compensation,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bonuses, (ii) health and other related insurance paid by the Bank on behalf of our employees, and (iii) the annual cost for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increases in the liability for non-qualified plans maintained for certain key employees. Salaries and employee benefits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$4.7 million, or 6.9%, from $67.1 million for the year ended December 31, 2017 to $71.8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The increase was primarily due to an increase in commissions paid of $1.5 million for mortgage originations, broker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insurance sales during 2018. Additionally, there was an increase of 36 average full-time equivalent employees as well as salary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adjustments during 2018 which caused base salaries to increase $2.4 million in 2018. Further, there was an increase of $1.1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employee insurance expense, primarily related to health insurance, during 2018.</w:t>
      </w:r>
    </w:p>
    <w:p>
      <w:pPr>
        <w:spacing w:after="0" w:line="103"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Net occupancy expenses are comprised of depreciation on property, premises, equipment and software, rent expense for leased facilities and equipment, maintenance agreements on equipment and software, property taxes, and other expenses related to maintaining owned or leased assets. Net occupancy expense for the year ended December 31, 2018 was $13.6 million compared to $13.0 million for the year ended December 31, 2017, an increase of $583,000, or 4.5%. The increase was primarily attributable to increased software subscriptions and maintenance expenses during 2018 relating to a platform for online mortgage applications, enhanced network and systems security, account monitoring for fraud and compliance, and profitability and data analytics reporting.</w:t>
      </w:r>
    </w:p>
    <w:p>
      <w:pPr>
        <w:spacing w:after="0" w:line="56" w:lineRule="exact"/>
        <w:rPr>
          <w:sz w:val="20"/>
          <w:szCs w:val="20"/>
          <w:color w:val="auto"/>
        </w:rPr>
      </w:pPr>
    </w:p>
    <w:p>
      <w:pPr>
        <w:ind w:right="20" w:firstLine="360"/>
        <w:spacing w:after="0" w:line="275" w:lineRule="auto"/>
        <w:rPr>
          <w:sz w:val="20"/>
          <w:szCs w:val="20"/>
          <w:color w:val="auto"/>
        </w:rPr>
      </w:pPr>
      <w:r>
        <w:rPr>
          <w:rFonts w:ascii="Arial" w:cs="Arial" w:eastAsia="Arial" w:hAnsi="Arial"/>
          <w:sz w:val="17"/>
          <w:szCs w:val="17"/>
          <w:color w:val="auto"/>
        </w:rPr>
        <w:t>Professional services expenses, which include legal fees, audit and accounting fees, and consulting fees, increased $2.2 million in 2018. This increase was primarily due to an additional $1.7 million in legal expenses in 2018. These additional legal expenses were related to the Company’s conversion to a C Corporation, the issuance of new subordinated debt securities, the acquisition of an online mortgage platform and related employees, and preparation for an initial public offering. Other noninterest expense decreased $563,000 in 2018 primarily due to a $491,000 loss on sale of securities in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right="160" w:firstLine="360"/>
        <w:spacing w:after="0" w:line="263" w:lineRule="auto"/>
        <w:rPr>
          <w:sz w:val="20"/>
          <w:szCs w:val="20"/>
          <w:color w:val="auto"/>
        </w:rPr>
      </w:pPr>
      <w:r>
        <w:rPr>
          <w:rFonts w:ascii="Arial" w:cs="Arial" w:eastAsia="Arial" w:hAnsi="Arial"/>
          <w:sz w:val="18"/>
          <w:szCs w:val="18"/>
          <w:color w:val="auto"/>
        </w:rPr>
        <w:t>Total assets increased $139.4 million, or 5.4%, to $2.7 billion at December 31, 2018 as compared to $2.6 billion at December 31, 2017. The increase in total assets was primarily the result of our organic loan growth. Our gross loans held for investment increased $119.0 million, or 6.5%, to $2.0 billion at December 31,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2018, compared to $1.8 billion at December 31, 2017. Our securities portfolio increased $54.1 million, or 19.0%, to $338.2 million at December 31, 2018, compared to $284.1 million at December 31, 2017. Total deposits increased $123.4 million, or 5.7% to $2.3 billion at December 31, 2018, compared to $2.2 billion at December 31, 2017. This increase in deposits was used to help fund our growth in loans held for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loans represent the largest portion of earning assets, greater than the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79"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The following table presents the balance and associated percentage of each major category in our gross loan portfolio at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3"/>
              </w:rPr>
              <w:t>As of December 31,</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3"/>
          </w:tcPr>
          <w:p>
            <w:pPr>
              <w:jc w:val="right"/>
              <w:ind w:right="280"/>
              <w:spacing w:after="0" w:line="16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3"/>
          </w:tcPr>
          <w:p>
            <w:pPr>
              <w:jc w:val="right"/>
              <w:ind w:right="280"/>
              <w:spacing w:after="0" w:line="16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3"/>
          </w:tcPr>
          <w:p>
            <w:pPr>
              <w:jc w:val="right"/>
              <w:ind w:right="28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3"/>
          </w:tcPr>
          <w:p>
            <w:pPr>
              <w:ind w:left="80"/>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3"/>
          </w:tcPr>
          <w:p>
            <w:pPr>
              <w:jc w:val="right"/>
              <w:ind w:right="160"/>
              <w:spacing w:after="0" w:line="16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5"/>
        </w:trPr>
        <w:tc>
          <w:tcPr>
            <w:tcW w:w="17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3"/>
              </w:rPr>
              <w:t>(Dollars in thousands)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538,037</w:t>
            </w: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506,894</w:t>
            </w: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462,495</w:t>
            </w:r>
          </w:p>
        </w:tc>
        <w:tc>
          <w:tcPr>
            <w:tcW w:w="6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490,938</w:t>
            </w: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548,755</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08"/>
        </w:trPr>
        <w:tc>
          <w:tcPr>
            <w:tcW w:w="1740" w:type="dxa"/>
            <w:vAlign w:val="bottom"/>
          </w:tcPr>
          <w:p>
            <w:pPr>
              <w:spacing w:after="0"/>
              <w:rPr>
                <w:sz w:val="20"/>
                <w:szCs w:val="20"/>
                <w:color w:val="auto"/>
              </w:rPr>
            </w:pPr>
            <w:r>
              <w:rPr>
                <w:rFonts w:ascii="Arial" w:cs="Arial" w:eastAsia="Arial" w:hAnsi="Arial"/>
                <w:sz w:val="16"/>
                <w:szCs w:val="16"/>
                <w:color w:val="auto"/>
              </w:rPr>
              <w:t>Commercial –</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20"/>
                <w:szCs w:val="20"/>
                <w:color w:val="auto"/>
              </w:rPr>
            </w:pPr>
            <w:r>
              <w:rPr>
                <w:rFonts w:ascii="Arial" w:cs="Arial" w:eastAsia="Arial" w:hAnsi="Arial"/>
                <w:sz w:val="16"/>
                <w:szCs w:val="16"/>
                <w:color w:val="auto"/>
              </w:rPr>
              <w:t>specialized</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305,022</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15.6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329,119</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17.9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309,279</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18.6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329,561</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19.6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297,215</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427,728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21.9</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410,057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395,949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23.8</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395,938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23.6</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308,506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40" w:type="dxa"/>
            <w:vAlign w:val="bottom"/>
          </w:tcPr>
          <w:p>
            <w:pPr>
              <w:spacing w:after="0"/>
              <w:rPr>
                <w:sz w:val="20"/>
                <w:szCs w:val="20"/>
                <w:color w:val="auto"/>
              </w:rPr>
            </w:pPr>
            <w:r>
              <w:rPr>
                <w:rFonts w:ascii="Arial" w:cs="Arial" w:eastAsia="Arial" w:hAnsi="Arial"/>
                <w:sz w:val="16"/>
                <w:szCs w:val="16"/>
                <w:color w:val="auto"/>
              </w:rPr>
              <w:t>Consumer:</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346,153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313,350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297,944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17.9</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291,099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249,920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40" w:type="dxa"/>
            <w:vAlign w:val="bottom"/>
          </w:tcPr>
          <w:p>
            <w:pPr>
              <w:ind w:left="180"/>
              <w:spacing w:after="0"/>
              <w:rPr>
                <w:sz w:val="20"/>
                <w:szCs w:val="20"/>
                <w:color w:val="auto"/>
              </w:rPr>
            </w:pPr>
            <w:r>
              <w:rPr>
                <w:rFonts w:ascii="Arial" w:cs="Arial" w:eastAsia="Arial" w:hAnsi="Arial"/>
                <w:sz w:val="16"/>
                <w:szCs w:val="16"/>
                <w:color w:val="auto"/>
              </w:rPr>
              <w:t>Auto loans</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191,647</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146,622</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76,215</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66,710</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61,373</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70,209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66,191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62,097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64,057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58,536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740" w:type="dxa"/>
            <w:vAlign w:val="bottom"/>
          </w:tcPr>
          <w:p>
            <w:pPr>
              <w:spacing w:after="0"/>
              <w:rPr>
                <w:sz w:val="20"/>
                <w:szCs w:val="20"/>
                <w:color w:val="auto"/>
              </w:rPr>
            </w:pPr>
            <w:r>
              <w:rPr>
                <w:rFonts w:ascii="Arial" w:cs="Arial" w:eastAsia="Arial" w:hAnsi="Arial"/>
                <w:sz w:val="16"/>
                <w:szCs w:val="16"/>
                <w:color w:val="auto"/>
              </w:rPr>
              <w:t>Construction</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78,401</w:t>
            </w:r>
          </w:p>
        </w:tc>
        <w:tc>
          <w:tcPr>
            <w:tcW w:w="1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65,922</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57,207</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41,011</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25,728</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loans</w:t>
            </w:r>
          </w:p>
        </w:tc>
        <w:tc>
          <w:tcPr>
            <w:tcW w:w="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1,957,197</w:t>
            </w:r>
          </w:p>
        </w:tc>
        <w:tc>
          <w:tcPr>
            <w:tcW w:w="18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9"/>
              </w:rPr>
              <w:t>100.0%</w:t>
            </w:r>
          </w:p>
        </w:tc>
        <w:tc>
          <w:tcPr>
            <w:tcW w:w="8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1,838,155</w:t>
            </w: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9"/>
              </w:rPr>
              <w:t>100.0%</w:t>
            </w:r>
          </w:p>
        </w:tc>
        <w:tc>
          <w:tcPr>
            <w:tcW w:w="8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1,661,186</w:t>
            </w:r>
          </w:p>
        </w:tc>
        <w:tc>
          <w:tcPr>
            <w:tcW w:w="6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1,679,314</w:t>
            </w: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1,550,033</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0" w:type="dxa"/>
            <w:vAlign w:val="bottom"/>
          </w:tcPr>
          <w:p>
            <w:pPr>
              <w:spacing w:after="0"/>
              <w:rPr>
                <w:sz w:val="1"/>
                <w:szCs w:val="1"/>
                <w:color w:val="auto"/>
              </w:rPr>
            </w:pPr>
          </w:p>
        </w:tc>
      </w:tr>
      <w:tr>
        <w:trPr>
          <w:trHeight w:val="208"/>
        </w:trPr>
        <w:tc>
          <w:tcPr>
            <w:tcW w:w="1740" w:type="dxa"/>
            <w:vAlign w:val="bottom"/>
          </w:tcPr>
          <w:p>
            <w:pPr>
              <w:ind w:left="360"/>
              <w:spacing w:after="0"/>
              <w:rPr>
                <w:sz w:val="20"/>
                <w:szCs w:val="20"/>
                <w:color w:val="auto"/>
              </w:rPr>
            </w:pPr>
            <w:r>
              <w:rPr>
                <w:rFonts w:ascii="Arial" w:cs="Arial" w:eastAsia="Arial" w:hAnsi="Arial"/>
                <w:sz w:val="16"/>
                <w:szCs w:val="16"/>
                <w:color w:val="auto"/>
              </w:rPr>
              <w:t>Allowance for loan</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(21,461)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(21,174)</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(24,220)</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(27,940)</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40" w:type="dxa"/>
            <w:vAlign w:val="bottom"/>
          </w:tcPr>
          <w:p>
            <w:pPr>
              <w:ind w:left="540"/>
              <w:spacing w:after="0"/>
              <w:rPr>
                <w:sz w:val="20"/>
                <w:szCs w:val="20"/>
                <w:color w:val="auto"/>
              </w:rPr>
            </w:pPr>
            <w:r>
              <w:rPr>
                <w:rFonts w:ascii="Arial" w:cs="Arial" w:eastAsia="Arial" w:hAnsi="Arial"/>
                <w:sz w:val="16"/>
                <w:szCs w:val="16"/>
                <w:color w:val="auto"/>
              </w:rPr>
              <w:t>losses</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(23,126)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1,934,071</w:t>
            </w:r>
          </w:p>
        </w:tc>
        <w:tc>
          <w:tcPr>
            <w:tcW w:w="18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1,816,694</w:t>
            </w:r>
          </w:p>
        </w:tc>
        <w:tc>
          <w:tcPr>
            <w:tcW w:w="18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1,640,012</w:t>
            </w:r>
          </w:p>
        </w:tc>
        <w:tc>
          <w:tcPr>
            <w:tcW w:w="16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1,655,094</w:t>
            </w: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1,522,093</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4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right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right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right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360"/>
        <w:spacing w:after="0" w:line="263" w:lineRule="auto"/>
        <w:rPr>
          <w:sz w:val="20"/>
          <w:szCs w:val="20"/>
          <w:color w:val="auto"/>
        </w:rPr>
      </w:pPr>
      <w:r>
        <w:rPr>
          <w:rFonts w:ascii="Arial" w:cs="Arial" w:eastAsia="Arial" w:hAnsi="Arial"/>
          <w:sz w:val="18"/>
          <w:szCs w:val="18"/>
          <w:color w:val="auto"/>
        </w:rPr>
        <w:t>Gross loans increased $119.0 million, or 6.5%, to $2.0 billion at December 31, 2018 as compared to $1.8 billion at December 31, 2017. This increase in our loans was due to growth of $81.8 million occurring in the consumer portfolio and $31.1 million in the commercial real estate portfolio.</w:t>
      </w:r>
    </w:p>
    <w:p>
      <w:pPr>
        <w:spacing w:after="0" w:line="76"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The following tables show the contractual maturities of our gross loan portfolio and the distribution between fixed and adjustable interest rate loans at December 31, 2018 and December 31,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left="363"/>
              <w:spacing w:after="0"/>
              <w:rPr>
                <w:sz w:val="20"/>
                <w:szCs w:val="20"/>
                <w:color w:val="auto"/>
              </w:rPr>
            </w:pPr>
            <w:r>
              <w:rPr>
                <w:rFonts w:ascii="Arial" w:cs="Arial" w:eastAsia="Arial" w:hAnsi="Arial"/>
                <w:sz w:val="14"/>
                <w:szCs w:val="14"/>
                <w:b w:val="1"/>
                <w:bCs w:val="1"/>
                <w:color w:val="auto"/>
                <w:w w:val="92"/>
              </w:rPr>
              <w:t>As of December 31, 2018</w:t>
            </w: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5"/>
          </w:tcPr>
          <w:p>
            <w:pPr>
              <w:ind w:left="160"/>
              <w:spacing w:after="0" w:line="160" w:lineRule="exact"/>
              <w:rPr>
                <w:sz w:val="20"/>
                <w:szCs w:val="20"/>
                <w:color w:val="auto"/>
              </w:rPr>
            </w:pPr>
            <w:r>
              <w:rPr>
                <w:rFonts w:ascii="Arial" w:cs="Arial" w:eastAsia="Arial" w:hAnsi="Arial"/>
                <w:sz w:val="14"/>
                <w:szCs w:val="14"/>
                <w:b w:val="1"/>
                <w:bCs w:val="1"/>
                <w:color w:val="auto"/>
              </w:rPr>
              <w:t>Due after One Year</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2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Due in One Year or Less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Through Five Years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w w:val="99"/>
              </w:rPr>
              <w:t>Due after Five Years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ind w:left="80"/>
              <w:spacing w:after="0" w:line="160" w:lineRule="exact"/>
              <w:rPr>
                <w:sz w:val="20"/>
                <w:szCs w:val="20"/>
                <w:color w:val="auto"/>
              </w:rPr>
            </w:pPr>
            <w:r>
              <w:rPr>
                <w:rFonts w:ascii="Arial" w:cs="Arial" w:eastAsia="Arial" w:hAnsi="Arial"/>
                <w:sz w:val="14"/>
                <w:szCs w:val="14"/>
                <w:b w:val="1"/>
                <w:bCs w:val="1"/>
                <w:color w:val="auto"/>
              </w:rPr>
              <w:t>Fixed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81"/>
              <w:spacing w:after="0" w:line="160" w:lineRule="exact"/>
              <w:rPr>
                <w:sz w:val="20"/>
                <w:szCs w:val="20"/>
                <w:color w:val="auto"/>
              </w:rPr>
            </w:pPr>
            <w:r>
              <w:rPr>
                <w:rFonts w:ascii="Arial" w:cs="Arial" w:eastAsia="Arial" w:hAnsi="Arial"/>
                <w:sz w:val="14"/>
                <w:szCs w:val="14"/>
                <w:b w:val="1"/>
                <w:bCs w:val="1"/>
                <w:color w:val="auto"/>
                <w:w w:val="92"/>
              </w:rPr>
              <w:t>Adjustable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Fixed</w:t>
            </w:r>
          </w:p>
        </w:tc>
        <w:tc>
          <w:tcPr>
            <w:tcW w:w="104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4"/>
              </w:rPr>
              <w:t>Adjustable</w:t>
            </w:r>
          </w:p>
        </w:tc>
        <w:tc>
          <w:tcPr>
            <w:tcW w:w="160" w:type="dxa"/>
            <w:vAlign w:val="bottom"/>
          </w:tcPr>
          <w:p>
            <w:pPr>
              <w:spacing w:after="0"/>
              <w:rPr>
                <w:sz w:val="13"/>
                <w:szCs w:val="13"/>
                <w:color w:val="auto"/>
              </w:rPr>
            </w:pPr>
          </w:p>
        </w:tc>
        <w:tc>
          <w:tcPr>
            <w:tcW w:w="78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Fixed</w:t>
            </w:r>
          </w:p>
        </w:tc>
        <w:tc>
          <w:tcPr>
            <w:tcW w:w="104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Adjustable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2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center"/>
              <w:ind w:left="363"/>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45,345</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127,377</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81,068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8,380</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241,796</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538,037</w:t>
            </w:r>
          </w:p>
        </w:tc>
      </w:tr>
      <w:tr>
        <w:trPr>
          <w:trHeight w:val="220"/>
        </w:trPr>
        <w:tc>
          <w:tcPr>
            <w:tcW w:w="2300" w:type="dxa"/>
            <w:vAlign w:val="bottom"/>
          </w:tcPr>
          <w:p>
            <w:pPr>
              <w:spacing w:after="0"/>
              <w:rPr>
                <w:sz w:val="20"/>
                <w:szCs w:val="20"/>
                <w:color w:val="auto"/>
              </w:rPr>
            </w:pPr>
            <w:r>
              <w:rPr>
                <w:rFonts w:ascii="Arial" w:cs="Arial" w:eastAsia="Arial" w:hAnsi="Arial"/>
                <w:sz w:val="16"/>
                <w:szCs w:val="16"/>
                <w:color w:val="auto"/>
              </w:rPr>
              <w:t>Commercial - specialized</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132,050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64,373</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31,684</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8,166</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55,303</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305,022</w:t>
            </w:r>
          </w:p>
        </w:tc>
      </w:tr>
      <w:tr>
        <w:trPr>
          <w:trHeight w:val="239"/>
        </w:trPr>
        <w:tc>
          <w:tcPr>
            <w:tcW w:w="2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37,546</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69,210</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63,962</w:t>
            </w:r>
          </w:p>
        </w:tc>
        <w:tc>
          <w:tcPr>
            <w:tcW w:w="16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11,148</w:t>
            </w:r>
          </w:p>
        </w:tc>
        <w:tc>
          <w:tcPr>
            <w:tcW w:w="2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218,193</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427,728</w:t>
            </w:r>
          </w:p>
        </w:tc>
      </w:tr>
      <w:tr>
        <w:trPr>
          <w:trHeight w:val="220"/>
        </w:trPr>
        <w:tc>
          <w:tcPr>
            <w:tcW w:w="2300" w:type="dxa"/>
            <w:vAlign w:val="bottom"/>
          </w:tcPr>
          <w:p>
            <w:pPr>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63,141</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15,455</w:t>
            </w:r>
          </w:p>
        </w:tc>
        <w:tc>
          <w:tcPr>
            <w:tcW w:w="16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163,841</w:t>
            </w:r>
          </w:p>
        </w:tc>
        <w:tc>
          <w:tcPr>
            <w:tcW w:w="2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73,642</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346,153</w:t>
            </w:r>
          </w:p>
        </w:tc>
      </w:tr>
      <w:tr>
        <w:trPr>
          <w:trHeight w:val="220"/>
        </w:trPr>
        <w:tc>
          <w:tcPr>
            <w:tcW w:w="2300" w:type="dxa"/>
            <w:vAlign w:val="bottom"/>
          </w:tcPr>
          <w:p>
            <w:pPr>
              <w:ind w:left="180"/>
              <w:spacing w:after="0"/>
              <w:rPr>
                <w:sz w:val="20"/>
                <w:szCs w:val="20"/>
                <w:color w:val="auto"/>
              </w:rPr>
            </w:pPr>
            <w:r>
              <w:rPr>
                <w:rFonts w:ascii="Arial" w:cs="Arial" w:eastAsia="Arial" w:hAnsi="Arial"/>
                <w:sz w:val="16"/>
                <w:szCs w:val="16"/>
                <w:color w:val="auto"/>
              </w:rPr>
              <w:t>Auto loans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120,008</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70,463</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191,647</w:t>
            </w:r>
          </w:p>
        </w:tc>
      </w:tr>
      <w:tr>
        <w:trPr>
          <w:trHeight w:val="239"/>
        </w:trPr>
        <w:tc>
          <w:tcPr>
            <w:tcW w:w="2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35,432</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127</w:t>
            </w:r>
          </w:p>
        </w:tc>
        <w:tc>
          <w:tcPr>
            <w:tcW w:w="16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29,377</w:t>
            </w:r>
          </w:p>
        </w:tc>
        <w:tc>
          <w:tcPr>
            <w:tcW w:w="2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70,209</w:t>
            </w:r>
          </w:p>
        </w:tc>
      </w:tr>
      <w:tr>
        <w:trPr>
          <w:trHeight w:val="226"/>
        </w:trPr>
        <w:tc>
          <w:tcPr>
            <w:tcW w:w="2300" w:type="dxa"/>
            <w:vAlign w:val="bottom"/>
          </w:tcPr>
          <w:p>
            <w:pPr>
              <w:spacing w:after="0"/>
              <w:rPr>
                <w:sz w:val="20"/>
                <w:szCs w:val="20"/>
                <w:color w:val="auto"/>
              </w:rPr>
            </w:pPr>
            <w:r>
              <w:rPr>
                <w:rFonts w:ascii="Arial" w:cs="Arial" w:eastAsia="Arial" w:hAnsi="Arial"/>
                <w:sz w:val="16"/>
                <w:szCs w:val="16"/>
                <w:color w:val="auto"/>
              </w:rPr>
              <w:t>Construction</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30,582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6,975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4,591</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12,611</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78,401</w:t>
            </w:r>
          </w:p>
        </w:tc>
      </w:tr>
      <w:tr>
        <w:trPr>
          <w:trHeight w:val="20"/>
        </w:trPr>
        <w:tc>
          <w:tcPr>
            <w:tcW w:w="2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3"/>
        </w:trPr>
        <w:tc>
          <w:tcPr>
            <w:tcW w:w="2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loans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142,389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238,345</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486,516</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196,887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291,375</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601,685</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1,957,197</w:t>
            </w:r>
          </w:p>
        </w:tc>
      </w:tr>
      <w:tr>
        <w:trPr>
          <w:trHeight w:val="27"/>
        </w:trPr>
        <w:tc>
          <w:tcPr>
            <w:tcW w:w="230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15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left="363"/>
              <w:spacing w:after="0"/>
              <w:rPr>
                <w:sz w:val="20"/>
                <w:szCs w:val="20"/>
                <w:color w:val="auto"/>
              </w:rPr>
            </w:pPr>
            <w:r>
              <w:rPr>
                <w:rFonts w:ascii="Arial" w:cs="Arial" w:eastAsia="Arial" w:hAnsi="Arial"/>
                <w:sz w:val="14"/>
                <w:szCs w:val="14"/>
                <w:b w:val="1"/>
                <w:bCs w:val="1"/>
                <w:color w:val="auto"/>
                <w:w w:val="92"/>
              </w:rPr>
              <w:t>As of December 31, 2017</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1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5"/>
          </w:tcPr>
          <w:p>
            <w:pPr>
              <w:ind w:left="160"/>
              <w:spacing w:after="0" w:line="160" w:lineRule="exact"/>
              <w:rPr>
                <w:sz w:val="20"/>
                <w:szCs w:val="20"/>
                <w:color w:val="auto"/>
              </w:rPr>
            </w:pPr>
            <w:r>
              <w:rPr>
                <w:rFonts w:ascii="Arial" w:cs="Arial" w:eastAsia="Arial" w:hAnsi="Arial"/>
                <w:sz w:val="14"/>
                <w:szCs w:val="14"/>
                <w:b w:val="1"/>
                <w:bCs w:val="1"/>
                <w:color w:val="auto"/>
              </w:rPr>
              <w:t>Due after One Year</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Due in One Year or Less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Through Five Years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w w:val="99"/>
              </w:rPr>
              <w:t>Due after Five Years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ind w:left="80"/>
              <w:spacing w:after="0" w:line="160" w:lineRule="exact"/>
              <w:rPr>
                <w:sz w:val="20"/>
                <w:szCs w:val="20"/>
                <w:color w:val="auto"/>
              </w:rPr>
            </w:pPr>
            <w:r>
              <w:rPr>
                <w:rFonts w:ascii="Arial" w:cs="Arial" w:eastAsia="Arial" w:hAnsi="Arial"/>
                <w:sz w:val="14"/>
                <w:szCs w:val="14"/>
                <w:b w:val="1"/>
                <w:bCs w:val="1"/>
                <w:color w:val="auto"/>
              </w:rPr>
              <w:t>Fixed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81"/>
              <w:spacing w:after="0" w:line="160" w:lineRule="exact"/>
              <w:rPr>
                <w:sz w:val="20"/>
                <w:szCs w:val="20"/>
                <w:color w:val="auto"/>
              </w:rPr>
            </w:pPr>
            <w:r>
              <w:rPr>
                <w:rFonts w:ascii="Arial" w:cs="Arial" w:eastAsia="Arial" w:hAnsi="Arial"/>
                <w:sz w:val="14"/>
                <w:szCs w:val="14"/>
                <w:b w:val="1"/>
                <w:bCs w:val="1"/>
                <w:color w:val="auto"/>
                <w:w w:val="92"/>
              </w:rPr>
              <w:t>Adjustable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Fixed</w:t>
            </w:r>
          </w:p>
        </w:tc>
        <w:tc>
          <w:tcPr>
            <w:tcW w:w="104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4"/>
              </w:rPr>
              <w:t>Adjustable</w:t>
            </w:r>
          </w:p>
        </w:tc>
        <w:tc>
          <w:tcPr>
            <w:tcW w:w="160" w:type="dxa"/>
            <w:vAlign w:val="bottom"/>
          </w:tcPr>
          <w:p>
            <w:pPr>
              <w:spacing w:after="0"/>
              <w:rPr>
                <w:sz w:val="13"/>
                <w:szCs w:val="13"/>
                <w:color w:val="auto"/>
              </w:rPr>
            </w:pPr>
          </w:p>
        </w:tc>
        <w:tc>
          <w:tcPr>
            <w:tcW w:w="78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Fixed</w:t>
            </w:r>
          </w:p>
        </w:tc>
        <w:tc>
          <w:tcPr>
            <w:tcW w:w="104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Adjustable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center"/>
              <w:ind w:left="363"/>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2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47,609</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138,497</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55,201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7,949</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223,396</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506,894</w:t>
            </w:r>
          </w:p>
        </w:tc>
      </w:tr>
      <w:tr>
        <w:trPr>
          <w:trHeight w:val="220"/>
        </w:trPr>
        <w:tc>
          <w:tcPr>
            <w:tcW w:w="2300" w:type="dxa"/>
            <w:vAlign w:val="bottom"/>
            <w:gridSpan w:val="2"/>
          </w:tcPr>
          <w:p>
            <w:pPr>
              <w:spacing w:after="0"/>
              <w:rPr>
                <w:sz w:val="20"/>
                <w:szCs w:val="20"/>
                <w:color w:val="auto"/>
              </w:rPr>
            </w:pPr>
            <w:r>
              <w:rPr>
                <w:rFonts w:ascii="Arial" w:cs="Arial" w:eastAsia="Arial" w:hAnsi="Arial"/>
                <w:sz w:val="16"/>
                <w:szCs w:val="16"/>
                <w:color w:val="auto"/>
              </w:rPr>
              <w:t>Commercial - specialized</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15,455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123,435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81,938</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32,816</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10,207</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65,268</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329,119</w:t>
            </w:r>
          </w:p>
        </w:tc>
      </w:tr>
      <w:tr>
        <w:trPr>
          <w:trHeight w:val="239"/>
        </w:trPr>
        <w:tc>
          <w:tcPr>
            <w:tcW w:w="2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23,847</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39,840</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77,026</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58,866</w:t>
            </w:r>
          </w:p>
        </w:tc>
        <w:tc>
          <w:tcPr>
            <w:tcW w:w="16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16,676</w:t>
            </w:r>
          </w:p>
        </w:tc>
        <w:tc>
          <w:tcPr>
            <w:tcW w:w="2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193,802</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410,057</w:t>
            </w:r>
          </w:p>
        </w:tc>
      </w:tr>
      <w:tr>
        <w:trPr>
          <w:trHeight w:val="220"/>
        </w:trPr>
        <w:tc>
          <w:tcPr>
            <w:tcW w:w="2300" w:type="dxa"/>
            <w:vAlign w:val="bottom"/>
            <w:gridSpan w:val="2"/>
          </w:tcPr>
          <w:p>
            <w:pPr>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3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25,136</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52,505</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10,169</w:t>
            </w:r>
          </w:p>
        </w:tc>
        <w:tc>
          <w:tcPr>
            <w:tcW w:w="16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98,003</w:t>
            </w:r>
          </w:p>
        </w:tc>
        <w:tc>
          <w:tcPr>
            <w:tcW w:w="2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124,382</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313,350</w:t>
            </w:r>
          </w:p>
        </w:tc>
      </w:tr>
      <w:tr>
        <w:trPr>
          <w:trHeight w:val="220"/>
        </w:trPr>
        <w:tc>
          <w:tcPr>
            <w:tcW w:w="2300" w:type="dxa"/>
            <w:vAlign w:val="bottom"/>
            <w:gridSpan w:val="2"/>
          </w:tcPr>
          <w:p>
            <w:pPr>
              <w:ind w:left="180"/>
              <w:spacing w:after="0"/>
              <w:rPr>
                <w:sz w:val="20"/>
                <w:szCs w:val="20"/>
                <w:color w:val="auto"/>
              </w:rPr>
            </w:pPr>
            <w:r>
              <w:rPr>
                <w:rFonts w:ascii="Arial" w:cs="Arial" w:eastAsia="Arial" w:hAnsi="Arial"/>
                <w:sz w:val="16"/>
                <w:szCs w:val="16"/>
                <w:color w:val="auto"/>
              </w:rPr>
              <w:t>Auto loans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78,287</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67,263</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146,622</w:t>
            </w:r>
          </w:p>
        </w:tc>
      </w:tr>
      <w:tr>
        <w:trPr>
          <w:trHeight w:val="239"/>
        </w:trPr>
        <w:tc>
          <w:tcPr>
            <w:tcW w:w="23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32,911</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16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28,026</w:t>
            </w:r>
          </w:p>
        </w:tc>
        <w:tc>
          <w:tcPr>
            <w:tcW w:w="2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482</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66,191</w:t>
            </w:r>
          </w:p>
        </w:tc>
      </w:tr>
      <w:tr>
        <w:trPr>
          <w:trHeight w:val="227"/>
        </w:trPr>
        <w:tc>
          <w:tcPr>
            <w:tcW w:w="2300" w:type="dxa"/>
            <w:vAlign w:val="bottom"/>
            <w:gridSpan w:val="2"/>
          </w:tcPr>
          <w:p>
            <w:pPr>
              <w:spacing w:after="0"/>
              <w:rPr>
                <w:sz w:val="20"/>
                <w:szCs w:val="20"/>
                <w:color w:val="auto"/>
              </w:rPr>
            </w:pPr>
            <w:r>
              <w:rPr>
                <w:rFonts w:ascii="Arial" w:cs="Arial" w:eastAsia="Arial" w:hAnsi="Arial"/>
                <w:sz w:val="16"/>
                <w:szCs w:val="16"/>
                <w:color w:val="auto"/>
              </w:rPr>
              <w:t>Construction</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28,833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7,290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127</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1,525</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6,465</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65,922</w:t>
            </w:r>
          </w:p>
        </w:tc>
      </w:tr>
      <w:tr>
        <w:trPr>
          <w:trHeight w:val="20"/>
        </w:trPr>
        <w:tc>
          <w:tcPr>
            <w:tcW w:w="154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3"/>
        </w:trPr>
        <w:tc>
          <w:tcPr>
            <w:tcW w:w="23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loans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145,225</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223,787</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468,454</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157,245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229,649</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613,795</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1,838,155</w:t>
            </w:r>
          </w:p>
        </w:tc>
      </w:tr>
      <w:tr>
        <w:trPr>
          <w:trHeight w:val="27"/>
        </w:trPr>
        <w:tc>
          <w:tcPr>
            <w:tcW w:w="15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The Bank is primarily involved in real estate, commercial, agricultural and consumer lending activities with customers throughout Texas and Eastern New Mexico. We have a collateral concentration as 64.9% of our gross loans were secured by real property as of December 31, 2018, compared to 64.5% as of December 31, 2017.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27.5% of gross loans as of December 31, 2018 and represented 27.6% of gross loans as of December 31, 2017. The ratio of our commercial real estate loans to total capital was 197.8% as of December 31, 2018 and 188.7% as of December 31, 2017, well below the 300% concentration limit included in regulatory guidance. Further, these loans are geographically diversified, primarily throughout the state of Texas as well as Eastern New Mexico.</w:t>
      </w:r>
    </w:p>
    <w:p>
      <w:pPr>
        <w:spacing w:after="0" w:line="74"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80"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i w:val="1"/>
          <w:iCs w:val="1"/>
          <w:color w:val="auto"/>
        </w:rPr>
        <w:t>Commercial Real Estate</w:t>
      </w:r>
      <w:r>
        <w:rPr>
          <w:rFonts w:ascii="Arial" w:cs="Arial" w:eastAsia="Arial" w:hAnsi="Arial"/>
          <w:sz w:val="18"/>
          <w:szCs w:val="18"/>
          <w:color w:val="auto"/>
        </w:rPr>
        <w:t>. Our commercial real estate portfolio includes loans for commercial property that is owned by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88"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Commercial real estate loans increased $31.1 million, or 6.1%, to $538.0 million as of December 31, 2018 from $506.9 million as of December 31, 2017. The increase in commercial real estate loans during this period was mostly driven by a general increase in lending activity, primarily in our Lubbock/South Plains and Dallas markets. As of December 31, 2018, our commercial real estate portfolio was comprised of $394.7 million in non-owner occupied commercial real estate loans and $143.3 million in commercial construction loans.</w:t>
      </w:r>
    </w:p>
    <w:p>
      <w:pPr>
        <w:spacing w:after="0" w:line="80"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i w:val="1"/>
          <w:iCs w:val="1"/>
          <w:color w:val="auto"/>
        </w:rPr>
        <w:t>Commercial – General and Specialized</w:t>
      </w:r>
      <w:r>
        <w:rPr>
          <w:rFonts w:ascii="Arial" w:cs="Arial" w:eastAsia="Arial" w:hAnsi="Arial"/>
          <w:sz w:val="18"/>
          <w:szCs w:val="18"/>
          <w:color w:val="auto"/>
        </w:rPr>
        <w:t>. Commercial loans are underwritten after evaluating and understanding the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w:t>
      </w:r>
    </w:p>
    <w:p>
      <w:pPr>
        <w:spacing w:after="0" w:line="58" w:lineRule="exact"/>
        <w:rPr>
          <w:sz w:val="20"/>
          <w:szCs w:val="20"/>
          <w:color w:val="auto"/>
        </w:rPr>
      </w:pPr>
    </w:p>
    <w:p>
      <w:pPr>
        <w:jc w:val="both"/>
        <w:ind w:right="20" w:firstLine="360"/>
        <w:spacing w:after="0" w:line="311" w:lineRule="auto"/>
        <w:rPr>
          <w:sz w:val="20"/>
          <w:szCs w:val="20"/>
          <w:color w:val="auto"/>
        </w:rPr>
      </w:pPr>
      <w:r>
        <w:rPr>
          <w:rFonts w:ascii="Arial" w:cs="Arial" w:eastAsia="Arial" w:hAnsi="Arial"/>
          <w:sz w:val="16"/>
          <w:szCs w:val="16"/>
          <w:color w:val="auto"/>
        </w:rPr>
        <w:t>Commercial general loans increased $17.7 million, or 4.3%, to $427.7 million as of December 31, 2018 from $410.1 million as of December 31, 2017 due to organic growth in the loan portfolio. As of December 31, 2017, our commercial general portfolio was comprised of $209.2 million in owner-occupied commercial real estate and $218.5 million in other commercial general loans.</w:t>
      </w:r>
    </w:p>
    <w:p>
      <w:pPr>
        <w:spacing w:after="0" w:line="4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Commercial specialized loans decreased $24.1 million, or 7.3%, to $305.0 million as of December 31, 2018 from $329.1 million as of December 31, 2017 as all types of specialized loans decreased in 2018. As of December 31, 2018, our commercial specialized portfolio was comprised of $150.7 million agricultural production loans, $61.8 million in farmland loans, $30.9 million in energy loans, and $61.6 million in finance, investment, and insurance loans.</w:t>
      </w:r>
    </w:p>
    <w:p>
      <w:pPr>
        <w:spacing w:after="0" w:line="79"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i w:val="1"/>
          <w:iCs w:val="1"/>
          <w:color w:val="auto"/>
        </w:rPr>
        <w:t>Consumer</w:t>
      </w:r>
      <w:r>
        <w:rPr>
          <w:rFonts w:ascii="Arial" w:cs="Arial" w:eastAsia="Arial" w:hAnsi="Arial"/>
          <w:sz w:val="17"/>
          <w:szCs w:val="17"/>
          <w:color w:val="auto"/>
        </w:rPr>
        <w:t>. We utilize a computer-based credit scoring analysis to supplement our policies and procedures in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68" w:lineRule="exact"/>
        <w:rPr>
          <w:sz w:val="20"/>
          <w:szCs w:val="20"/>
          <w:color w:val="auto"/>
        </w:rPr>
      </w:pPr>
    </w:p>
    <w:p>
      <w:pPr>
        <w:ind w:right="80" w:firstLine="360"/>
        <w:spacing w:after="0" w:line="301" w:lineRule="auto"/>
        <w:rPr>
          <w:sz w:val="20"/>
          <w:szCs w:val="20"/>
          <w:color w:val="auto"/>
        </w:rPr>
      </w:pPr>
      <w:r>
        <w:rPr>
          <w:rFonts w:ascii="Arial" w:cs="Arial" w:eastAsia="Arial" w:hAnsi="Arial"/>
          <w:sz w:val="16"/>
          <w:szCs w:val="16"/>
          <w:color w:val="auto"/>
        </w:rPr>
        <w:t>Consumer and other loans increased $81.8 million, or 15.6%, to $608.0 million as of December 31, 2018, from $526.2 million as of December 31, 2017. The increases in these loans were primarily a result of expanded lending in the indirect dealer loan portfolio in the Lubbock/South Plains market. As of December 31, 2018, our consumer loan portfolio was comprised of $346.2 million in 1-4 family residential loans, $191.6 million in indirect auto loans, and $70.2 million in other consumer loans.</w:t>
      </w:r>
    </w:p>
    <w:p>
      <w:pPr>
        <w:spacing w:after="0" w:line="49"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i w:val="1"/>
          <w:iCs w:val="1"/>
          <w:color w:val="auto"/>
        </w:rPr>
        <w:t>Construction</w:t>
      </w:r>
      <w:r>
        <w:rPr>
          <w:rFonts w:ascii="Arial" w:cs="Arial" w:eastAsia="Arial" w:hAnsi="Arial"/>
          <w:sz w:val="18"/>
          <w:szCs w:val="18"/>
          <w:color w:val="auto"/>
        </w:rPr>
        <w:t>. Loans for residential construction are for single-family properties to developers, builders, or end-users. These</w:t>
      </w:r>
      <w:r>
        <w:rPr>
          <w:rFonts w:ascii="Arial" w:cs="Arial" w:eastAsia="Arial" w:hAnsi="Arial"/>
          <w:sz w:val="18"/>
          <w:szCs w:val="18"/>
          <w:i w:val="1"/>
          <w:iCs w:val="1"/>
          <w:color w:val="auto"/>
        </w:rPr>
        <w:t xml:space="preserve"> </w:t>
      </w:r>
      <w:r>
        <w:rPr>
          <w:rFonts w:ascii="Arial" w:cs="Arial" w:eastAsia="Arial" w:hAnsi="Arial"/>
          <w:sz w:val="18"/>
          <w:szCs w:val="18"/>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79" w:lineRule="exact"/>
        <w:rPr>
          <w:sz w:val="20"/>
          <w:szCs w:val="20"/>
          <w:color w:val="auto"/>
        </w:rPr>
      </w:pPr>
    </w:p>
    <w:p>
      <w:pPr>
        <w:ind w:right="440" w:firstLine="360"/>
        <w:spacing w:after="0" w:line="342" w:lineRule="auto"/>
        <w:rPr>
          <w:sz w:val="20"/>
          <w:szCs w:val="20"/>
          <w:color w:val="auto"/>
        </w:rPr>
      </w:pPr>
      <w:r>
        <w:rPr>
          <w:rFonts w:ascii="Arial" w:cs="Arial" w:eastAsia="Arial" w:hAnsi="Arial"/>
          <w:sz w:val="16"/>
          <w:szCs w:val="16"/>
          <w:color w:val="auto"/>
        </w:rPr>
        <w:t>Construction loans increased $12.5 million, or 18.9%, to $78.4 million as of December 31, 2018 from $65.9 million as of December 31, 2017. The increase resulted from continued organic growth, especially in our Lubbock/South Plains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Participations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normal course of business, the Company periodically sells participating interests in loans to other banks and investors.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All participations are sold on a proportionate (pro-rata) basis with all cash flows divided proportionately among the participating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holders in an amount subordinate to the interest of another and no party has the right to pledge or exchange the entire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asset without the consent of all the participating interest holders. Other than standard 90-day prepayment provisions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standard representations and warranties, participating interests are sold without recourse. At December 31, 2018 and 2017,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portion of loans participated to third-parties (which are not included in the accompanying consolidated balance sheets)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$106.5 million and $88.1 million, respectively. At December 31, 2018 and 2017, purchased loan participations totaled $37.7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$53.7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117" w:lineRule="exact"/>
        <w:rPr>
          <w:sz w:val="20"/>
          <w:szCs w:val="20"/>
          <w:color w:val="auto"/>
        </w:rPr>
      </w:pPr>
    </w:p>
    <w:p>
      <w:pPr>
        <w:ind w:right="620" w:firstLine="360"/>
        <w:spacing w:after="0" w:line="263" w:lineRule="auto"/>
        <w:rPr>
          <w:sz w:val="20"/>
          <w:szCs w:val="20"/>
          <w:color w:val="auto"/>
        </w:rPr>
      </w:pPr>
      <w:r>
        <w:rPr>
          <w:rFonts w:ascii="Arial" w:cs="Arial" w:eastAsia="Arial" w:hAnsi="Arial"/>
          <w:sz w:val="18"/>
          <w:szCs w:val="18"/>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auditors.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6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To determine the adequacy of the allowance,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77"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The allowance for loan losses was $23.1 million at December 31, 2018 compared to $21.5 million at December 31, 2017, an increase of $1.7 million, or 7.8%. The increase was primarily due to an increase in the overall size of the loan portfolio.</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an analysis of the allowance for loan losses at the dates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2"/>
              </w:rPr>
              <w:t>As of December 31,</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4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5"/>
                <w:szCs w:val="15"/>
                <w:color w:val="auto"/>
              </w:rPr>
            </w:pPr>
          </w:p>
        </w:tc>
      </w:tr>
      <w:tr>
        <w:trPr>
          <w:trHeight w:val="183"/>
        </w:trPr>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6"/>
          </w:tcPr>
          <w:p>
            <w:pPr>
              <w:jc w:val="right"/>
              <w:ind w:right="14"/>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64"/>
        </w:trPr>
        <w:tc>
          <w:tcPr>
            <w:tcW w:w="456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Average loans outstanding</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1,921,221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1,790,201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1,689,915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1,655,441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1,474,519</w:t>
            </w:r>
          </w:p>
        </w:tc>
      </w:tr>
      <w:tr>
        <w:trPr>
          <w:trHeight w:val="229"/>
        </w:trPr>
        <w:tc>
          <w:tcPr>
            <w:tcW w:w="456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63"/>
        </w:trPr>
        <w:tc>
          <w:tcPr>
            <w:tcW w:w="4560" w:type="dxa"/>
            <w:vAlign w:val="bottom"/>
            <w:tcBorders>
              <w:right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Gross loans outstanding at end of period</w:t>
            </w:r>
            <w:r>
              <w:rPr>
                <w:rFonts w:ascii="Arial" w:cs="Arial" w:eastAsia="Arial" w:hAnsi="Arial"/>
                <w:sz w:val="25"/>
                <w:szCs w:val="25"/>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1,957,197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1,838,155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1,661,186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2"/>
              </w:rPr>
              <w:t>1,679,314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1,550,033</w:t>
            </w:r>
          </w:p>
        </w:tc>
      </w:tr>
      <w:tr>
        <w:trPr>
          <w:trHeight w:val="230"/>
        </w:trPr>
        <w:tc>
          <w:tcPr>
            <w:tcW w:w="456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30"/>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Allowance for loan losses at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21,461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21,174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24,220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27,940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29,082</w:t>
            </w:r>
          </w:p>
        </w:tc>
      </w:tr>
      <w:tr>
        <w:trPr>
          <w:trHeight w:val="223"/>
        </w:trPr>
        <w:tc>
          <w:tcPr>
            <w:tcW w:w="4560" w:type="dxa"/>
            <w:vAlign w:val="bottom"/>
          </w:tcPr>
          <w:p>
            <w:pPr>
              <w:spacing w:after="0"/>
              <w:rPr>
                <w:sz w:val="20"/>
                <w:szCs w:val="20"/>
                <w:color w:val="auto"/>
              </w:rPr>
            </w:pPr>
            <w:r>
              <w:rPr>
                <w:rFonts w:ascii="Arial" w:cs="Arial" w:eastAsia="Arial" w:hAnsi="Arial"/>
                <w:sz w:val="17"/>
                <w:szCs w:val="17"/>
                <w:color w:val="auto"/>
              </w:rPr>
              <w:t>Charge offs: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4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Commercial real estate</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1,540</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3,554</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192</w:t>
            </w:r>
          </w:p>
        </w:tc>
      </w:tr>
      <w:tr>
        <w:trPr>
          <w:trHeight w:val="223"/>
        </w:trPr>
        <w:tc>
          <w:tcPr>
            <w:tcW w:w="4560" w:type="dxa"/>
            <w:vAlign w:val="bottom"/>
          </w:tcPr>
          <w:p>
            <w:pPr>
              <w:ind w:left="180"/>
              <w:spacing w:after="0"/>
              <w:rPr>
                <w:sz w:val="20"/>
                <w:szCs w:val="20"/>
                <w:color w:val="auto"/>
              </w:rPr>
            </w:pPr>
            <w:r>
              <w:rPr>
                <w:rFonts w:ascii="Arial" w:cs="Arial" w:eastAsia="Arial" w:hAnsi="Arial"/>
                <w:sz w:val="17"/>
                <w:szCs w:val="17"/>
                <w:color w:val="auto"/>
              </w:rPr>
              <w:t>Commercial – specialized</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115</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173</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2,429</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493</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325</w:t>
            </w:r>
          </w:p>
        </w:tc>
      </w:tr>
      <w:tr>
        <w:trPr>
          <w:trHeight w:val="236"/>
        </w:trPr>
        <w:tc>
          <w:tcPr>
            <w:tcW w:w="4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Commercial – general</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4,291</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2,658</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2,143</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1,685</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1,255</w:t>
            </w:r>
          </w:p>
        </w:tc>
      </w:tr>
      <w:tr>
        <w:trPr>
          <w:trHeight w:val="223"/>
        </w:trPr>
        <w:tc>
          <w:tcPr>
            <w:tcW w:w="4560" w:type="dxa"/>
            <w:vAlign w:val="bottom"/>
          </w:tcPr>
          <w:p>
            <w:pPr>
              <w:ind w:left="180"/>
              <w:spacing w:after="0"/>
              <w:rPr>
                <w:sz w:val="20"/>
                <w:szCs w:val="20"/>
                <w:color w:val="auto"/>
              </w:rPr>
            </w:pPr>
            <w:r>
              <w:rPr>
                <w:rFonts w:ascii="Arial" w:cs="Arial" w:eastAsia="Arial" w:hAnsi="Arial"/>
                <w:sz w:val="17"/>
                <w:szCs w:val="17"/>
                <w:color w:val="auto"/>
              </w:rPr>
              <w:t>Consumer:</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6"/>
        </w:trPr>
        <w:tc>
          <w:tcPr>
            <w:tcW w:w="4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1-4 family residential</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387</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667</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429</w:t>
            </w:r>
          </w:p>
        </w:tc>
      </w:tr>
      <w:tr>
        <w:trPr>
          <w:trHeight w:val="223"/>
        </w:trPr>
        <w:tc>
          <w:tcPr>
            <w:tcW w:w="4560" w:type="dxa"/>
            <w:vAlign w:val="bottom"/>
          </w:tcPr>
          <w:p>
            <w:pPr>
              <w:ind w:left="360"/>
              <w:spacing w:after="0"/>
              <w:rPr>
                <w:sz w:val="20"/>
                <w:szCs w:val="20"/>
                <w:color w:val="auto"/>
              </w:rPr>
            </w:pPr>
            <w:r>
              <w:rPr>
                <w:rFonts w:ascii="Arial" w:cs="Arial" w:eastAsia="Arial" w:hAnsi="Arial"/>
                <w:sz w:val="17"/>
                <w:szCs w:val="17"/>
                <w:color w:val="auto"/>
              </w:rPr>
              <w:t>Auto loans</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972</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875</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656</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348</w:t>
            </w:r>
          </w:p>
        </w:tc>
      </w:tr>
      <w:tr>
        <w:trPr>
          <w:trHeight w:val="236"/>
        </w:trPr>
        <w:tc>
          <w:tcPr>
            <w:tcW w:w="4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consumer</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941</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1,495</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1,281</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1,424</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806</w:t>
            </w:r>
          </w:p>
        </w:tc>
      </w:tr>
      <w:tr>
        <w:trPr>
          <w:trHeight w:val="228"/>
        </w:trPr>
        <w:tc>
          <w:tcPr>
            <w:tcW w:w="4560" w:type="dxa"/>
            <w:vAlign w:val="bottom"/>
          </w:tcPr>
          <w:p>
            <w:pPr>
              <w:ind w:left="180"/>
              <w:spacing w:after="0"/>
              <w:rPr>
                <w:sz w:val="20"/>
                <w:szCs w:val="20"/>
                <w:color w:val="auto"/>
              </w:rPr>
            </w:pPr>
            <w:r>
              <w:rPr>
                <w:rFonts w:ascii="Arial" w:cs="Arial" w:eastAsia="Arial" w:hAnsi="Arial"/>
                <w:sz w:val="17"/>
                <w:szCs w:val="17"/>
                <w:color w:val="auto"/>
              </w:rPr>
              <w:t>Construction</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45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5"/>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charge-offs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8,193</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3,355</w:t>
            </w:r>
          </w:p>
        </w:tc>
      </w:tr>
      <w:tr>
        <w:trPr>
          <w:trHeight w:val="230"/>
        </w:trPr>
        <w:tc>
          <w:tcPr>
            <w:tcW w:w="4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Recoveries: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7"/>
                <w:szCs w:val="17"/>
                <w:color w:val="auto"/>
              </w:rPr>
              <w:t>Commercial real estate</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1,622</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103</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685</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2,463</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192</w:t>
            </w:r>
          </w:p>
        </w:tc>
      </w:tr>
      <w:tr>
        <w:trPr>
          <w:trHeight w:val="236"/>
        </w:trPr>
        <w:tc>
          <w:tcPr>
            <w:tcW w:w="4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Commercial – specialized</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87</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790</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235</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w:t>
            </w:r>
          </w:p>
        </w:tc>
      </w:tr>
      <w:tr>
        <w:trPr>
          <w:trHeight w:val="223"/>
        </w:trPr>
        <w:tc>
          <w:tcPr>
            <w:tcW w:w="4560" w:type="dxa"/>
            <w:vAlign w:val="bottom"/>
          </w:tcPr>
          <w:p>
            <w:pPr>
              <w:ind w:left="180"/>
              <w:spacing w:after="0"/>
              <w:rPr>
                <w:sz w:val="20"/>
                <w:szCs w:val="20"/>
                <w:color w:val="auto"/>
              </w:rPr>
            </w:pPr>
            <w:r>
              <w:rPr>
                <w:rFonts w:ascii="Arial" w:cs="Arial" w:eastAsia="Arial" w:hAnsi="Arial"/>
                <w:sz w:val="17"/>
                <w:szCs w:val="17"/>
                <w:color w:val="auto"/>
              </w:rPr>
              <w:t>Commercial – general</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774</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567</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495</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833</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877</w:t>
            </w:r>
          </w:p>
        </w:tc>
      </w:tr>
      <w:tr>
        <w:trPr>
          <w:trHeight w:val="236"/>
        </w:trPr>
        <w:tc>
          <w:tcPr>
            <w:tcW w:w="4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Consumer:</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4560" w:type="dxa"/>
            <w:vAlign w:val="bottom"/>
          </w:tcPr>
          <w:p>
            <w:pPr>
              <w:ind w:left="360"/>
              <w:spacing w:after="0"/>
              <w:rPr>
                <w:sz w:val="20"/>
                <w:szCs w:val="20"/>
                <w:color w:val="auto"/>
              </w:rPr>
            </w:pPr>
            <w:r>
              <w:rPr>
                <w:rFonts w:ascii="Arial" w:cs="Arial" w:eastAsia="Arial" w:hAnsi="Arial"/>
                <w:sz w:val="17"/>
                <w:szCs w:val="17"/>
                <w:color w:val="auto"/>
              </w:rPr>
              <w:t>1-4 family residential</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80</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37</w:t>
            </w:r>
          </w:p>
        </w:tc>
      </w:tr>
      <w:tr>
        <w:trPr>
          <w:trHeight w:val="236"/>
        </w:trPr>
        <w:tc>
          <w:tcPr>
            <w:tcW w:w="45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Auto loans</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w:t>
            </w:r>
          </w:p>
        </w:tc>
      </w:tr>
      <w:tr>
        <w:trPr>
          <w:trHeight w:val="223"/>
        </w:trPr>
        <w:tc>
          <w:tcPr>
            <w:tcW w:w="4560" w:type="dxa"/>
            <w:vAlign w:val="bottom"/>
          </w:tcPr>
          <w:p>
            <w:pPr>
              <w:ind w:left="360"/>
              <w:spacing w:after="0"/>
              <w:rPr>
                <w:sz w:val="20"/>
                <w:szCs w:val="20"/>
                <w:color w:val="auto"/>
              </w:rPr>
            </w:pPr>
            <w:r>
              <w:rPr>
                <w:rFonts w:ascii="Arial" w:cs="Arial" w:eastAsia="Arial" w:hAnsi="Arial"/>
                <w:sz w:val="17"/>
                <w:szCs w:val="17"/>
                <w:color w:val="auto"/>
              </w:rPr>
              <w:t>Other consumer</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188</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238</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260</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225</w:t>
            </w:r>
          </w:p>
        </w:tc>
      </w:tr>
      <w:tr>
        <w:trPr>
          <w:trHeight w:val="234"/>
        </w:trPr>
        <w:tc>
          <w:tcPr>
            <w:tcW w:w="45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Construction</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45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2"/>
        </w:trPr>
        <w:tc>
          <w:tcPr>
            <w:tcW w:w="4560" w:type="dxa"/>
            <w:vAlign w:val="bottom"/>
          </w:tcPr>
          <w:p>
            <w:pPr>
              <w:spacing w:after="0"/>
              <w:rPr>
                <w:sz w:val="20"/>
                <w:szCs w:val="20"/>
                <w:color w:val="auto"/>
              </w:rPr>
            </w:pPr>
            <w:r>
              <w:rPr>
                <w:rFonts w:ascii="Arial" w:cs="Arial" w:eastAsia="Arial" w:hAnsi="Arial"/>
                <w:sz w:val="17"/>
                <w:szCs w:val="17"/>
                <w:color w:val="auto"/>
              </w:rPr>
              <w:t>Total recoveries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3,692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1,564</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4300" w:type="dxa"/>
            <w:vAlign w:val="bottom"/>
            <w:gridSpan w:val="4"/>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1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gridSpan w:val="9"/>
          </w:tcPr>
          <w:p>
            <w:pPr>
              <w:jc w:val="center"/>
              <w:ind w:right="74"/>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8"/>
        </w:trPr>
        <w:tc>
          <w:tcPr>
            <w:tcW w:w="430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Net charge-offs</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(5,236)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8"/>
              <w:spacing w:after="0"/>
              <w:rPr>
                <w:sz w:val="20"/>
                <w:szCs w:val="20"/>
                <w:color w:val="auto"/>
              </w:rPr>
            </w:pPr>
            <w:r>
              <w:rPr>
                <w:rFonts w:ascii="Arial" w:cs="Arial" w:eastAsia="Arial" w:hAnsi="Arial"/>
                <w:sz w:val="17"/>
                <w:szCs w:val="17"/>
                <w:color w:val="auto"/>
              </w:rPr>
              <w:t>(3,679)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(5,015)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(4,501)</w:t>
            </w:r>
          </w:p>
        </w:tc>
        <w:tc>
          <w:tcPr>
            <w:tcW w:w="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(1,791)</w:t>
            </w:r>
          </w:p>
        </w:tc>
      </w:tr>
      <w:tr>
        <w:trPr>
          <w:trHeight w:val="225"/>
        </w:trPr>
        <w:tc>
          <w:tcPr>
            <w:tcW w:w="1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74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8"/>
        </w:trPr>
        <w:tc>
          <w:tcPr>
            <w:tcW w:w="4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Provision for loan losses</w:t>
            </w:r>
          </w:p>
        </w:tc>
        <w:tc>
          <w:tcPr>
            <w:tcW w:w="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6,901</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3,966</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4300" w:type="dxa"/>
            <w:vAlign w:val="bottom"/>
            <w:gridSpan w:val="4"/>
          </w:tcPr>
          <w:p>
            <w:pPr>
              <w:spacing w:after="0"/>
              <w:rPr>
                <w:sz w:val="20"/>
                <w:szCs w:val="20"/>
                <w:color w:val="auto"/>
              </w:rPr>
            </w:pPr>
            <w:r>
              <w:rPr>
                <w:rFonts w:ascii="Arial" w:cs="Arial" w:eastAsia="Arial" w:hAnsi="Arial"/>
                <w:sz w:val="17"/>
                <w:szCs w:val="17"/>
                <w:color w:val="auto"/>
              </w:rPr>
              <w:t>Balance at end of period</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   23,126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21,461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21,174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24,220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   27,940</w:t>
            </w:r>
          </w:p>
        </w:tc>
        <w:tc>
          <w:tcPr>
            <w:tcW w:w="100" w:type="dxa"/>
            <w:vAlign w:val="bottom"/>
          </w:tcPr>
          <w:p>
            <w:pPr>
              <w:spacing w:after="0"/>
              <w:rPr>
                <w:sz w:val="18"/>
                <w:szCs w:val="18"/>
                <w:color w:val="auto"/>
              </w:rPr>
            </w:pPr>
          </w:p>
        </w:tc>
      </w:tr>
      <w:tr>
        <w:trPr>
          <w:trHeight w:val="28"/>
        </w:trPr>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300" w:type="dxa"/>
            <w:vAlign w:val="bottom"/>
            <w:gridSpan w:val="4"/>
          </w:tcPr>
          <w:p>
            <w:pPr>
              <w:spacing w:after="0" w:line="230" w:lineRule="exact"/>
              <w:rPr>
                <w:sz w:val="20"/>
                <w:szCs w:val="20"/>
                <w:color w:val="auto"/>
              </w:rPr>
            </w:pPr>
            <w:r>
              <w:rPr>
                <w:rFonts w:ascii="Arial" w:cs="Arial" w:eastAsia="Arial" w:hAnsi="Arial"/>
                <w:sz w:val="16"/>
                <w:szCs w:val="16"/>
                <w:color w:val="auto"/>
              </w:rPr>
              <w:t>Ratio of allowance to end of period loans</w:t>
            </w:r>
            <w:r>
              <w:rPr>
                <w:rFonts w:ascii="Arial" w:cs="Arial" w:eastAsia="Arial" w:hAnsi="Arial"/>
                <w:sz w:val="26"/>
                <w:szCs w:val="26"/>
                <w:color w:val="auto"/>
                <w:vertAlign w:val="superscript"/>
              </w:rPr>
              <w:t>(2)</w:t>
            </w:r>
          </w:p>
        </w:tc>
        <w:tc>
          <w:tcPr>
            <w:tcW w:w="1060" w:type="dxa"/>
            <w:vAlign w:val="bottom"/>
            <w:gridSpan w:val="3"/>
          </w:tcPr>
          <w:p>
            <w:pPr>
              <w:jc w:val="right"/>
              <w:ind w:right="80"/>
              <w:spacing w:after="0"/>
              <w:rPr>
                <w:sz w:val="20"/>
                <w:szCs w:val="20"/>
                <w:color w:val="auto"/>
              </w:rPr>
            </w:pPr>
            <w:r>
              <w:rPr>
                <w:rFonts w:ascii="Arial" w:cs="Arial" w:eastAsia="Arial" w:hAnsi="Arial"/>
                <w:sz w:val="17"/>
                <w:szCs w:val="17"/>
                <w:color w:val="auto"/>
              </w:rPr>
              <w:t>1.18%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7"/>
                <w:szCs w:val="17"/>
                <w:color w:val="auto"/>
              </w:rPr>
              <w:t>1.17%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1.27%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1.44%</w:t>
            </w:r>
          </w:p>
        </w:tc>
        <w:tc>
          <w:tcPr>
            <w:tcW w:w="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1.80%</w:t>
            </w:r>
          </w:p>
        </w:tc>
      </w:tr>
      <w:tr>
        <w:trPr>
          <w:trHeight w:val="229"/>
        </w:trPr>
        <w:tc>
          <w:tcPr>
            <w:tcW w:w="4300" w:type="dxa"/>
            <w:vAlign w:val="bottom"/>
            <w:gridSpan w:val="4"/>
            <w:shd w:val="clear" w:color="auto" w:fill="CCEEFF"/>
          </w:tcPr>
          <w:p>
            <w:pPr>
              <w:spacing w:after="0" w:line="230" w:lineRule="exact"/>
              <w:rPr>
                <w:sz w:val="20"/>
                <w:szCs w:val="20"/>
                <w:color w:val="auto"/>
              </w:rPr>
            </w:pPr>
            <w:r>
              <w:rPr>
                <w:rFonts w:ascii="Arial" w:cs="Arial" w:eastAsia="Arial" w:hAnsi="Arial"/>
                <w:sz w:val="16"/>
                <w:szCs w:val="16"/>
                <w:color w:val="auto"/>
              </w:rPr>
              <w:t>Ratio of net charge-offs to average loans</w:t>
            </w:r>
            <w:r>
              <w:rPr>
                <w:rFonts w:ascii="Arial" w:cs="Arial" w:eastAsia="Arial" w:hAnsi="Arial"/>
                <w:sz w:val="26"/>
                <w:szCs w:val="26"/>
                <w:color w:val="auto"/>
                <w:vertAlign w:val="superscript"/>
              </w:rPr>
              <w:t>(1)</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0.27%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
              <w:spacing w:after="0"/>
              <w:rPr>
                <w:sz w:val="20"/>
                <w:szCs w:val="20"/>
                <w:color w:val="auto"/>
              </w:rPr>
            </w:pPr>
            <w:r>
              <w:rPr>
                <w:rFonts w:ascii="Arial" w:cs="Arial" w:eastAsia="Arial" w:hAnsi="Arial"/>
                <w:sz w:val="17"/>
                <w:szCs w:val="17"/>
                <w:color w:val="auto"/>
              </w:rPr>
              <w:t>0.21%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0.30%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0.27%</w:t>
            </w:r>
          </w:p>
        </w:tc>
        <w:tc>
          <w:tcPr>
            <w:tcW w:w="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0.12%</w:t>
            </w:r>
          </w:p>
        </w:tc>
      </w:tr>
      <w:tr>
        <w:trPr>
          <w:trHeight w:val="189"/>
        </w:trPr>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60" w:right="60" w:hanging="355"/>
        <w:spacing w:after="0" w:line="273" w:lineRule="auto"/>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average outstanding balances of loans held for sale of $23.2 million, $23.1 million, $30.4 million, $32.5 million and $14.2 million for the years ended December 31, 2018, 2017, 2016, 2015 and 2014, respectively.</w:t>
      </w:r>
    </w:p>
    <w:p>
      <w:pPr>
        <w:spacing w:after="0" w:line="65" w:lineRule="exact"/>
        <w:rPr>
          <w:rFonts w:ascii="Arial" w:cs="Arial" w:eastAsia="Arial" w:hAnsi="Arial"/>
          <w:sz w:val="14"/>
          <w:szCs w:val="14"/>
          <w:color w:val="auto"/>
        </w:rPr>
      </w:pPr>
    </w:p>
    <w:p>
      <w:pPr>
        <w:ind w:left="360" w:right="320" w:hanging="355"/>
        <w:spacing w:after="0" w:line="273" w:lineRule="auto"/>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Excludes loans held for sale of $38.4 million, $29.3 million, $25.8 million, $43.4 million and $14.9 million for the years ended December 31, 2018, 2017, 2016, 2015 and 2014, respectively.</w:t>
      </w:r>
    </w:p>
    <w:p>
      <w:pPr>
        <w:spacing w:after="0" w:line="57" w:lineRule="exact"/>
        <w:rPr>
          <w:sz w:val="20"/>
          <w:szCs w:val="20"/>
          <w:color w:val="auto"/>
        </w:rPr>
      </w:pPr>
    </w:p>
    <w:p>
      <w:pPr>
        <w:ind w:right="80" w:firstLine="360"/>
        <w:spacing w:after="0" w:line="263" w:lineRule="auto"/>
        <w:rPr>
          <w:sz w:val="20"/>
          <w:szCs w:val="20"/>
          <w:color w:val="auto"/>
        </w:rPr>
      </w:pPr>
      <w:r>
        <w:rPr>
          <w:rFonts w:ascii="Arial" w:cs="Arial" w:eastAsia="Arial" w:hAnsi="Arial"/>
          <w:sz w:val="18"/>
          <w:szCs w:val="18"/>
          <w:color w:val="auto"/>
        </w:rPr>
        <w:t>Net charge-offs for 2018 totaled $5.2 million, an increase of $1.5 million from 2017 primarily due to increases in net charge-offs for general commercial loans of $1.4 million and specialized commercial loans of $645,000, offset by a decrease in net charge-offs for consumer loans of $532,000.</w:t>
      </w:r>
    </w:p>
    <w:p>
      <w:pPr>
        <w:spacing w:after="0" w:line="76" w:lineRule="exact"/>
        <w:rPr>
          <w:sz w:val="20"/>
          <w:szCs w:val="20"/>
          <w:color w:val="auto"/>
        </w:rPr>
      </w:pPr>
    </w:p>
    <w:p>
      <w:pPr>
        <w:ind w:right="260" w:firstLine="360"/>
        <w:spacing w:after="0" w:line="263" w:lineRule="auto"/>
        <w:rPr>
          <w:sz w:val="20"/>
          <w:szCs w:val="20"/>
          <w:color w:val="auto"/>
        </w:rPr>
      </w:pPr>
      <w:r>
        <w:rPr>
          <w:rFonts w:ascii="Arial" w:cs="Arial" w:eastAsia="Arial" w:hAnsi="Arial"/>
          <w:sz w:val="18"/>
          <w:szCs w:val="18"/>
          <w:color w:val="auto"/>
        </w:rPr>
        <w:t>While the entire allowance is available to absorb losses from any part of our loan portfolio, the following table sets forth the allocation of the allowance for loan losses for the years presented and the percentage of allowance in each classification to total allowance: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5"/>
              </w:rPr>
              <w:t>As of 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2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73"/>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 of</w:t>
            </w:r>
          </w:p>
        </w:tc>
      </w:tr>
      <w:tr>
        <w:trPr>
          <w:trHeight w:val="171"/>
        </w:trPr>
        <w:tc>
          <w:tcPr>
            <w:tcW w:w="2300" w:type="dxa"/>
            <w:vAlign w:val="bottom"/>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9"/>
              </w:rPr>
              <w:t>(Dollars in thousands)</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5,579</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3,769</w:t>
            </w: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4,049</w:t>
            </w: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8,457</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34.9%</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$ 15,483</w:t>
            </w: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20"/>
        </w:trPr>
        <w:tc>
          <w:tcPr>
            <w:tcW w:w="2300" w:type="dxa"/>
            <w:vAlign w:val="bottom"/>
          </w:tcPr>
          <w:p>
            <w:pPr>
              <w:spacing w:after="0"/>
              <w:rPr>
                <w:sz w:val="20"/>
                <w:szCs w:val="20"/>
                <w:color w:val="auto"/>
              </w:rPr>
            </w:pPr>
            <w:r>
              <w:rPr>
                <w:rFonts w:ascii="Arial" w:cs="Arial" w:eastAsia="Arial" w:hAnsi="Arial"/>
                <w:sz w:val="16"/>
                <w:szCs w:val="16"/>
                <w:color w:val="auto"/>
              </w:rPr>
              <w:t>Commercial – specialized</w:t>
            </w: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2,516</w:t>
            </w:r>
          </w:p>
        </w:tc>
        <w:tc>
          <w:tcPr>
            <w:tcW w:w="420" w:type="dxa"/>
            <w:vAlign w:val="bottom"/>
          </w:tcPr>
          <w:p>
            <w:pPr>
              <w:jc w:val="right"/>
              <w:spacing w:after="0"/>
              <w:rPr>
                <w:sz w:val="20"/>
                <w:szCs w:val="20"/>
                <w:color w:val="auto"/>
              </w:rPr>
            </w:pPr>
            <w:r>
              <w:rPr>
                <w:rFonts w:ascii="Arial" w:cs="Arial" w:eastAsia="Arial" w:hAnsi="Arial"/>
                <w:sz w:val="16"/>
                <w:szCs w:val="16"/>
                <w:color w:val="auto"/>
              </w:rPr>
              <w:t>10.9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2,367</w:t>
            </w:r>
          </w:p>
        </w:tc>
        <w:tc>
          <w:tcPr>
            <w:tcW w:w="420" w:type="dxa"/>
            <w:vAlign w:val="bottom"/>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3,474</w:t>
            </w:r>
          </w:p>
        </w:tc>
        <w:tc>
          <w:tcPr>
            <w:tcW w:w="400" w:type="dxa"/>
            <w:vAlign w:val="bottom"/>
          </w:tcPr>
          <w:p>
            <w:pPr>
              <w:jc w:val="right"/>
              <w:spacing w:after="0"/>
              <w:rPr>
                <w:sz w:val="20"/>
                <w:szCs w:val="20"/>
                <w:color w:val="auto"/>
              </w:rPr>
            </w:pPr>
            <w:r>
              <w:rPr>
                <w:rFonts w:ascii="Arial" w:cs="Arial" w:eastAsia="Arial" w:hAnsi="Arial"/>
                <w:sz w:val="16"/>
                <w:szCs w:val="16"/>
                <w:color w:val="auto"/>
              </w:rPr>
              <w:t>16.4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3,411</w:t>
            </w:r>
          </w:p>
        </w:tc>
        <w:tc>
          <w:tcPr>
            <w:tcW w:w="42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1,120</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9"/>
                <w:szCs w:val="19"/>
                <w:color w:val="auto"/>
              </w:rPr>
            </w:pPr>
          </w:p>
        </w:tc>
      </w:tr>
      <w:tr>
        <w:trPr>
          <w:trHeight w:val="239"/>
        </w:trPr>
        <w:tc>
          <w:tcPr>
            <w:tcW w:w="2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 – general</w:t>
            </w: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8,173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3"/>
              </w:rPr>
              <w:t>10,151</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9,589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9,117</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7,676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40" w:type="dxa"/>
            <w:vAlign w:val="bottom"/>
            <w:tcBorders>
              <w:left w:val="single" w:sz="8" w:color="CCEEFF"/>
            </w:tcBorders>
            <w:shd w:val="clear" w:color="auto" w:fill="CCEEFF"/>
          </w:tcPr>
          <w:p>
            <w:pPr>
              <w:spacing w:after="0"/>
              <w:rPr>
                <w:sz w:val="20"/>
                <w:szCs w:val="20"/>
                <w:color w:val="auto"/>
              </w:rPr>
            </w:pPr>
          </w:p>
        </w:tc>
      </w:tr>
      <w:tr>
        <w:trPr>
          <w:trHeight w:val="220"/>
        </w:trPr>
        <w:tc>
          <w:tcPr>
            <w:tcW w:w="2300" w:type="dxa"/>
            <w:vAlign w:val="bottom"/>
          </w:tcPr>
          <w:p>
            <w:pPr>
              <w:spacing w:after="0"/>
              <w:rPr>
                <w:sz w:val="20"/>
                <w:szCs w:val="20"/>
                <w:color w:val="auto"/>
              </w:rPr>
            </w:pPr>
            <w:r>
              <w:rPr>
                <w:rFonts w:ascii="Arial" w:cs="Arial" w:eastAsia="Arial" w:hAnsi="Arial"/>
                <w:sz w:val="16"/>
                <w:szCs w:val="16"/>
                <w:color w:val="auto"/>
              </w:rPr>
              <w:t>Consumer:</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2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1-4 family residential</w:t>
            </w: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2,249</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1,787</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1,555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1,619</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2,682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40" w:type="dxa"/>
            <w:vAlign w:val="bottom"/>
            <w:tcBorders>
              <w:left w:val="single" w:sz="8" w:color="CCEEFF"/>
            </w:tcBorders>
            <w:shd w:val="clear" w:color="auto" w:fill="CCEEFF"/>
          </w:tcPr>
          <w:p>
            <w:pPr>
              <w:spacing w:after="0"/>
              <w:rPr>
                <w:sz w:val="20"/>
                <w:szCs w:val="20"/>
                <w:color w:val="auto"/>
              </w:rPr>
            </w:pPr>
          </w:p>
        </w:tc>
      </w:tr>
      <w:tr>
        <w:trPr>
          <w:trHeight w:val="220"/>
        </w:trPr>
        <w:tc>
          <w:tcPr>
            <w:tcW w:w="2300" w:type="dxa"/>
            <w:vAlign w:val="bottom"/>
          </w:tcPr>
          <w:p>
            <w:pPr>
              <w:ind w:left="180"/>
              <w:spacing w:after="0"/>
              <w:rPr>
                <w:sz w:val="20"/>
                <w:szCs w:val="20"/>
                <w:color w:val="auto"/>
              </w:rPr>
            </w:pPr>
            <w:r>
              <w:rPr>
                <w:rFonts w:ascii="Arial" w:cs="Arial" w:eastAsia="Arial" w:hAnsi="Arial"/>
                <w:sz w:val="16"/>
                <w:szCs w:val="16"/>
                <w:color w:val="auto"/>
              </w:rPr>
              <w:t>Auto loans</w:t>
            </w: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2,994</w:t>
            </w:r>
          </w:p>
        </w:tc>
        <w:tc>
          <w:tcPr>
            <w:tcW w:w="420" w:type="dxa"/>
            <w:vAlign w:val="bottom"/>
          </w:tcPr>
          <w:p>
            <w:pPr>
              <w:jc w:val="right"/>
              <w:spacing w:after="0"/>
              <w:rPr>
                <w:sz w:val="20"/>
                <w:szCs w:val="20"/>
                <w:color w:val="auto"/>
              </w:rPr>
            </w:pPr>
            <w:r>
              <w:rPr>
                <w:rFonts w:ascii="Arial" w:cs="Arial" w:eastAsia="Arial" w:hAnsi="Arial"/>
                <w:sz w:val="16"/>
                <w:szCs w:val="16"/>
                <w:color w:val="auto"/>
              </w:rPr>
              <w:t>12.9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2,068</w:t>
            </w:r>
          </w:p>
        </w:tc>
        <w:tc>
          <w:tcPr>
            <w:tcW w:w="420" w:type="dxa"/>
            <w:vAlign w:val="bottom"/>
          </w:tcPr>
          <w:p>
            <w:pPr>
              <w:jc w:val="right"/>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1,272</w:t>
            </w:r>
          </w:p>
        </w:tc>
        <w:tc>
          <w:tcPr>
            <w:tcW w:w="400" w:type="dxa"/>
            <w:vAlign w:val="bottom"/>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715</w:t>
            </w:r>
          </w:p>
        </w:tc>
        <w:tc>
          <w:tcPr>
            <w:tcW w:w="42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9"/>
                <w:szCs w:val="19"/>
                <w:color w:val="auto"/>
              </w:rPr>
            </w:pPr>
          </w:p>
        </w:tc>
      </w:tr>
      <w:tr>
        <w:trPr>
          <w:trHeight w:val="239"/>
        </w:trPr>
        <w:tc>
          <w:tcPr>
            <w:tcW w:w="2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consumer</w:t>
            </w: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1,192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971</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1,083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tcBorders>
              <w:left w:val="single" w:sz="8" w:color="CCEEFF"/>
            </w:tcBorders>
            <w:shd w:val="clear" w:color="auto" w:fill="CCEEFF"/>
          </w:tcPr>
          <w:p>
            <w:pPr>
              <w:spacing w:after="0"/>
              <w:rPr>
                <w:sz w:val="20"/>
                <w:szCs w:val="20"/>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6"/>
                <w:szCs w:val="16"/>
                <w:color w:val="auto"/>
              </w:rPr>
              <w:t>Construction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423</w:t>
            </w: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348</w:t>
            </w: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152</w:t>
            </w:r>
          </w:p>
        </w:tc>
        <w:tc>
          <w:tcPr>
            <w:tcW w:w="400" w:type="dxa"/>
            <w:vAlign w:val="bottom"/>
          </w:tcPr>
          <w:p>
            <w:pPr>
              <w:jc w:val="right"/>
              <w:spacing w:after="0"/>
              <w:rPr>
                <w:sz w:val="20"/>
                <w:szCs w:val="20"/>
                <w:color w:val="auto"/>
              </w:rPr>
            </w:pPr>
            <w:r>
              <w:rPr>
                <w:rFonts w:ascii="Arial" w:cs="Arial" w:eastAsia="Arial" w:hAnsi="Arial"/>
                <w:sz w:val="16"/>
                <w:szCs w:val="16"/>
                <w:color w:val="auto"/>
              </w:rPr>
              <w:t>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149</w:t>
            </w:r>
          </w:p>
        </w:tc>
        <w:tc>
          <w:tcPr>
            <w:tcW w:w="420" w:type="dxa"/>
            <w:vAlign w:val="bottom"/>
          </w:tcPr>
          <w:p>
            <w:pPr>
              <w:jc w:val="right"/>
              <w:spacing w:after="0"/>
              <w:rPr>
                <w:sz w:val="20"/>
                <w:szCs w:val="20"/>
                <w:color w:val="auto"/>
              </w:rPr>
            </w:pPr>
            <w:r>
              <w:rPr>
                <w:rFonts w:ascii="Arial" w:cs="Arial" w:eastAsia="Arial" w:hAnsi="Arial"/>
                <w:sz w:val="16"/>
                <w:szCs w:val="16"/>
                <w:color w:val="auto"/>
              </w:rPr>
              <w:t>0.6</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8"/>
                <w:szCs w:val="18"/>
                <w:color w:val="auto"/>
              </w:rPr>
            </w:pPr>
          </w:p>
        </w:tc>
      </w:tr>
      <w:tr>
        <w:trPr>
          <w:trHeight w:val="27"/>
        </w:trPr>
        <w:tc>
          <w:tcPr>
            <w:tcW w:w="23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2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allowance for loan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23,126</w:t>
            </w: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3"/>
              </w:rPr>
              <w:t>21,461</w:t>
            </w: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9"/>
              </w:rPr>
              <w:t>21,174</w:t>
            </w: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24,220</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100.0%</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$ 27,940</w:t>
            </w: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100.0%</w:t>
            </w:r>
          </w:p>
        </w:tc>
      </w:tr>
      <w:tr>
        <w:trPr>
          <w:trHeight w:val="27"/>
        </w:trPr>
        <w:tc>
          <w:tcPr>
            <w:tcW w:w="23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right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right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Loans</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70" w:lineRule="exact"/>
        <w:rPr>
          <w:sz w:val="20"/>
          <w:szCs w:val="20"/>
          <w:color w:val="auto"/>
        </w:rPr>
      </w:pPr>
    </w:p>
    <w:p>
      <w:pPr>
        <w:ind w:right="40" w:firstLine="360"/>
        <w:spacing w:after="0" w:line="296"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69" w:lineRule="exact"/>
        <w:rPr>
          <w:sz w:val="20"/>
          <w:szCs w:val="20"/>
          <w:color w:val="auto"/>
        </w:rPr>
      </w:pPr>
    </w:p>
    <w:p>
      <w:pPr>
        <w:ind w:right="220" w:firstLine="360"/>
        <w:spacing w:after="0" w:line="275" w:lineRule="auto"/>
        <w:rPr>
          <w:sz w:val="20"/>
          <w:szCs w:val="20"/>
          <w:color w:val="auto"/>
        </w:rPr>
      </w:pPr>
      <w:r>
        <w:rPr>
          <w:rFonts w:ascii="Arial" w:cs="Arial" w:eastAsia="Arial" w:hAnsi="Arial"/>
          <w:sz w:val="17"/>
          <w:szCs w:val="17"/>
          <w:color w:val="auto"/>
        </w:rPr>
        <w:t>Real estate we acquire as a result of foreclosure or by deed-in-lieu of foreclosure is classified as OREO until sold and is initially recorded at fair value less costs to sell when acquired, establishing a new cost basis. OREO totaled $2.3 million at December 31, 2018 which included $225,000 in construction, land development and other land held and $1.7 million in non-farm nonresidential properties. OREO totaled $2.8 million at December 31, 2017 which included $889,000 in construction, land development and other land held and $1.4 million in non-farm nonresidential properties.</w:t>
      </w:r>
    </w:p>
    <w:p>
      <w:pPr>
        <w:spacing w:after="0" w:line="68"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Nonperforming loans include nonaccrual loans and loans past due 90 days or more. Nonperforming assets consist of nonperforming loans plus OREO.</w:t>
      </w:r>
    </w:p>
    <w:p>
      <w:pPr>
        <w:spacing w:after="0" w:line="62" w:lineRule="exact"/>
        <w:rPr>
          <w:sz w:val="20"/>
          <w:szCs w:val="20"/>
          <w:color w:val="auto"/>
        </w:rPr>
      </w:pPr>
    </w:p>
    <w:p>
      <w:pPr>
        <w:jc w:val="both"/>
        <w:ind w:right="180" w:firstLine="360"/>
        <w:spacing w:after="0" w:line="263" w:lineRule="auto"/>
        <w:rPr>
          <w:sz w:val="20"/>
          <w:szCs w:val="20"/>
          <w:color w:val="auto"/>
        </w:rPr>
      </w:pPr>
      <w:r>
        <w:rPr>
          <w:rFonts w:ascii="Arial" w:cs="Arial" w:eastAsia="Arial" w:hAnsi="Arial"/>
          <w:sz w:val="18"/>
          <w:szCs w:val="18"/>
          <w:color w:val="auto"/>
        </w:rPr>
        <w:t>Nonperforming loans were $7.0 million at December 31, 2018 and $13.9 million at December 31, 2017. The decrease in the year ended December 31, 2018 was primarily due to the resolution of one commercial real estate relationship totaling $5.3 million that was placed on nonaccrual status in late 2017 for default.</w:t>
      </w:r>
    </w:p>
    <w:p>
      <w:pPr>
        <w:spacing w:after="0" w:line="76"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At December 31, 2018, our total nonaccrual loans were $6.4 million. This was comprised primarily of $1.2 million in loans to finance agricultural production; $1.5 million in loans secured by 1-4 family residential properties; $1.2 million in non-farm nonresidential property loans; and $1.1 million in commercial loans. These loans were reviewed for impairment and specific valuation allowances were established as necessary and included in the allowance for loan losses as of December 31, 2018 to cover any probable loss.</w:t>
      </w:r>
    </w:p>
    <w:p>
      <w:pPr>
        <w:spacing w:after="0" w:line="8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At December 31, 2017, our total nonaccrual loans were $12.7 million. This was comprised primarily of $1.2 million in loans to finance agricultural production; $2.1 million in loans secured by 1-4 family residential properties; $7.2 million in non-farm nonresidential property loans; and $1.7 million in commercial loans. These loans were reviewed for impairment and specific valuation allowances were established as necessary and included in the allowance for loan losses as of December 31, 2017 to cover any probable loss.</w:t>
      </w:r>
    </w:p>
    <w:p>
      <w:pPr>
        <w:spacing w:after="0" w:line="8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following table presents the contractual aging of the recorded investment in current and past due loans by class of loans as of December 31, 2018 and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30-89 Days</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90+ Days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Past Due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Past Due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Nonaccrual</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8"/>
          </w:tcPr>
          <w:p>
            <w:pPr>
              <w:jc w:val="right"/>
              <w:ind w:right="96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31, 2018</w:t>
            </w:r>
          </w:p>
        </w:tc>
        <w:tc>
          <w:tcPr>
            <w:tcW w:w="25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536,072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538,037</w:t>
            </w:r>
          </w:p>
        </w:tc>
      </w:tr>
      <w:tr>
        <w:trPr>
          <w:trHeight w:val="249"/>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301,480</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2,550</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305,022</w:t>
            </w: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422,969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2,134</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427,728</w:t>
            </w:r>
          </w:p>
        </w:tc>
      </w:tr>
      <w:tr>
        <w:trPr>
          <w:trHeight w:val="249"/>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342,613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346,153</w:t>
            </w:r>
          </w:p>
        </w:tc>
      </w:tr>
      <w:tr>
        <w:trPr>
          <w:trHeight w:val="249"/>
        </w:trPr>
        <w:tc>
          <w:tcPr>
            <w:tcW w:w="40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190,772</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191,647</w:t>
            </w:r>
          </w:p>
        </w:tc>
      </w:tr>
      <w:tr>
        <w:trPr>
          <w:trHeight w:val="23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70,209</w:t>
            </w:r>
          </w:p>
        </w:tc>
      </w:tr>
      <w:tr>
        <w:trPr>
          <w:trHeight w:val="249"/>
        </w:trPr>
        <w:tc>
          <w:tcPr>
            <w:tcW w:w="4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78,401</w:t>
            </w:r>
          </w:p>
        </w:tc>
      </w:tr>
      <w:tr>
        <w:trPr>
          <w:trHeight w:val="20"/>
        </w:trPr>
        <w:tc>
          <w:tcPr>
            <w:tcW w:w="1460" w:type="dxa"/>
            <w:vAlign w:val="bottom"/>
            <w:shd w:val="clear" w:color="auto" w:fill="CCEEFF"/>
          </w:tcPr>
          <w:p>
            <w:pPr>
              <w:spacing w:after="0" w:line="20" w:lineRule="exact"/>
              <w:rPr>
                <w:sz w:val="1"/>
                <w:szCs w:val="1"/>
                <w:color w:val="auto"/>
              </w:rPr>
            </w:pPr>
          </w:p>
        </w:tc>
        <w:tc>
          <w:tcPr>
            <w:tcW w:w="25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loans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1,941,559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8,684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6,390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1,957,197</w:t>
            </w:r>
          </w:p>
        </w:tc>
      </w:tr>
      <w:tr>
        <w:trPr>
          <w:trHeight w:val="28"/>
        </w:trPr>
        <w:tc>
          <w:tcPr>
            <w:tcW w:w="1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460" w:type="dxa"/>
            <w:vAlign w:val="bottom"/>
            <w:shd w:val="clear" w:color="auto" w:fill="CCEEFF"/>
          </w:tcPr>
          <w:p>
            <w:pPr>
              <w:spacing w:after="0"/>
              <w:rPr>
                <w:sz w:val="21"/>
                <w:szCs w:val="21"/>
                <w:color w:val="auto"/>
              </w:rPr>
            </w:pPr>
          </w:p>
        </w:tc>
        <w:tc>
          <w:tcPr>
            <w:tcW w:w="25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432"/>
        </w:trPr>
        <w:tc>
          <w:tcPr>
            <w:tcW w:w="14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4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1460" w:type="dxa"/>
            <w:vAlign w:val="bottom"/>
            <w:shd w:val="clear" w:color="auto" w:fill="000000"/>
          </w:tcPr>
          <w:p>
            <w:pPr>
              <w:spacing w:after="0"/>
              <w:rPr>
                <w:sz w:val="5"/>
                <w:szCs w:val="5"/>
                <w:color w:val="auto"/>
              </w:rPr>
            </w:pPr>
          </w:p>
        </w:tc>
        <w:tc>
          <w:tcPr>
            <w:tcW w:w="256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30-89 Days</w:t>
            </w:r>
          </w:p>
        </w:tc>
        <w:tc>
          <w:tcPr>
            <w:tcW w:w="1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90+ Days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Past Due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Past Due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Nonaccrual</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8"/>
          </w:tcPr>
          <w:p>
            <w:pPr>
              <w:jc w:val="right"/>
              <w:ind w:right="96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506,894</w:t>
            </w: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326,959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1,587</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329,119</w:t>
            </w:r>
          </w:p>
        </w:tc>
        <w:tc>
          <w:tcPr>
            <w:tcW w:w="0" w:type="dxa"/>
            <w:vAlign w:val="bottom"/>
          </w:tcPr>
          <w:p>
            <w:pPr>
              <w:spacing w:after="0"/>
              <w:rPr>
                <w:sz w:val="1"/>
                <w:szCs w:val="1"/>
                <w:color w:val="auto"/>
              </w:rPr>
            </w:pPr>
          </w:p>
        </w:tc>
      </w:tr>
      <w:tr>
        <w:trPr>
          <w:trHeight w:val="249"/>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404,832</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3,385</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410,057</w:t>
            </w: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307,158</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2,088</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313,350</w:t>
            </w:r>
          </w:p>
        </w:tc>
        <w:tc>
          <w:tcPr>
            <w:tcW w:w="0" w:type="dxa"/>
            <w:vAlign w:val="bottom"/>
          </w:tcPr>
          <w:p>
            <w:pPr>
              <w:spacing w:after="0"/>
              <w:rPr>
                <w:sz w:val="1"/>
                <w:szCs w:val="1"/>
                <w:color w:val="auto"/>
              </w:rPr>
            </w:pPr>
          </w:p>
        </w:tc>
      </w:tr>
      <w:tr>
        <w:trPr>
          <w:trHeight w:val="237"/>
        </w:trPr>
        <w:tc>
          <w:tcPr>
            <w:tcW w:w="402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146,001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146,622</w:t>
            </w:r>
          </w:p>
        </w:tc>
        <w:tc>
          <w:tcPr>
            <w:tcW w:w="0" w:type="dxa"/>
            <w:vAlign w:val="bottom"/>
          </w:tcPr>
          <w:p>
            <w:pPr>
              <w:spacing w:after="0"/>
              <w:rPr>
                <w:sz w:val="1"/>
                <w:szCs w:val="1"/>
                <w:color w:val="auto"/>
              </w:rPr>
            </w:pPr>
          </w:p>
        </w:tc>
      </w:tr>
      <w:tr>
        <w:trPr>
          <w:trHeight w:val="249"/>
        </w:trPr>
        <w:tc>
          <w:tcPr>
            <w:tcW w:w="40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65,484</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66,191</w:t>
            </w:r>
          </w:p>
        </w:tc>
        <w:tc>
          <w:tcPr>
            <w:tcW w:w="0" w:type="dxa"/>
            <w:vAlign w:val="bottom"/>
          </w:tcPr>
          <w:p>
            <w:pPr>
              <w:spacing w:after="0"/>
              <w:rPr>
                <w:sz w:val="1"/>
                <w:szCs w:val="1"/>
                <w:color w:val="auto"/>
              </w:rPr>
            </w:pPr>
          </w:p>
        </w:tc>
      </w:tr>
      <w:tr>
        <w:trPr>
          <w:trHeight w:val="243"/>
        </w:trPr>
        <w:tc>
          <w:tcPr>
            <w:tcW w:w="40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65,847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65,922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1,815,003</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1,838,155</w:t>
            </w:r>
          </w:p>
        </w:tc>
        <w:tc>
          <w:tcPr>
            <w:tcW w:w="0" w:type="dxa"/>
            <w:vAlign w:val="bottom"/>
          </w:tcPr>
          <w:p>
            <w:pPr>
              <w:spacing w:after="0"/>
              <w:rPr>
                <w:sz w:val="1"/>
                <w:szCs w:val="1"/>
                <w:color w:val="auto"/>
              </w:rPr>
            </w:pPr>
          </w:p>
        </w:tc>
      </w:tr>
      <w:tr>
        <w:trPr>
          <w:trHeight w:val="27"/>
        </w:trPr>
        <w:tc>
          <w:tcPr>
            <w:tcW w:w="1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1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following table sets forth the allocation of our nonperforming assets among our different asset categories as of the dates indicated. Nonperforming loans include nonaccrual loans and loans past due 90 days or more.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6"/>
              </w:rPr>
              <w:t>As of December 31,</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3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r>
      <w:tr>
        <w:trPr>
          <w:trHeight w:val="183"/>
        </w:trPr>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w w:val="98"/>
              </w:rPr>
              <w:t>(Dollars in thousands)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43"/>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6,390</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8,046</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19,173</w:t>
            </w:r>
          </w:p>
        </w:tc>
        <w:tc>
          <w:tcPr>
            <w:tcW w:w="160" w:type="dxa"/>
            <w:vAlign w:val="bottom"/>
            <w:tcBorders>
              <w:left w:val="single" w:sz="8" w:color="CCEEFF"/>
            </w:tcBorders>
            <w:shd w:val="clear" w:color="auto" w:fill="CCEEFF"/>
          </w:tcPr>
          <w:p>
            <w:pPr>
              <w:spacing w:after="0"/>
              <w:rPr>
                <w:sz w:val="21"/>
                <w:szCs w:val="2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w w:val="95"/>
              </w:rPr>
              <w:t>Past due loans 90 days or more and still accruing</w:t>
            </w:r>
          </w:p>
        </w:tc>
        <w:tc>
          <w:tcPr>
            <w:tcW w:w="2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1,496</w:t>
            </w:r>
          </w:p>
        </w:tc>
        <w:tc>
          <w:tcPr>
            <w:tcW w:w="160" w:type="dxa"/>
            <w:vAlign w:val="bottom"/>
          </w:tcPr>
          <w:p>
            <w:pPr>
              <w:spacing w:after="0"/>
              <w:rPr>
                <w:sz w:val="21"/>
                <w:szCs w:val="21"/>
                <w:color w:val="auto"/>
              </w:rPr>
            </w:pPr>
          </w:p>
        </w:tc>
      </w:tr>
      <w:tr>
        <w:trPr>
          <w:trHeight w:val="20"/>
        </w:trPr>
        <w:tc>
          <w:tcPr>
            <w:tcW w:w="37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nonperforming loans</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6,954</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26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8,805</w:t>
            </w: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20,669</w:t>
            </w:r>
          </w:p>
        </w:tc>
        <w:tc>
          <w:tcPr>
            <w:tcW w:w="160" w:type="dxa"/>
            <w:vAlign w:val="bottom"/>
            <w:tcBorders>
              <w:left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Other real estate owned</w:t>
            </w:r>
          </w:p>
        </w:tc>
        <w:tc>
          <w:tcPr>
            <w:tcW w:w="22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2,285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7,681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7,461</w:t>
            </w:r>
          </w:p>
        </w:tc>
        <w:tc>
          <w:tcPr>
            <w:tcW w:w="160" w:type="dxa"/>
            <w:vAlign w:val="bottom"/>
          </w:tcPr>
          <w:p>
            <w:pPr>
              <w:spacing w:after="0"/>
              <w:rPr>
                <w:sz w:val="21"/>
                <w:szCs w:val="21"/>
                <w:color w:val="auto"/>
              </w:rPr>
            </w:pPr>
          </w:p>
        </w:tc>
      </w:tr>
      <w:tr>
        <w:trPr>
          <w:trHeight w:val="20"/>
        </w:trPr>
        <w:tc>
          <w:tcPr>
            <w:tcW w:w="37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37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nonperforming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9,239</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16,731</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15,044</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16,486</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28,130</w:t>
            </w:r>
          </w:p>
        </w:tc>
        <w:tc>
          <w:tcPr>
            <w:tcW w:w="160" w:type="dxa"/>
            <w:vAlign w:val="bottom"/>
            <w:tcBorders>
              <w:left w:val="single" w:sz="8" w:color="CCEEFF"/>
            </w:tcBorders>
            <w:shd w:val="clear" w:color="auto" w:fill="CCEEFF"/>
          </w:tcPr>
          <w:p>
            <w:pPr>
              <w:spacing w:after="0"/>
              <w:rPr>
                <w:sz w:val="21"/>
                <w:szCs w:val="21"/>
                <w:color w:val="auto"/>
              </w:rPr>
            </w:pPr>
          </w:p>
        </w:tc>
      </w:tr>
      <w:tr>
        <w:trPr>
          <w:trHeight w:val="27"/>
        </w:trPr>
        <w:tc>
          <w:tcPr>
            <w:tcW w:w="37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Nonperforming loans to gross loans</w:t>
            </w:r>
          </w:p>
        </w:tc>
        <w:tc>
          <w:tcPr>
            <w:tcW w:w="22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0"/>
                <w:szCs w:val="20"/>
                <w:color w:val="auto"/>
              </w:rPr>
            </w:pP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0.76%</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24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0.52%</w:t>
            </w:r>
          </w:p>
        </w:tc>
        <w:tc>
          <w:tcPr>
            <w:tcW w:w="2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49"/>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Nonperforming assets to total loans and OREO</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Allowance for loan losses to nonperforming</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332.56%</w:t>
            </w:r>
          </w:p>
        </w:tc>
        <w:tc>
          <w:tcPr>
            <w:tcW w:w="220" w:type="dxa"/>
            <w:vAlign w:val="bottom"/>
          </w:tcPr>
          <w:p>
            <w:pPr>
              <w:spacing w:after="0"/>
              <w:rPr>
                <w:sz w:val="20"/>
                <w:szCs w:val="20"/>
                <w:color w:val="auto"/>
              </w:rPr>
            </w:pP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154.38%</w:t>
            </w: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294.29%</w:t>
            </w:r>
          </w:p>
        </w:tc>
        <w:tc>
          <w:tcPr>
            <w:tcW w:w="240" w:type="dxa"/>
            <w:vAlign w:val="bottom"/>
          </w:tcPr>
          <w:p>
            <w:pPr>
              <w:spacing w:after="0"/>
              <w:rPr>
                <w:sz w:val="20"/>
                <w:szCs w:val="20"/>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275.07%</w:t>
            </w:r>
          </w:p>
        </w:tc>
        <w:tc>
          <w:tcPr>
            <w:tcW w:w="2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135.18%</w:t>
            </w:r>
          </w:p>
        </w:tc>
      </w:tr>
      <w:tr>
        <w:trPr>
          <w:trHeight w:val="250"/>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 to gross loans</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9"/>
        </w:trPr>
        <w:tc>
          <w:tcPr>
            <w:tcW w:w="3780" w:type="dxa"/>
            <w:vAlign w:val="bottom"/>
          </w:tcPr>
          <w:p>
            <w:pPr>
              <w:spacing w:after="0"/>
              <w:rPr>
                <w:sz w:val="20"/>
                <w:szCs w:val="20"/>
                <w:color w:val="auto"/>
              </w:rPr>
            </w:pPr>
            <w:r>
              <w:rPr>
                <w:rFonts w:ascii="Arial" w:cs="Arial" w:eastAsia="Arial" w:hAnsi="Arial"/>
                <w:sz w:val="18"/>
                <w:szCs w:val="18"/>
                <w:b w:val="1"/>
                <w:bCs w:val="1"/>
                <w:color w:val="auto"/>
              </w:rPr>
              <w:t>Nonaccrual loans by category:</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4,858</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160" w:type="dxa"/>
            <w:vAlign w:val="bottom"/>
            <w:tcBorders>
              <w:left w:val="single" w:sz="8" w:color="CCEEFF"/>
            </w:tcBorders>
            <w:shd w:val="clear" w:color="auto" w:fill="CCEEFF"/>
          </w:tcPr>
          <w:p>
            <w:pPr>
              <w:spacing w:after="0"/>
              <w:rPr>
                <w:sz w:val="21"/>
                <w:szCs w:val="21"/>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2,550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1,110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20"/>
                <w:szCs w:val="20"/>
                <w:color w:val="auto"/>
              </w:rPr>
            </w:pPr>
          </w:p>
        </w:tc>
      </w:tr>
      <w:tr>
        <w:trPr>
          <w:trHeight w:val="249"/>
        </w:trPr>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2,134</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60" w:type="dxa"/>
            <w:vAlign w:val="bottom"/>
            <w:tcBorders>
              <w:left w:val="single" w:sz="8" w:color="CCEEFF"/>
            </w:tcBorders>
            <w:shd w:val="clear" w:color="auto" w:fill="CCEEFF"/>
          </w:tcPr>
          <w:p>
            <w:pPr>
              <w:spacing w:after="0"/>
              <w:rPr>
                <w:sz w:val="21"/>
                <w:szCs w:val="21"/>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1,489</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1,475</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60" w:type="dxa"/>
            <w:vAlign w:val="bottom"/>
            <w:tcBorders>
              <w:left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0"/>
                <w:szCs w:val="20"/>
                <w:color w:val="auto"/>
              </w:rPr>
            </w:pPr>
          </w:p>
        </w:tc>
      </w:tr>
      <w:tr>
        <w:trPr>
          <w:trHeight w:val="249"/>
        </w:trPr>
        <w:tc>
          <w:tcPr>
            <w:tcW w:w="3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left w:val="single" w:sz="8" w:color="CCEEFF"/>
            </w:tcBorders>
            <w:shd w:val="clear" w:color="auto" w:fill="CCEEFF"/>
          </w:tcPr>
          <w:p>
            <w:pPr>
              <w:spacing w:after="0"/>
              <w:rPr>
                <w:sz w:val="21"/>
                <w:szCs w:val="2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21"/>
                <w:szCs w:val="21"/>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37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4"/>
        </w:trPr>
        <w:tc>
          <w:tcPr>
            <w:tcW w:w="37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6,390</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8,046</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19,173</w:t>
            </w:r>
          </w:p>
        </w:tc>
        <w:tc>
          <w:tcPr>
            <w:tcW w:w="160" w:type="dxa"/>
            <w:vAlign w:val="bottom"/>
            <w:tcBorders>
              <w:left w:val="single" w:sz="8" w:color="CCEEFF"/>
            </w:tcBorders>
            <w:shd w:val="clear" w:color="auto" w:fill="CCEEFF"/>
          </w:tcPr>
          <w:p>
            <w:pPr>
              <w:spacing w:after="0"/>
              <w:rPr>
                <w:sz w:val="21"/>
                <w:szCs w:val="21"/>
                <w:color w:val="auto"/>
              </w:rPr>
            </w:pPr>
          </w:p>
        </w:tc>
      </w:tr>
      <w:tr>
        <w:trPr>
          <w:trHeight w:val="27"/>
        </w:trPr>
        <w:tc>
          <w:tcPr>
            <w:tcW w:w="37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Troubled Debt Restructurings</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or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89" w:lineRule="auto"/>
        <w:rPr>
          <w:sz w:val="20"/>
          <w:szCs w:val="20"/>
          <w:color w:val="auto"/>
        </w:rPr>
      </w:pPr>
      <w:r>
        <w:rPr>
          <w:rFonts w:ascii="Arial" w:cs="Arial" w:eastAsia="Arial" w:hAnsi="Arial"/>
          <w:sz w:val="16"/>
          <w:szCs w:val="16"/>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58" w:lineRule="exact"/>
        <w:rPr>
          <w:sz w:val="20"/>
          <w:szCs w:val="20"/>
          <w:color w:val="auto"/>
        </w:rPr>
      </w:pPr>
    </w:p>
    <w:p>
      <w:pPr>
        <w:jc w:val="both"/>
        <w:ind w:right="360" w:firstLine="360"/>
        <w:spacing w:after="0" w:line="277" w:lineRule="auto"/>
        <w:rPr>
          <w:sz w:val="20"/>
          <w:szCs w:val="20"/>
          <w:color w:val="auto"/>
        </w:rPr>
      </w:pPr>
      <w:r>
        <w:rPr>
          <w:rFonts w:ascii="Arial" w:cs="Arial" w:eastAsia="Arial" w:hAnsi="Arial"/>
          <w:sz w:val="18"/>
          <w:szCs w:val="18"/>
          <w:color w:val="auto"/>
        </w:rPr>
        <w:t>We had no loans restructured as TDRs during 2018 or 2017. TDRs are excluded from our nonperforming loans unless they otherwise meet the definition of nonaccrual loans or past due 90 days or more.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121" w:lineRule="exact"/>
        <w:rPr>
          <w:sz w:val="20"/>
          <w:szCs w:val="20"/>
          <w:color w:val="auto"/>
        </w:rPr>
      </w:pPr>
    </w:p>
    <w:p>
      <w:pPr>
        <w:jc w:val="both"/>
        <w:ind w:right="360" w:firstLine="360"/>
        <w:spacing w:after="0" w:line="263" w:lineRule="auto"/>
        <w:rPr>
          <w:sz w:val="20"/>
          <w:szCs w:val="20"/>
          <w:color w:val="auto"/>
        </w:rPr>
      </w:pPr>
      <w:r>
        <w:rPr>
          <w:rFonts w:ascii="Arial" w:cs="Arial" w:eastAsia="Arial" w:hAnsi="Arial"/>
          <w:sz w:val="18"/>
          <w:szCs w:val="18"/>
          <w:color w:val="auto"/>
        </w:rPr>
        <w:t>In addition to the past due and nonaccrual criteria, the Company also evaluates loans according to its internal risk grading system. Loans are segregated between pass, special mention, substandard, doubtful and loss categories. The definitions of those categories are as follows: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Pass</w:t>
      </w:r>
      <w:r>
        <w:rPr>
          <w:rFonts w:ascii="Arial" w:cs="Arial" w:eastAsia="Arial" w:hAnsi="Arial"/>
          <w:sz w:val="16"/>
          <w:szCs w:val="16"/>
          <w:color w:val="auto"/>
        </w:rPr>
        <w:t>: Loans that do not fit any of the other categories listed below and for which likelihood of loss is considered to be remote.</w:t>
      </w:r>
    </w:p>
    <w:p>
      <w:pPr>
        <w:spacing w:after="0" w:line="140" w:lineRule="exact"/>
        <w:rPr>
          <w:sz w:val="20"/>
          <w:szCs w:val="20"/>
          <w:color w:val="auto"/>
        </w:rPr>
      </w:pPr>
    </w:p>
    <w:p>
      <w:pPr>
        <w:ind w:right="140" w:firstLine="360"/>
        <w:spacing w:after="0" w:line="263" w:lineRule="auto"/>
        <w:rPr>
          <w:sz w:val="20"/>
          <w:szCs w:val="20"/>
          <w:color w:val="auto"/>
        </w:rPr>
      </w:pPr>
      <w:r>
        <w:rPr>
          <w:rFonts w:ascii="Arial" w:cs="Arial" w:eastAsia="Arial" w:hAnsi="Arial"/>
          <w:sz w:val="18"/>
          <w:szCs w:val="18"/>
          <w:i w:val="1"/>
          <w:iCs w:val="1"/>
          <w:color w:val="auto"/>
        </w:rPr>
        <w:t>Special mention</w:t>
      </w:r>
      <w:r>
        <w:rPr>
          <w:rFonts w:ascii="Arial" w:cs="Arial" w:eastAsia="Arial" w:hAnsi="Arial"/>
          <w:sz w:val="18"/>
          <w:szCs w:val="18"/>
          <w:color w:val="auto"/>
        </w:rPr>
        <w:t>: Loans with potential for deteriorating into a substandard classification without close supervision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Loans remain in this category on a temporary basis and should be reclassified up or down, depending on improvement or continued deterioration.</w:t>
      </w:r>
    </w:p>
    <w:p>
      <w:pPr>
        <w:spacing w:after="0" w:line="76" w:lineRule="exact"/>
        <w:rPr>
          <w:sz w:val="20"/>
          <w:szCs w:val="20"/>
          <w:color w:val="auto"/>
        </w:rPr>
      </w:pPr>
    </w:p>
    <w:p>
      <w:pPr>
        <w:ind w:right="320" w:firstLine="360"/>
        <w:spacing w:after="0" w:line="279" w:lineRule="auto"/>
        <w:rPr>
          <w:sz w:val="20"/>
          <w:szCs w:val="20"/>
          <w:color w:val="auto"/>
        </w:rPr>
      </w:pPr>
      <w:r>
        <w:rPr>
          <w:rFonts w:ascii="Arial" w:cs="Arial" w:eastAsia="Arial" w:hAnsi="Arial"/>
          <w:sz w:val="17"/>
          <w:szCs w:val="17"/>
          <w:i w:val="1"/>
          <w:iCs w:val="1"/>
          <w:color w:val="auto"/>
        </w:rPr>
        <w:t>Substandard</w:t>
      </w:r>
      <w:r>
        <w:rPr>
          <w:rFonts w:ascii="Arial" w:cs="Arial" w:eastAsia="Arial" w:hAnsi="Arial"/>
          <w:sz w:val="17"/>
          <w:szCs w:val="17"/>
          <w:color w:val="auto"/>
        </w:rPr>
        <w:t>: Loans not adequately protected by sound current net worth or adequate repayment capacity of the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and/or of the collateral pledged. Substandard loans have well defined weaknesses that jeopardize the liquidation of the classified debt. A potential for loss exists if the deficiencies or weaknesses are not recognized and corrected. Substandard loans can be accruing or placed on nonaccrual based on the individual circumstances of each loan.</w:t>
      </w:r>
    </w:p>
    <w:p>
      <w:pPr>
        <w:spacing w:after="0" w:line="63" w:lineRule="exact"/>
        <w:rPr>
          <w:sz w:val="20"/>
          <w:szCs w:val="20"/>
          <w:color w:val="auto"/>
        </w:rPr>
      </w:pPr>
    </w:p>
    <w:p>
      <w:pPr>
        <w:ind w:right="140" w:firstLine="360"/>
        <w:spacing w:after="0" w:line="263" w:lineRule="auto"/>
        <w:rPr>
          <w:sz w:val="20"/>
          <w:szCs w:val="20"/>
          <w:color w:val="auto"/>
        </w:rPr>
      </w:pPr>
      <w:r>
        <w:rPr>
          <w:rFonts w:ascii="Arial" w:cs="Arial" w:eastAsia="Arial" w:hAnsi="Arial"/>
          <w:sz w:val="18"/>
          <w:szCs w:val="18"/>
          <w:i w:val="1"/>
          <w:iCs w:val="1"/>
          <w:color w:val="auto"/>
        </w:rPr>
        <w:t>Doubtful</w:t>
      </w:r>
      <w:r>
        <w:rPr>
          <w:rFonts w:ascii="Arial" w:cs="Arial" w:eastAsia="Arial" w:hAnsi="Arial"/>
          <w:sz w:val="18"/>
          <w:szCs w:val="18"/>
          <w:color w:val="auto"/>
        </w:rPr>
        <w:t>: Doubtful loans have all the weaknesses inherent in substandard loans with the added characteristics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make collection or liquidation in full on the basis of currently existing facts, conditions and values highly questionable and improbable. All doubtful loans are on nonaccrual.</w:t>
      </w:r>
    </w:p>
    <w:p>
      <w:pPr>
        <w:spacing w:after="0" w:line="76"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Loans that are considered uncollectible and of such little value that their continuance as an active bank-owned asset in</w:t>
      </w:r>
      <w:r>
        <w:rPr>
          <w:rFonts w:ascii="Arial" w:cs="Arial" w:eastAsia="Arial" w:hAnsi="Arial"/>
          <w:sz w:val="18"/>
          <w:szCs w:val="18"/>
          <w:i w:val="1"/>
          <w:iCs w:val="1"/>
          <w:color w:val="auto"/>
        </w:rPr>
        <w:t xml:space="preserve"> </w:t>
      </w:r>
      <w:r>
        <w:rPr>
          <w:rFonts w:ascii="Arial" w:cs="Arial" w:eastAsia="Arial" w:hAnsi="Arial"/>
          <w:sz w:val="18"/>
          <w:szCs w:val="18"/>
          <w:color w:val="auto"/>
        </w:rPr>
        <w:t>not warranted. These loans are immediately charged off.</w:t>
      </w:r>
    </w:p>
    <w:p>
      <w:pPr>
        <w:spacing w:after="0" w:line="62" w:lineRule="exact"/>
        <w:rPr>
          <w:sz w:val="20"/>
          <w:szCs w:val="20"/>
          <w:color w:val="auto"/>
        </w:rPr>
      </w:pPr>
    </w:p>
    <w:p>
      <w:pPr>
        <w:ind w:right="900" w:firstLine="360"/>
        <w:spacing w:after="0" w:line="277" w:lineRule="auto"/>
        <w:rPr>
          <w:sz w:val="20"/>
          <w:szCs w:val="20"/>
          <w:color w:val="auto"/>
        </w:rPr>
      </w:pPr>
      <w:r>
        <w:rPr>
          <w:rFonts w:ascii="Arial" w:cs="Arial" w:eastAsia="Arial" w:hAnsi="Arial"/>
          <w:sz w:val="18"/>
          <w:szCs w:val="18"/>
          <w:color w:val="auto"/>
        </w:rPr>
        <w:t>Outstanding loan balances categorized by internal risk grades as of December 31, 2018 and December 31, 2017 are summarized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Special</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Mention</w:t>
            </w:r>
          </w:p>
        </w:tc>
        <w:tc>
          <w:tcPr>
            <w:tcW w:w="200" w:type="dxa"/>
            <w:vAlign w:val="bottom"/>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Substandard</w:t>
            </w:r>
          </w:p>
        </w:tc>
        <w:tc>
          <w:tcPr>
            <w:tcW w:w="200" w:type="dxa"/>
            <w:vAlign w:val="bottom"/>
          </w:tcPr>
          <w:p>
            <w:pPr>
              <w:spacing w:after="0"/>
              <w:rPr>
                <w:sz w:val="16"/>
                <w:szCs w:val="16"/>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Doubtful</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6"/>
          </w:tcPr>
          <w:p>
            <w:pPr>
              <w:jc w:val="center"/>
              <w:ind w:left="276"/>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31, 2018</w:t>
            </w:r>
          </w:p>
        </w:tc>
        <w:tc>
          <w:tcPr>
            <w:tcW w:w="304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514,249</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$ 17,300</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6,488</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538,037</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301,289</w:t>
            </w:r>
          </w:p>
        </w:tc>
        <w:tc>
          <w:tcPr>
            <w:tcW w:w="20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3,733</w:t>
            </w:r>
          </w:p>
        </w:tc>
        <w:tc>
          <w:tcPr>
            <w:tcW w:w="28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305,022</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415,675</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1,449</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10,604</w:t>
            </w:r>
          </w:p>
        </w:tc>
        <w:tc>
          <w:tcPr>
            <w:tcW w:w="280" w:type="dxa"/>
            <w:vAlign w:val="bottom"/>
          </w:tcPr>
          <w:p>
            <w:pPr>
              <w:spacing w:after="0"/>
              <w:rPr>
                <w:sz w:val="20"/>
                <w:szCs w:val="20"/>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427,728</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340,836</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5,317</w:t>
            </w:r>
          </w:p>
        </w:tc>
        <w:tc>
          <w:tcPr>
            <w:tcW w:w="280" w:type="dxa"/>
            <w:vAlign w:val="bottom"/>
          </w:tcPr>
          <w:p>
            <w:pPr>
              <w:spacing w:after="0"/>
              <w:rPr>
                <w:sz w:val="20"/>
                <w:szCs w:val="20"/>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346,153</w:t>
            </w:r>
          </w:p>
        </w:tc>
      </w:tr>
      <w:tr>
        <w:trPr>
          <w:trHeight w:val="249"/>
        </w:trPr>
        <w:tc>
          <w:tcPr>
            <w:tcW w:w="45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191,435</w:t>
            </w:r>
          </w:p>
        </w:tc>
        <w:tc>
          <w:tcPr>
            <w:tcW w:w="20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191,647</w:t>
            </w:r>
          </w:p>
        </w:tc>
      </w:tr>
      <w:tr>
        <w:trPr>
          <w:trHeight w:val="237"/>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70,075</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20"/>
                <w:szCs w:val="20"/>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70,209</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20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5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78,401</w:t>
            </w:r>
          </w:p>
        </w:tc>
      </w:tr>
      <w:tr>
        <w:trPr>
          <w:trHeight w:val="20"/>
        </w:trPr>
        <w:tc>
          <w:tcPr>
            <w:tcW w:w="1460" w:type="dxa"/>
            <w:vAlign w:val="bottom"/>
            <w:shd w:val="clear" w:color="auto" w:fill="CCEEFF"/>
          </w:tcPr>
          <w:p>
            <w:pPr>
              <w:spacing w:after="0" w:line="20" w:lineRule="exact"/>
              <w:rPr>
                <w:sz w:val="1"/>
                <w:szCs w:val="1"/>
                <w:color w:val="auto"/>
              </w:rPr>
            </w:pPr>
          </w:p>
        </w:tc>
        <w:tc>
          <w:tcPr>
            <w:tcW w:w="30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1,911,960</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$ 18,749</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26,488</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1,957,197</w:t>
            </w:r>
          </w:p>
        </w:tc>
      </w:tr>
      <w:tr>
        <w:trPr>
          <w:trHeight w:val="28"/>
        </w:trPr>
        <w:tc>
          <w:tcPr>
            <w:tcW w:w="14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460" w:type="dxa"/>
            <w:vAlign w:val="bottom"/>
            <w:shd w:val="clear" w:color="auto" w:fill="CCEEFF"/>
          </w:tcPr>
          <w:p>
            <w:pPr>
              <w:spacing w:after="0"/>
              <w:rPr>
                <w:sz w:val="21"/>
                <w:szCs w:val="21"/>
                <w:color w:val="auto"/>
              </w:rPr>
            </w:pPr>
          </w:p>
        </w:tc>
        <w:tc>
          <w:tcPr>
            <w:tcW w:w="30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432"/>
        </w:trPr>
        <w:tc>
          <w:tcPr>
            <w:tcW w:w="1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512"/>
              <w:spacing w:after="0"/>
              <w:rPr>
                <w:sz w:val="20"/>
                <w:szCs w:val="20"/>
                <w:color w:val="auto"/>
              </w:rPr>
            </w:pPr>
            <w:r>
              <w:rPr>
                <w:rFonts w:ascii="Arial" w:cs="Arial" w:eastAsia="Arial" w:hAnsi="Arial"/>
                <w:sz w:val="18"/>
                <w:szCs w:val="18"/>
                <w:color w:val="auto"/>
                <w:w w:val="99"/>
              </w:rPr>
              <w:t>62</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1460" w:type="dxa"/>
            <w:vAlign w:val="bottom"/>
            <w:shd w:val="clear" w:color="auto" w:fill="000000"/>
          </w:tcPr>
          <w:p>
            <w:pPr>
              <w:spacing w:after="0"/>
              <w:rPr>
                <w:sz w:val="5"/>
                <w:szCs w:val="5"/>
                <w:color w:val="auto"/>
              </w:rPr>
            </w:pPr>
          </w:p>
        </w:tc>
        <w:tc>
          <w:tcPr>
            <w:tcW w:w="304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1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Special</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Mention</w:t>
            </w:r>
          </w:p>
        </w:tc>
        <w:tc>
          <w:tcPr>
            <w:tcW w:w="200" w:type="dxa"/>
            <w:vAlign w:val="bottom"/>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Substandard</w:t>
            </w:r>
          </w:p>
        </w:tc>
        <w:tc>
          <w:tcPr>
            <w:tcW w:w="200" w:type="dxa"/>
            <w:vAlign w:val="bottom"/>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Doubtful</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6"/>
          </w:tcPr>
          <w:p>
            <w:pPr>
              <w:jc w:val="center"/>
              <w:ind w:left="214"/>
              <w:spacing w:after="0"/>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1,233</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506,894</w:t>
            </w:r>
          </w:p>
        </w:tc>
        <w:tc>
          <w:tcPr>
            <w:tcW w:w="0" w:type="dxa"/>
            <w:vAlign w:val="bottom"/>
          </w:tcPr>
          <w:p>
            <w:pPr>
              <w:spacing w:after="0"/>
              <w:rPr>
                <w:sz w:val="1"/>
                <w:szCs w:val="1"/>
                <w:color w:val="auto"/>
              </w:rPr>
            </w:pPr>
          </w:p>
        </w:tc>
      </w:tr>
      <w:tr>
        <w:trPr>
          <w:trHeight w:val="237"/>
        </w:trPr>
        <w:tc>
          <w:tcPr>
            <w:tcW w:w="45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322,424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6,695</w:t>
            </w:r>
          </w:p>
        </w:tc>
        <w:tc>
          <w:tcPr>
            <w:tcW w:w="2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329,119</w:t>
            </w:r>
          </w:p>
        </w:tc>
        <w:tc>
          <w:tcPr>
            <w:tcW w:w="0" w:type="dxa"/>
            <w:vAlign w:val="bottom"/>
          </w:tcPr>
          <w:p>
            <w:pPr>
              <w:spacing w:after="0"/>
              <w:rPr>
                <w:sz w:val="1"/>
                <w:szCs w:val="1"/>
                <w:color w:val="auto"/>
              </w:rPr>
            </w:pPr>
          </w:p>
        </w:tc>
      </w:tr>
      <w:tr>
        <w:trPr>
          <w:trHeight w:val="249"/>
        </w:trPr>
        <w:tc>
          <w:tcPr>
            <w:tcW w:w="4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397,390</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4,037</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8,150</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410,057</w:t>
            </w:r>
          </w:p>
        </w:tc>
        <w:tc>
          <w:tcPr>
            <w:tcW w:w="0" w:type="dxa"/>
            <w:vAlign w:val="bottom"/>
          </w:tcPr>
          <w:p>
            <w:pPr>
              <w:spacing w:after="0"/>
              <w:rPr>
                <w:sz w:val="1"/>
                <w:szCs w:val="1"/>
                <w:color w:val="auto"/>
              </w:rPr>
            </w:pPr>
          </w:p>
        </w:tc>
      </w:tr>
      <w:tr>
        <w:trPr>
          <w:trHeight w:val="237"/>
        </w:trPr>
        <w:tc>
          <w:tcPr>
            <w:tcW w:w="45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306,743</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6,607</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313,350</w:t>
            </w:r>
          </w:p>
        </w:tc>
        <w:tc>
          <w:tcPr>
            <w:tcW w:w="0" w:type="dxa"/>
            <w:vAlign w:val="bottom"/>
          </w:tcPr>
          <w:p>
            <w:pPr>
              <w:spacing w:after="0"/>
              <w:rPr>
                <w:sz w:val="1"/>
                <w:szCs w:val="1"/>
                <w:color w:val="auto"/>
              </w:rPr>
            </w:pPr>
          </w:p>
        </w:tc>
      </w:tr>
      <w:tr>
        <w:trPr>
          <w:trHeight w:val="237"/>
        </w:trPr>
        <w:tc>
          <w:tcPr>
            <w:tcW w:w="450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146,489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146,622</w:t>
            </w:r>
          </w:p>
        </w:tc>
        <w:tc>
          <w:tcPr>
            <w:tcW w:w="0" w:type="dxa"/>
            <w:vAlign w:val="bottom"/>
          </w:tcPr>
          <w:p>
            <w:pPr>
              <w:spacing w:after="0"/>
              <w:rPr>
                <w:sz w:val="1"/>
                <w:szCs w:val="1"/>
                <w:color w:val="auto"/>
              </w:rPr>
            </w:pPr>
          </w:p>
        </w:tc>
      </w:tr>
      <w:tr>
        <w:trPr>
          <w:trHeight w:val="249"/>
        </w:trPr>
        <w:tc>
          <w:tcPr>
            <w:tcW w:w="45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65,959</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66,191</w:t>
            </w:r>
          </w:p>
        </w:tc>
        <w:tc>
          <w:tcPr>
            <w:tcW w:w="0" w:type="dxa"/>
            <w:vAlign w:val="bottom"/>
          </w:tcPr>
          <w:p>
            <w:pPr>
              <w:spacing w:after="0"/>
              <w:rPr>
                <w:sz w:val="1"/>
                <w:szCs w:val="1"/>
                <w:color w:val="auto"/>
              </w:rPr>
            </w:pPr>
          </w:p>
        </w:tc>
      </w:tr>
      <w:tr>
        <w:trPr>
          <w:trHeight w:val="243"/>
        </w:trPr>
        <w:tc>
          <w:tcPr>
            <w:tcW w:w="45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65,847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65,922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1,800,712</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5,270</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31,693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1,838,155</w:t>
            </w:r>
          </w:p>
        </w:tc>
        <w:tc>
          <w:tcPr>
            <w:tcW w:w="0" w:type="dxa"/>
            <w:vAlign w:val="bottom"/>
          </w:tcPr>
          <w:p>
            <w:pPr>
              <w:spacing w:after="0"/>
              <w:rPr>
                <w:sz w:val="1"/>
                <w:szCs w:val="1"/>
                <w:color w:val="auto"/>
              </w:rPr>
            </w:pPr>
          </w:p>
        </w:tc>
      </w:tr>
      <w:tr>
        <w:trPr>
          <w:trHeight w:val="27"/>
        </w:trPr>
        <w:tc>
          <w:tcPr>
            <w:tcW w:w="1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 following table shows all loans, including nonaccrual loans, by classification and aging, as of December 31, 2018 and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Special</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Mention</w:t>
            </w:r>
          </w:p>
        </w:tc>
        <w:tc>
          <w:tcPr>
            <w:tcW w:w="200" w:type="dxa"/>
            <w:vAlign w:val="bottom"/>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Substandard</w:t>
            </w:r>
          </w:p>
        </w:tc>
        <w:tc>
          <w:tcPr>
            <w:tcW w:w="200" w:type="dxa"/>
            <w:vAlign w:val="bottom"/>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Doubtful</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center"/>
              <w:ind w:left="213"/>
              <w:spacing w:after="0"/>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31, 2018</w:t>
            </w:r>
          </w:p>
        </w:tc>
        <w:tc>
          <w:tcPr>
            <w:tcW w:w="30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1,905,405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18,749</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17,405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1,941,559</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Past due 30 – 89 days</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2,185</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8,684</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Past due 90+ days</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Nonaccrual</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6,390</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w:t>
            </w:r>
          </w:p>
        </w:tc>
      </w:tr>
      <w:tr>
        <w:trPr>
          <w:trHeight w:val="20"/>
        </w:trPr>
        <w:tc>
          <w:tcPr>
            <w:tcW w:w="1460" w:type="dxa"/>
            <w:vAlign w:val="bottom"/>
            <w:shd w:val="clear" w:color="auto" w:fill="CCEEFF"/>
          </w:tcPr>
          <w:p>
            <w:pPr>
              <w:spacing w:after="0" w:line="20" w:lineRule="exact"/>
              <w:rPr>
                <w:sz w:val="1"/>
                <w:szCs w:val="1"/>
                <w:color w:val="auto"/>
              </w:rPr>
            </w:pPr>
          </w:p>
        </w:tc>
        <w:tc>
          <w:tcPr>
            <w:tcW w:w="30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1,911,960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18,749</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26,488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1,957,197</w:t>
            </w:r>
          </w:p>
        </w:tc>
      </w:tr>
      <w:tr>
        <w:trPr>
          <w:trHeight w:val="28"/>
        </w:trPr>
        <w:tc>
          <w:tcPr>
            <w:tcW w:w="14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460" w:type="dxa"/>
            <w:vAlign w:val="bottom"/>
            <w:shd w:val="clear" w:color="auto" w:fill="CCEEFF"/>
          </w:tcPr>
          <w:p>
            <w:pPr>
              <w:spacing w:after="0"/>
              <w:rPr>
                <w:sz w:val="21"/>
                <w:szCs w:val="21"/>
                <w:color w:val="auto"/>
              </w:rPr>
            </w:pPr>
          </w:p>
        </w:tc>
        <w:tc>
          <w:tcPr>
            <w:tcW w:w="30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89"/>
        </w:trPr>
        <w:tc>
          <w:tcPr>
            <w:tcW w:w="45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1460" w:type="dxa"/>
            <w:vAlign w:val="bottom"/>
            <w:tcBorders>
              <w:top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1,792,879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5,270</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16,854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1,815,003</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Past due 30-89 days</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1,652</w:t>
            </w:r>
          </w:p>
        </w:tc>
        <w:tc>
          <w:tcPr>
            <w:tcW w:w="24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9,251</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Past due 90+ days</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963</w:t>
            </w:r>
          </w:p>
        </w:tc>
        <w:tc>
          <w:tcPr>
            <w:tcW w:w="24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Nonaccrual</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12,224</w:t>
            </w:r>
          </w:p>
        </w:tc>
        <w:tc>
          <w:tcPr>
            <w:tcW w:w="2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12,704</w:t>
            </w:r>
          </w:p>
        </w:tc>
      </w:tr>
      <w:tr>
        <w:trPr>
          <w:trHeight w:val="20"/>
        </w:trPr>
        <w:tc>
          <w:tcPr>
            <w:tcW w:w="146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1,800,712</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5,270</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31,693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1,838,155</w:t>
            </w:r>
          </w:p>
        </w:tc>
      </w:tr>
      <w:tr>
        <w:trPr>
          <w:trHeight w:val="27"/>
        </w:trPr>
        <w:tc>
          <w:tcPr>
            <w:tcW w:w="146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Portfolio</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70" w:lineRule="exact"/>
        <w:rPr>
          <w:sz w:val="20"/>
          <w:szCs w:val="20"/>
          <w:color w:val="auto"/>
        </w:rPr>
      </w:pPr>
    </w:p>
    <w:p>
      <w:pPr>
        <w:ind w:right="220" w:firstLine="360"/>
        <w:spacing w:after="0" w:line="275" w:lineRule="auto"/>
        <w:rPr>
          <w:sz w:val="20"/>
          <w:szCs w:val="20"/>
          <w:color w:val="auto"/>
        </w:rPr>
      </w:pPr>
      <w:r>
        <w:rPr>
          <w:rFonts w:ascii="Arial" w:cs="Arial" w:eastAsia="Arial" w:hAnsi="Arial"/>
          <w:sz w:val="17"/>
          <w:szCs w:val="17"/>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pacing w:after="0" w:line="68" w:lineRule="exact"/>
        <w:rPr>
          <w:sz w:val="20"/>
          <w:szCs w:val="20"/>
          <w:color w:val="auto"/>
        </w:rPr>
      </w:pPr>
    </w:p>
    <w:p>
      <w:pPr>
        <w:jc w:val="both"/>
        <w:ind w:right="180" w:firstLine="360"/>
        <w:spacing w:after="0" w:line="311" w:lineRule="auto"/>
        <w:rPr>
          <w:sz w:val="20"/>
          <w:szCs w:val="20"/>
          <w:color w:val="auto"/>
        </w:rPr>
      </w:pPr>
      <w:r>
        <w:rPr>
          <w:rFonts w:ascii="Arial" w:cs="Arial" w:eastAsia="Arial" w:hAnsi="Arial"/>
          <w:sz w:val="16"/>
          <w:szCs w:val="16"/>
          <w:color w:val="auto"/>
        </w:rPr>
        <w:t>During 2018, all 122 securities designated as held-to-maturity were transferred to available-for-sale based on ASU 2017-12. These securities had a book value of $75.2 million and a fair value of $77.6 million as of January 1, 2018, the effective date of the transfer. The unrealized gain is recorded in the change in unrealized loss on securities in other comprehensive income.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fair value of the securities portfolio as of the dates presented.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w w:val="95"/>
              </w:rPr>
              <w:t>December 31, 2018</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w w:val="90"/>
              </w:rPr>
              <w:t>December 31, 2017</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260" w:type="dxa"/>
            <w:vAlign w:val="bottom"/>
          </w:tcPr>
          <w:p>
            <w:pPr>
              <w:spacing w:after="0"/>
              <w:rPr>
                <w:sz w:val="13"/>
                <w:szCs w:val="13"/>
                <w:color w:val="auto"/>
              </w:rPr>
            </w:pPr>
          </w:p>
        </w:tc>
        <w:tc>
          <w:tcPr>
            <w:tcW w:w="88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jc w:val="right"/>
              <w:ind w:right="240"/>
              <w:spacing w:after="0" w:line="160" w:lineRule="exact"/>
              <w:rPr>
                <w:sz w:val="20"/>
                <w:szCs w:val="20"/>
                <w:color w:val="auto"/>
              </w:rPr>
            </w:pPr>
            <w:r>
              <w:rPr>
                <w:rFonts w:ascii="Arial" w:cs="Arial" w:eastAsia="Arial" w:hAnsi="Arial"/>
                <w:sz w:val="14"/>
                <w:szCs w:val="14"/>
                <w:b w:val="1"/>
                <w:bCs w:val="1"/>
                <w:color w:val="auto"/>
                <w:w w:val="95"/>
              </w:rPr>
              <w:t>Unrealized</w:t>
            </w:r>
          </w:p>
        </w:tc>
        <w:tc>
          <w:tcPr>
            <w:tcW w:w="6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tcPr>
          <w:p>
            <w:pPr>
              <w:jc w:val="right"/>
              <w:ind w:right="120"/>
              <w:spacing w:after="0" w:line="160" w:lineRule="exact"/>
              <w:rPr>
                <w:sz w:val="20"/>
                <w:szCs w:val="20"/>
                <w:color w:val="auto"/>
              </w:rPr>
            </w:pPr>
            <w:r>
              <w:rPr>
                <w:rFonts w:ascii="Arial" w:cs="Arial" w:eastAsia="Arial" w:hAnsi="Arial"/>
                <w:sz w:val="14"/>
                <w:szCs w:val="14"/>
                <w:b w:val="1"/>
                <w:bCs w:val="1"/>
                <w:color w:val="auto"/>
                <w:w w:val="98"/>
              </w:rPr>
              <w:t>Unrealized</w:t>
            </w:r>
          </w:p>
        </w:tc>
      </w:tr>
      <w:tr>
        <w:trPr>
          <w:trHeight w:val="185"/>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Gain/(Loss)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Gain/(Loss)</w:t>
            </w:r>
          </w:p>
        </w:tc>
      </w:tr>
      <w:tr>
        <w:trPr>
          <w:trHeight w:val="20"/>
        </w:trPr>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(Dollars 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Held-to-maturity</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2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89,920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92,310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2,390</w:t>
            </w:r>
          </w:p>
        </w:tc>
      </w:tr>
      <w:tr>
        <w:trPr>
          <w:trHeight w:val="249"/>
        </w:trPr>
        <w:tc>
          <w:tcPr>
            <w:tcW w:w="42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426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84,765</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84,707</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10,392</w:t>
            </w:r>
          </w:p>
        </w:tc>
        <w:tc>
          <w:tcPr>
            <w:tcW w:w="2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37"/>
        </w:trPr>
        <w:tc>
          <w:tcPr>
            <w:tcW w:w="42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32,205</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32,310</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74,597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74,984</w:t>
            </w:r>
          </w:p>
        </w:tc>
        <w:tc>
          <w:tcPr>
            <w:tcW w:w="2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r>
      <w:tr>
        <w:trPr>
          <w:trHeight w:val="249"/>
        </w:trPr>
        <w:tc>
          <w:tcPr>
            <w:tcW w:w="4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184,267</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182,256</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65,783</w:t>
            </w:r>
          </w:p>
        </w:tc>
        <w:tc>
          <w:tcPr>
            <w:tcW w:w="2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r>
      <w:tr>
        <w:trPr>
          <w:trHeight w:val="243"/>
        </w:trPr>
        <w:tc>
          <w:tcPr>
            <w:tcW w:w="4260" w:type="dxa"/>
            <w:vAlign w:val="bottom"/>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39,799</w:t>
            </w: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38,923</w:t>
            </w:r>
          </w:p>
        </w:tc>
        <w:tc>
          <w:tcPr>
            <w:tcW w:w="14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43,353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43,020</w:t>
            </w:r>
          </w:p>
        </w:tc>
        <w:tc>
          <w:tcPr>
            <w:tcW w:w="2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r>
      <w:tr>
        <w:trPr>
          <w:trHeight w:val="20"/>
        </w:trPr>
        <w:tc>
          <w:tcPr>
            <w:tcW w:w="4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2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available-for-sale</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341,036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338,196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194,625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194,179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r>
      <w:tr>
        <w:trPr>
          <w:trHeight w:val="27"/>
        </w:trPr>
        <w:tc>
          <w:tcPr>
            <w:tcW w:w="426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7"/>
          <w:szCs w:val="17"/>
          <w:color w:val="auto"/>
        </w:rPr>
        <w:t>Certain securities have fair values less than amortized cost and, therefore, contain unrealized losses. At December 31, 2018,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68" w:lineRule="exact"/>
        <w:rPr>
          <w:sz w:val="20"/>
          <w:szCs w:val="20"/>
          <w:color w:val="auto"/>
        </w:rPr>
      </w:pPr>
    </w:p>
    <w:p>
      <w:pPr>
        <w:ind w:right="320" w:firstLine="360"/>
        <w:spacing w:after="0" w:line="263" w:lineRule="auto"/>
        <w:rPr>
          <w:sz w:val="20"/>
          <w:szCs w:val="20"/>
          <w:color w:val="auto"/>
        </w:rPr>
      </w:pPr>
      <w:r>
        <w:rPr>
          <w:rFonts w:ascii="Arial" w:cs="Arial" w:eastAsia="Arial" w:hAnsi="Arial"/>
          <w:sz w:val="18"/>
          <w:szCs w:val="18"/>
          <w:color w:val="auto"/>
        </w:rPr>
        <w:t>The following table sets forth certain information regarding contractual maturities and the weighted average yields of our investment securities as of the dated presented. Expected maturities may differ from contractual maturities if borrowers have the right to call or prepay obligation with or without call or prepayment penalties.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As of December 31, 2018</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ind w:left="60"/>
              <w:spacing w:after="0" w:line="160" w:lineRule="exact"/>
              <w:rPr>
                <w:sz w:val="20"/>
                <w:szCs w:val="20"/>
                <w:color w:val="auto"/>
              </w:rPr>
            </w:pPr>
            <w:r>
              <w:rPr>
                <w:rFonts w:ascii="Arial" w:cs="Arial" w:eastAsia="Arial" w:hAnsi="Arial"/>
                <w:sz w:val="14"/>
                <w:szCs w:val="14"/>
                <w:b w:val="1"/>
                <w:bCs w:val="1"/>
                <w:color w:val="auto"/>
              </w:rPr>
              <w:t>Due after One Year</w:t>
            </w:r>
          </w:p>
        </w:tc>
        <w:tc>
          <w:tcPr>
            <w:tcW w:w="140" w:type="dxa"/>
            <w:vAlign w:val="bottom"/>
          </w:tcPr>
          <w:p>
            <w:pPr>
              <w:spacing w:after="0"/>
              <w:rPr>
                <w:sz w:val="13"/>
                <w:szCs w:val="13"/>
                <w:color w:val="auto"/>
              </w:rPr>
            </w:pPr>
          </w:p>
        </w:tc>
        <w:tc>
          <w:tcPr>
            <w:tcW w:w="1620" w:type="dxa"/>
            <w:vAlign w:val="bottom"/>
            <w:gridSpan w:val="5"/>
          </w:tcPr>
          <w:p>
            <w:pPr>
              <w:jc w:val="right"/>
              <w:ind w:right="340"/>
              <w:spacing w:after="0" w:line="160" w:lineRule="exact"/>
              <w:rPr>
                <w:sz w:val="20"/>
                <w:szCs w:val="20"/>
                <w:color w:val="auto"/>
              </w:rPr>
            </w:pPr>
            <w:r>
              <w:rPr>
                <w:rFonts w:ascii="Arial" w:cs="Arial" w:eastAsia="Arial" w:hAnsi="Arial"/>
                <w:sz w:val="14"/>
                <w:szCs w:val="14"/>
                <w:b w:val="1"/>
                <w:bCs w:val="1"/>
                <w:color w:val="auto"/>
                <w:w w:val="93"/>
              </w:rPr>
              <w:t>Due after Five Years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Due in One Year or Less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Through Five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5"/>
              </w:rPr>
              <w:t>Through Ten Years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5"/>
              </w:rPr>
              <w:t>Due after Ten Years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Amortized</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Amortized</w:t>
            </w:r>
          </w:p>
        </w:tc>
        <w:tc>
          <w:tcPr>
            <w:tcW w:w="2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Amortized</w:t>
            </w: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5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95"/>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(Dollars in thousands)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Held-to-maturity</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4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4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agencies</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8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8,995</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22,740</w:t>
            </w:r>
          </w:p>
        </w:tc>
        <w:tc>
          <w:tcPr>
            <w:tcW w:w="5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32,037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152,133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480" w:type="dxa"/>
            <w:vAlign w:val="bottom"/>
          </w:tcPr>
          <w:p>
            <w:pPr>
              <w:ind w:left="180"/>
              <w:spacing w:after="0"/>
              <w:rPr>
                <w:sz w:val="20"/>
                <w:szCs w:val="20"/>
                <w:color w:val="auto"/>
              </w:rPr>
            </w:pPr>
            <w:r>
              <w:rPr>
                <w:rFonts w:ascii="Arial" w:cs="Arial" w:eastAsia="Arial" w:hAnsi="Arial"/>
                <w:sz w:val="18"/>
                <w:szCs w:val="18"/>
                <w:color w:val="auto"/>
              </w:rPr>
              <w:t>Asset-backed and other</w:t>
            </w:r>
          </w:p>
        </w:tc>
        <w:tc>
          <w:tcPr>
            <w:tcW w:w="120" w:type="dxa"/>
            <w:vAlign w:val="bottom"/>
          </w:tcPr>
          <w:p>
            <w:pPr>
              <w:spacing w:after="0"/>
              <w:rPr>
                <w:sz w:val="18"/>
                <w:szCs w:val="18"/>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39,799</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60"/>
              <w:spacing w:after="0"/>
              <w:rPr>
                <w:sz w:val="20"/>
                <w:szCs w:val="20"/>
                <w:color w:val="auto"/>
              </w:rPr>
            </w:pPr>
            <w:r>
              <w:rPr>
                <w:rFonts w:ascii="Arial" w:cs="Arial" w:eastAsia="Arial" w:hAnsi="Arial"/>
                <w:sz w:val="18"/>
                <w:szCs w:val="18"/>
                <w:color w:val="auto"/>
              </w:rPr>
              <w:t>amortizing securities</w:t>
            </w:r>
          </w:p>
        </w:tc>
        <w:tc>
          <w:tcPr>
            <w:tcW w:w="12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4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available-for-sale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77,918</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106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41,032</w:t>
            </w: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214,672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4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63" w:lineRule="auto"/>
        <w:rPr>
          <w:sz w:val="20"/>
          <w:szCs w:val="20"/>
          <w:color w:val="auto"/>
        </w:rPr>
      </w:pPr>
      <w:r>
        <w:rPr>
          <w:rFonts w:ascii="Arial" w:cs="Arial" w:eastAsia="Arial" w:hAnsi="Arial"/>
          <w:sz w:val="18"/>
          <w:szCs w:val="18"/>
          <w:color w:val="auto"/>
        </w:rPr>
        <w:t>Total deposits at December 31, 2018 were $2.3 billion, representing an increase of $123.4 million, or 5.7%, compared to $2.2 billion at December 31, 2017. As of December 31, 2018, 22.4% of total deposits were comprised of noninterest-bearing demand accounts, 63.9% of interest-bearing non-maturity accounts and 13.7% of time deposits.</w:t>
      </w:r>
    </w:p>
    <w:p>
      <w:pPr>
        <w:spacing w:after="0" w:line="76"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The following table summarizes our average deposit balances and weighted average rates for the years ended December 31, 2018 and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2"/>
              </w:rPr>
              <w:t>As of December 31,</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0"/>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1"/>
              </w:rPr>
              <w:t>Weighted</w:t>
            </w:r>
          </w:p>
        </w:tc>
      </w:tr>
      <w:tr>
        <w:trPr>
          <w:trHeight w:val="162"/>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Average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Average</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r>
      <w:tr>
        <w:trPr>
          <w:trHeight w:val="185"/>
        </w:trPr>
        <w:tc>
          <w:tcPr>
            <w:tcW w:w="5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r>
      <w:tr>
        <w:trPr>
          <w:trHeight w:val="183"/>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43"/>
        </w:trPr>
        <w:tc>
          <w:tcPr>
            <w:tcW w:w="5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487,363</w:t>
            </w:r>
          </w:p>
        </w:tc>
        <w:tc>
          <w:tcPr>
            <w:tcW w:w="200" w:type="dxa"/>
            <w:vAlign w:val="bottom"/>
            <w:tcBorders>
              <w:right w:val="single" w:sz="8" w:color="CCEEFF"/>
            </w:tcBorders>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464,518</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9"/>
        </w:trPr>
        <w:tc>
          <w:tcPr>
            <w:tcW w:w="5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NOW, savings and money market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1,394,617</w:t>
            </w:r>
          </w:p>
        </w:tc>
        <w:tc>
          <w:tcPr>
            <w:tcW w:w="200" w:type="dxa"/>
            <w:vAlign w:val="bottom"/>
            <w:tcBorders>
              <w:right w:val="single" w:sz="8" w:color="CCEEFF"/>
            </w:tcBorders>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0.93%</w:t>
            </w:r>
          </w:p>
        </w:tc>
        <w:tc>
          <w:tcPr>
            <w:tcW w:w="14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1,306,168</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color w:val="auto"/>
              </w:rPr>
              <w:t>Time deposits (less than $100,000)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80,205</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84,540</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20"/>
                <w:szCs w:val="20"/>
                <w:color w:val="auto"/>
              </w:rPr>
            </w:pPr>
          </w:p>
        </w:tc>
      </w:tr>
      <w:tr>
        <w:trPr>
          <w:trHeight w:val="249"/>
        </w:trPr>
        <w:tc>
          <w:tcPr>
            <w:tcW w:w="5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 ($100,000 to $250,000)</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110,034</w:t>
            </w:r>
          </w:p>
        </w:tc>
        <w:tc>
          <w:tcPr>
            <w:tcW w:w="20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117,879</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left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Time deposits (more than $250,000)</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123,059</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153,340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1"/>
                <w:szCs w:val="21"/>
                <w:color w:val="auto"/>
              </w:rPr>
            </w:pPr>
          </w:p>
        </w:tc>
      </w:tr>
      <w:tr>
        <w:trPr>
          <w:trHeight w:val="20"/>
        </w:trPr>
        <w:tc>
          <w:tcPr>
            <w:tcW w:w="53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3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interest-bearing deposits</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1,707,915</w:t>
            </w:r>
          </w:p>
        </w:tc>
        <w:tc>
          <w:tcPr>
            <w:tcW w:w="20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1,661,927</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Borders>
              <w:left w:val="single" w:sz="8" w:color="CCEEFF"/>
            </w:tcBorders>
            <w:shd w:val="clear" w:color="auto" w:fill="CCEEFF"/>
          </w:tcPr>
          <w:p>
            <w:pPr>
              <w:spacing w:after="0"/>
              <w:rPr>
                <w:sz w:val="20"/>
                <w:szCs w:val="20"/>
                <w:color w:val="auto"/>
              </w:rPr>
            </w:pPr>
          </w:p>
        </w:tc>
      </w:tr>
      <w:tr>
        <w:trPr>
          <w:trHeight w:val="20"/>
        </w:trPr>
        <w:tc>
          <w:tcPr>
            <w:tcW w:w="53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r>
      <w:tr>
        <w:trPr>
          <w:trHeight w:val="223"/>
        </w:trPr>
        <w:tc>
          <w:tcPr>
            <w:tcW w:w="5360" w:type="dxa"/>
            <w:vAlign w:val="bottom"/>
          </w:tcPr>
          <w:p>
            <w:pPr>
              <w:ind w:left="540"/>
              <w:spacing w:after="0"/>
              <w:rPr>
                <w:sz w:val="20"/>
                <w:szCs w:val="20"/>
                <w:color w:val="auto"/>
              </w:rPr>
            </w:pPr>
            <w:r>
              <w:rPr>
                <w:rFonts w:ascii="Arial" w:cs="Arial" w:eastAsia="Arial" w:hAnsi="Arial"/>
                <w:sz w:val="18"/>
                <w:szCs w:val="18"/>
                <w:color w:val="auto"/>
              </w:rPr>
              <w:t>Total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2,195,278</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2,126,445</w:t>
            </w: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0.58%</w:t>
            </w:r>
          </w:p>
        </w:tc>
      </w:tr>
      <w:tr>
        <w:trPr>
          <w:trHeight w:val="21"/>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maturity of time deposits as of December 31, 2018 and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As of December 31, 2018</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Maturity Within:</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60"/>
        </w:trPr>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3"/>
                <w:szCs w:val="13"/>
                <w:color w:val="auto"/>
              </w:rPr>
            </w:pPr>
          </w:p>
        </w:tc>
        <w:tc>
          <w:tcPr>
            <w:tcW w:w="900" w:type="dxa"/>
            <w:vAlign w:val="bottom"/>
          </w:tcPr>
          <w:p>
            <w:pPr>
              <w:jc w:val="center"/>
              <w:ind w:right="58"/>
              <w:spacing w:after="0" w:line="160" w:lineRule="exact"/>
              <w:rPr>
                <w:sz w:val="20"/>
                <w:szCs w:val="20"/>
                <w:color w:val="auto"/>
              </w:rPr>
            </w:pPr>
            <w:r>
              <w:rPr>
                <w:rFonts w:ascii="Arial" w:cs="Arial" w:eastAsia="Arial" w:hAnsi="Arial"/>
                <w:sz w:val="14"/>
                <w:szCs w:val="14"/>
                <w:b w:val="1"/>
                <w:bCs w:val="1"/>
                <w:color w:val="auto"/>
                <w:w w:val="94"/>
              </w:rPr>
              <w:t>Three to Six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89"/>
              </w:rPr>
              <w:t>Six to</w:t>
            </w:r>
          </w:p>
        </w:tc>
        <w:tc>
          <w:tcPr>
            <w:tcW w:w="100" w:type="dxa"/>
            <w:vAlign w:val="bottom"/>
          </w:tcPr>
          <w:p>
            <w:pPr>
              <w:spacing w:after="0"/>
              <w:rPr>
                <w:sz w:val="13"/>
                <w:szCs w:val="13"/>
                <w:color w:val="auto"/>
              </w:rPr>
            </w:pPr>
          </w:p>
        </w:tc>
        <w:tc>
          <w:tcPr>
            <w:tcW w:w="9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7"/>
              </w:rPr>
              <w:t>After</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5"/>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Months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Months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12 Months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12 Months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r>
      <w:tr>
        <w:trPr>
          <w:trHeight w:val="237"/>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77,932</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Time deposits ($100,000 to $250,000)</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14,983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16,108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29,227</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47,747</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108,065</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(more than $250,000)</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22,852</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80,765</w:t>
            </w:r>
          </w:p>
        </w:tc>
        <w:tc>
          <w:tcPr>
            <w:tcW w:w="18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125,540</w:t>
            </w:r>
          </w:p>
        </w:tc>
      </w:tr>
      <w:tr>
        <w:trPr>
          <w:trHeight w:val="20"/>
        </w:trPr>
        <w:tc>
          <w:tcPr>
            <w:tcW w:w="43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Total time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42,146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44,311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76,644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148,436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311,537</w:t>
            </w: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As of December 31, 2017</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8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Maturity Within:</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60"/>
        </w:trPr>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3"/>
                <w:szCs w:val="13"/>
                <w:color w:val="auto"/>
              </w:rPr>
            </w:pPr>
          </w:p>
        </w:tc>
        <w:tc>
          <w:tcPr>
            <w:tcW w:w="900" w:type="dxa"/>
            <w:vAlign w:val="bottom"/>
          </w:tcPr>
          <w:p>
            <w:pPr>
              <w:jc w:val="center"/>
              <w:ind w:right="58"/>
              <w:spacing w:after="0" w:line="160" w:lineRule="exact"/>
              <w:rPr>
                <w:sz w:val="20"/>
                <w:szCs w:val="20"/>
                <w:color w:val="auto"/>
              </w:rPr>
            </w:pPr>
            <w:r>
              <w:rPr>
                <w:rFonts w:ascii="Arial" w:cs="Arial" w:eastAsia="Arial" w:hAnsi="Arial"/>
                <w:sz w:val="14"/>
                <w:szCs w:val="14"/>
                <w:b w:val="1"/>
                <w:bCs w:val="1"/>
                <w:color w:val="auto"/>
                <w:w w:val="94"/>
              </w:rPr>
              <w:t>Three to Six</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89"/>
              </w:rPr>
              <w:t>Six to</w:t>
            </w:r>
          </w:p>
        </w:tc>
        <w:tc>
          <w:tcPr>
            <w:tcW w:w="100" w:type="dxa"/>
            <w:vAlign w:val="bottom"/>
          </w:tcPr>
          <w:p>
            <w:pPr>
              <w:spacing w:after="0"/>
              <w:rPr>
                <w:sz w:val="13"/>
                <w:szCs w:val="13"/>
                <w:color w:val="auto"/>
              </w:rPr>
            </w:pPr>
          </w:p>
        </w:tc>
        <w:tc>
          <w:tcPr>
            <w:tcW w:w="940" w:type="dxa"/>
            <w:vAlign w:val="bottom"/>
            <w:gridSpan w:val="2"/>
          </w:tcPr>
          <w:p>
            <w:pPr>
              <w:jc w:val="center"/>
              <w:ind w:right="300"/>
              <w:spacing w:after="0" w:line="160" w:lineRule="exact"/>
              <w:rPr>
                <w:sz w:val="20"/>
                <w:szCs w:val="20"/>
                <w:color w:val="auto"/>
              </w:rPr>
            </w:pPr>
            <w:r>
              <w:rPr>
                <w:rFonts w:ascii="Arial" w:cs="Arial" w:eastAsia="Arial" w:hAnsi="Arial"/>
                <w:sz w:val="14"/>
                <w:szCs w:val="14"/>
                <w:b w:val="1"/>
                <w:bCs w:val="1"/>
                <w:color w:val="auto"/>
                <w:w w:val="97"/>
              </w:rPr>
              <w:t>After</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5"/>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Months</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Months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12 Months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12 Months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r>
      <w:tr>
        <w:trPr>
          <w:trHeight w:val="236"/>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82,096</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Time deposits ($100,000 to $250,000)</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27,835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24,524</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40,789</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109,354</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(more than $250,000)</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18,017</w:t>
            </w: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11,754</w:t>
            </w: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62,556</w:t>
            </w:r>
          </w:p>
        </w:tc>
        <w:tc>
          <w:tcPr>
            <w:tcW w:w="18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140,063</w:t>
            </w:r>
          </w:p>
        </w:tc>
      </w:tr>
      <w:tr>
        <w:trPr>
          <w:trHeight w:val="20"/>
        </w:trPr>
        <w:tc>
          <w:tcPr>
            <w:tcW w:w="43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Total time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97,525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53,253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60,210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120,525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331,513</w:t>
            </w: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420" w:firstLine="360"/>
        <w:spacing w:after="0" w:line="263" w:lineRule="auto"/>
        <w:rPr>
          <w:sz w:val="20"/>
          <w:szCs w:val="20"/>
          <w:color w:val="auto"/>
        </w:rPr>
      </w:pPr>
      <w:r>
        <w:rPr>
          <w:rFonts w:ascii="Arial" w:cs="Arial" w:eastAsia="Arial" w:hAnsi="Arial"/>
          <w:sz w:val="18"/>
          <w:szCs w:val="18"/>
          <w:color w:val="auto"/>
        </w:rPr>
        <w:t>Time deposits issued in amounts of more than $250,000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Borrowed Funds</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In addition to deposits, we utilize advances from the FHLB and other borrowings as a supplementary funding source to finance our operations.</w:t>
      </w:r>
    </w:p>
    <w:p>
      <w:pPr>
        <w:spacing w:after="0" w:line="62"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i w:val="1"/>
          <w:iCs w:val="1"/>
          <w:color w:val="auto"/>
        </w:rPr>
        <w:t>FHLB Advances</w:t>
      </w:r>
      <w:r>
        <w:rPr>
          <w:rFonts w:ascii="Arial" w:cs="Arial" w:eastAsia="Arial" w:hAnsi="Arial"/>
          <w:sz w:val="16"/>
          <w:szCs w:val="16"/>
          <w:color w:val="auto"/>
        </w:rPr>
        <w:t>. The FHLB allows us to borrow, both short and long-term, on a blanket floating lien status collateralized by</w:t>
      </w:r>
      <w:r>
        <w:rPr>
          <w:rFonts w:ascii="Arial" w:cs="Arial" w:eastAsia="Arial" w:hAnsi="Arial"/>
          <w:sz w:val="16"/>
          <w:szCs w:val="16"/>
          <w:i w:val="1"/>
          <w:iCs w:val="1"/>
          <w:color w:val="auto"/>
        </w:rPr>
        <w:t xml:space="preserve"> </w:t>
      </w:r>
      <w:r>
        <w:rPr>
          <w:rFonts w:ascii="Arial" w:cs="Arial" w:eastAsia="Arial" w:hAnsi="Arial"/>
          <w:sz w:val="16"/>
          <w:szCs w:val="16"/>
          <w:color w:val="auto"/>
        </w:rPr>
        <w:t>first mortgage loans and commercial real estate loans as well as FHLB stock. At December 31, 2018 and December 31, 2017, we had maximum borrowing capacity from the FHLB of $719.4 million and $696.6 million, respectively. We had $199.0 million and 145.0 million in off-balance sheet liabilities for letters of credit at December 31, 2018 and 2017, respectively. These letters of credit are used to pledge as collateral for public funds deposits. We had no short-term FHLB borrowings as of December 31, 2018 and 2017. We had long-term FHLB borrowings of $95.0 million as of December 31, 2018 and 2017, with 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average interest rate of 2.27% and 1.40%, respectively. As of December 31, 2018 and 2017, total remaining borrowing capacity of $425.4 million and $456.6 million, respectively, was available under this arrangement. Our current FHLB borrowings mature within seven years.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FHLB borrowings as of December 31, 2018 and 2017:</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72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7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year-end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1"/>
                <w:szCs w:val="21"/>
                <w:color w:val="auto"/>
              </w:rPr>
            </w:pPr>
          </w:p>
        </w:tc>
      </w:tr>
      <w:tr>
        <w:trPr>
          <w:trHeight w:val="237"/>
        </w:trPr>
        <w:tc>
          <w:tcPr>
            <w:tcW w:w="726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4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year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21"/>
                <w:szCs w:val="21"/>
                <w:color w:val="auto"/>
              </w:rPr>
            </w:pPr>
          </w:p>
        </w:tc>
      </w:tr>
      <w:tr>
        <w:trPr>
          <w:trHeight w:val="237"/>
        </w:trPr>
        <w:tc>
          <w:tcPr>
            <w:tcW w:w="7260" w:type="dxa"/>
            <w:vAlign w:val="bottom"/>
          </w:tcPr>
          <w:p>
            <w:pPr>
              <w:spacing w:after="0"/>
              <w:rPr>
                <w:sz w:val="20"/>
                <w:szCs w:val="20"/>
                <w:color w:val="auto"/>
              </w:rPr>
            </w:pPr>
            <w:r>
              <w:rPr>
                <w:rFonts w:ascii="Arial" w:cs="Arial" w:eastAsia="Arial" w:hAnsi="Arial"/>
                <w:sz w:val="18"/>
                <w:szCs w:val="18"/>
                <w:color w:val="auto"/>
              </w:rPr>
              <w:t>Average balance outstanding during the year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20"/>
                <w:szCs w:val="20"/>
                <w:color w:val="auto"/>
              </w:rPr>
            </w:pPr>
          </w:p>
        </w:tc>
      </w:tr>
      <w:tr>
        <w:trPr>
          <w:trHeight w:val="24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year</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bl>
    <w:p>
      <w:pPr>
        <w:spacing w:after="0" w:line="9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i w:val="1"/>
          <w:iCs w:val="1"/>
          <w:color w:val="auto"/>
        </w:rPr>
        <w:t>Federal Reserve Bank of Dallas</w:t>
      </w:r>
      <w:r>
        <w:rPr>
          <w:rFonts w:ascii="Arial" w:cs="Arial" w:eastAsia="Arial" w:hAnsi="Arial"/>
          <w:sz w:val="18"/>
          <w:szCs w:val="18"/>
          <w:color w:val="auto"/>
        </w:rPr>
        <w:t>. The Bank has a line of credit with the Federal Reserve Bank of Dallas. The amount of the line</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on a monthly basis by the Federal Reserve Bank. The line is collateralized by a blanket floating lien on all agriculture, commercial and consumer loans. The amount of the line was $532.0 million and $466.0 million at December 31, 2018 and 2017, respectively. The line was not used at December 31, 2018 or 2017.</w:t>
      </w:r>
    </w:p>
    <w:p>
      <w:pPr>
        <w:spacing w:after="0" w:line="79" w:lineRule="exact"/>
        <w:rPr>
          <w:sz w:val="20"/>
          <w:szCs w:val="20"/>
          <w:color w:val="auto"/>
        </w:rPr>
      </w:pPr>
    </w:p>
    <w:p>
      <w:pPr>
        <w:ind w:right="520" w:firstLine="360"/>
        <w:spacing w:after="0" w:line="263" w:lineRule="auto"/>
        <w:rPr>
          <w:sz w:val="20"/>
          <w:szCs w:val="20"/>
          <w:color w:val="auto"/>
        </w:rPr>
      </w:pPr>
      <w:r>
        <w:rPr>
          <w:rFonts w:ascii="Arial" w:cs="Arial" w:eastAsia="Arial" w:hAnsi="Arial"/>
          <w:sz w:val="18"/>
          <w:szCs w:val="18"/>
          <w:i w:val="1"/>
          <w:iCs w:val="1"/>
          <w:color w:val="auto"/>
        </w:rPr>
        <w:t>Lines of Credit</w:t>
      </w:r>
      <w:r>
        <w:rPr>
          <w:rFonts w:ascii="Arial" w:cs="Arial" w:eastAsia="Arial" w:hAnsi="Arial"/>
          <w:sz w:val="18"/>
          <w:szCs w:val="18"/>
          <w:color w:val="auto"/>
        </w:rPr>
        <w:t>. The Bank has uncollateralized lines of credit with multiple banks as a source of funding for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The total amount of the lines was $135.0 million as of December 31, 2018 and 2017. The lines were not used at December 31, 2018 and 2017.</w:t>
      </w:r>
    </w:p>
    <w:p>
      <w:pPr>
        <w:spacing w:after="0" w:line="76"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i w:val="1"/>
          <w:iCs w:val="1"/>
          <w:color w:val="auto"/>
        </w:rPr>
        <w:t>Subordinated Debt Securities</w:t>
      </w:r>
      <w:r>
        <w:rPr>
          <w:rFonts w:ascii="Arial" w:cs="Arial" w:eastAsia="Arial" w:hAnsi="Arial"/>
          <w:sz w:val="17"/>
          <w:szCs w:val="17"/>
          <w:color w:val="auto"/>
        </w:rPr>
        <w:t>. In January 2014, the Company issued $20.9 million in subordinated debt securities.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securities pay interest quarterly and mature January 2024. There was $14.4 million issued at an initial rate of 5.0% and $6.5 million issued at an initial rate of 4.0% at December 31, 2018. These rates are fixed for five years from issuance and then float at the </w:t>
      </w:r>
      <w:r>
        <w:rPr>
          <w:rFonts w:ascii="Arial" w:cs="Arial" w:eastAsia="Arial" w:hAnsi="Arial"/>
          <w:sz w:val="17"/>
          <w:szCs w:val="17"/>
          <w:i w:val="1"/>
          <w:iCs w:val="1"/>
          <w:color w:val="auto"/>
        </w:rPr>
        <w:t>Wall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Street Journal </w:t>
      </w:r>
      <w:r>
        <w:rPr>
          <w:rFonts w:ascii="Arial" w:cs="Arial" w:eastAsia="Arial" w:hAnsi="Arial"/>
          <w:sz w:val="17"/>
          <w:szCs w:val="17"/>
          <w:color w:val="auto"/>
        </w:rPr>
        <w:t>prime rate, with a floor of 4.0% and a ceiling of 7.5%. The securities are unsecured and could be called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at any time after January 2019, and they qualify for tier 2 capital treatment, subject to regulatory limitations. In December 2018, we notified all holders of our subordinated debt securities that we intended to call these securities in January 2019 and provided holders the option to exchange their current subordinated debt securities for newly-issued subordinated debt securities or to have their securities be redeemed. Holders of $13.4 million in subordinated debt securities elected to exchange their securities while holders of $7.5 million in subordinated debt securities elected to have their securities be redeemed. As a result, the outstanding balance of these securities at December 31, 2018 was $7.5 million.</w:t>
      </w:r>
    </w:p>
    <w:p>
      <w:pPr>
        <w:spacing w:after="0" w:line="77"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In December 2018, the Company issued $26.5 million in subordinated debt securities, including $13.4 million issued in exchange for our previously issued notes as described above.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 As of the date of this prospectus, we had approximately $26.5 million of subordinated debt outstanding.</w:t>
      </w:r>
    </w:p>
    <w:p>
      <w:pPr>
        <w:spacing w:after="0" w:line="70"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i w:val="1"/>
          <w:iCs w:val="1"/>
          <w:color w:val="auto"/>
        </w:rPr>
        <w:t>Junior Subordinated Deferrable Interest Debentures and Trust Preferred Securities</w:t>
      </w:r>
      <w:r>
        <w:rPr>
          <w:rFonts w:ascii="Arial" w:cs="Arial" w:eastAsia="Arial" w:hAnsi="Arial"/>
          <w:sz w:val="16"/>
          <w:szCs w:val="16"/>
          <w:color w:val="auto"/>
        </w:rPr>
        <w:t>. Between March 2004 and June 2007,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December 31, 2018 and 2017. Company has the right, as has been exercised in the past, to defer payments of interest on the securities for up to twenty consecutive quarters. During such time, corporate dividends may not be paid.</w:t>
      </w:r>
    </w:p>
    <w:p>
      <w:pPr>
        <w:spacing w:after="0" w:line="58"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chart below indicates certain information about each of the statutory trusts and the junior subordinated deferrable interest debentures, including the date the junior subordinated deferrable interest debentures were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Stated</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of Trust</w:t>
            </w:r>
          </w:p>
        </w:tc>
        <w:tc>
          <w:tcPr>
            <w:tcW w:w="180" w:type="dxa"/>
            <w:vAlign w:val="bottom"/>
          </w:tcPr>
          <w:p>
            <w:pPr>
              <w:spacing w:after="0"/>
              <w:rPr>
                <w:sz w:val="14"/>
                <w:szCs w:val="1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Interest Rate of</w:t>
            </w:r>
          </w:p>
        </w:tc>
      </w:tr>
      <w:tr>
        <w:trPr>
          <w:trHeight w:val="162"/>
        </w:trPr>
        <w:tc>
          <w:tcPr>
            <w:tcW w:w="1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of Trust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rPr>
                <w:sz w:val="14"/>
                <w:szCs w:val="1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Trust Preferred</w:t>
            </w:r>
          </w:p>
        </w:tc>
      </w:tr>
      <w:tr>
        <w:trPr>
          <w:trHeight w:val="145"/>
        </w:trPr>
        <w:tc>
          <w:tcPr>
            <w:tcW w:w="1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Issue</w:t>
            </w:r>
          </w:p>
        </w:tc>
        <w:tc>
          <w:tcPr>
            <w:tcW w:w="860" w:type="dxa"/>
            <w:vAlign w:val="bottom"/>
            <w:gridSpan w:val="4"/>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Preferred</w:t>
            </w:r>
          </w:p>
        </w:tc>
        <w:tc>
          <w:tcPr>
            <w:tcW w:w="96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Amount of</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Securities and</w:t>
            </w:r>
          </w:p>
        </w:tc>
        <w:tc>
          <w:tcPr>
            <w:tcW w:w="180" w:type="dxa"/>
            <w:vAlign w:val="bottom"/>
          </w:tcPr>
          <w:p>
            <w:pPr>
              <w:spacing w:after="0"/>
              <w:rPr>
                <w:sz w:val="12"/>
                <w:szCs w:val="12"/>
                <w:color w:val="auto"/>
              </w:rPr>
            </w:pPr>
          </w:p>
        </w:tc>
        <w:tc>
          <w:tcPr>
            <w:tcW w:w="162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89"/>
              </w:rPr>
              <w:t>Securities and</w:t>
            </w:r>
          </w:p>
        </w:tc>
      </w:tr>
      <w:tr>
        <w:trPr>
          <w:trHeight w:val="202"/>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Trust</w:t>
            </w:r>
          </w:p>
        </w:tc>
        <w:tc>
          <w:tcPr>
            <w:tcW w:w="200" w:type="dxa"/>
            <w:vAlign w:val="bottom"/>
          </w:tcPr>
          <w:p>
            <w:pPr>
              <w:spacing w:after="0"/>
              <w:rPr>
                <w:sz w:val="17"/>
                <w:szCs w:val="17"/>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Date</w:t>
            </w:r>
          </w:p>
        </w:tc>
        <w:tc>
          <w:tcPr>
            <w:tcW w:w="200" w:type="dxa"/>
            <w:vAlign w:val="bottom"/>
            <w:gridSpan w:val="2"/>
          </w:tcPr>
          <w:p>
            <w:pPr>
              <w:spacing w:after="0"/>
              <w:rPr>
                <w:sz w:val="17"/>
                <w:szCs w:val="17"/>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gridSpan w:val="2"/>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Debentures</w:t>
            </w: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7"/>
              </w:rPr>
              <w:t>Debentures</w:t>
            </w:r>
            <w:r>
              <w:rPr>
                <w:rFonts w:ascii="Arial" w:cs="Arial" w:eastAsia="Arial" w:hAnsi="Arial"/>
                <w:sz w:val="23"/>
                <w:szCs w:val="23"/>
                <w:b w:val="1"/>
                <w:bCs w:val="1"/>
                <w:color w:val="auto"/>
                <w:w w:val="87"/>
                <w:vertAlign w:val="superscript"/>
              </w:rPr>
              <w:t>(1)</w:t>
            </w:r>
          </w:p>
        </w:tc>
        <w:tc>
          <w:tcPr>
            <w:tcW w:w="180" w:type="dxa"/>
            <w:vAlign w:val="bottom"/>
          </w:tcPr>
          <w:p>
            <w:pPr>
              <w:spacing w:after="0"/>
              <w:rPr>
                <w:sz w:val="17"/>
                <w:szCs w:val="17"/>
                <w:color w:val="auto"/>
              </w:rPr>
            </w:pPr>
          </w:p>
        </w:tc>
        <w:tc>
          <w:tcPr>
            <w:tcW w:w="15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Debentures</w:t>
            </w:r>
            <w:r>
              <w:rPr>
                <w:rFonts w:ascii="Arial" w:cs="Arial" w:eastAsia="Arial" w:hAnsi="Arial"/>
                <w:sz w:val="23"/>
                <w:szCs w:val="23"/>
                <w:b w:val="1"/>
                <w:bCs w:val="1"/>
                <w:color w:val="auto"/>
                <w:w w:val="85"/>
                <w:vertAlign w:val="superscript"/>
              </w:rPr>
              <w:t>(2)(3)</w:t>
            </w:r>
          </w:p>
        </w:tc>
        <w:tc>
          <w:tcPr>
            <w:tcW w:w="100" w:type="dxa"/>
            <w:vAlign w:val="bottom"/>
          </w:tcPr>
          <w:p>
            <w:pPr>
              <w:spacing w:after="0"/>
              <w:rPr>
                <w:sz w:val="17"/>
                <w:szCs w:val="17"/>
                <w:color w:val="auto"/>
              </w:rPr>
            </w:pPr>
          </w:p>
        </w:tc>
      </w:tr>
      <w:tr>
        <w:trPr>
          <w:trHeight w:val="183"/>
        </w:trPr>
        <w:tc>
          <w:tcPr>
            <w:tcW w:w="14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3"/>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8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10,310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3-mo. LIBOR</w:t>
            </w:r>
          </w:p>
        </w:tc>
      </w:tr>
      <w:tr>
        <w:trPr>
          <w:trHeight w:val="244"/>
        </w:trPr>
        <w:tc>
          <w:tcPr>
            <w:tcW w:w="144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+ 265 bps; 5.13%</w:t>
            </w: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IV</w:t>
            </w:r>
          </w:p>
        </w:tc>
        <w:tc>
          <w:tcPr>
            <w:tcW w:w="820" w:type="dxa"/>
            <w:vAlign w:val="bottom"/>
            <w:gridSpan w:val="3"/>
          </w:tcPr>
          <w:p>
            <w:pPr>
              <w:ind w:left="28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20,619</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2035</w:t>
            </w:r>
          </w:p>
        </w:tc>
        <w:tc>
          <w:tcPr>
            <w:tcW w:w="1800" w:type="dxa"/>
            <w:vAlign w:val="bottom"/>
            <w:gridSpan w:val="3"/>
          </w:tcPr>
          <w:p>
            <w:pPr>
              <w:ind w:left="140"/>
              <w:spacing w:after="0"/>
              <w:rPr>
                <w:sz w:val="20"/>
                <w:szCs w:val="20"/>
                <w:color w:val="auto"/>
              </w:rPr>
            </w:pPr>
            <w:r>
              <w:rPr>
                <w:rFonts w:ascii="Arial" w:cs="Arial" w:eastAsia="Arial" w:hAnsi="Arial"/>
                <w:sz w:val="18"/>
                <w:szCs w:val="18"/>
                <w:color w:val="auto"/>
              </w:rPr>
              <w:t>3-mo. LIBOR</w:t>
            </w:r>
          </w:p>
        </w:tc>
      </w:tr>
      <w:tr>
        <w:trPr>
          <w:trHeight w:val="237"/>
        </w:trPr>
        <w:tc>
          <w:tcPr>
            <w:tcW w:w="1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0" w:type="dxa"/>
            <w:vAlign w:val="bottom"/>
            <w:gridSpan w:val="3"/>
          </w:tcPr>
          <w:p>
            <w:pPr>
              <w:ind w:left="140"/>
              <w:spacing w:after="0"/>
              <w:rPr>
                <w:sz w:val="20"/>
                <w:szCs w:val="20"/>
                <w:color w:val="auto"/>
              </w:rPr>
            </w:pPr>
            <w:r>
              <w:rPr>
                <w:rFonts w:ascii="Arial" w:cs="Arial" w:eastAsia="Arial" w:hAnsi="Arial"/>
                <w:sz w:val="18"/>
                <w:szCs w:val="18"/>
                <w:color w:val="auto"/>
              </w:rPr>
              <w:t>+ 139 bps; 4.18%</w:t>
            </w:r>
          </w:p>
        </w:tc>
      </w:tr>
      <w:tr>
        <w:trPr>
          <w:trHeight w:val="255"/>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8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2007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15,464</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3-mo. LIBOR</w:t>
            </w:r>
          </w:p>
        </w:tc>
      </w:tr>
      <w:tr>
        <w:trPr>
          <w:trHeight w:val="196"/>
        </w:trPr>
        <w:tc>
          <w:tcPr>
            <w:tcW w:w="144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gridSpan w:val="3"/>
            <w:shd w:val="clear" w:color="auto" w:fill="CCEEFF"/>
          </w:tcPr>
          <w:p>
            <w:pPr>
              <w:ind w:left="140"/>
              <w:spacing w:after="0" w:line="182" w:lineRule="exact"/>
              <w:rPr>
                <w:sz w:val="20"/>
                <w:szCs w:val="20"/>
                <w:color w:val="auto"/>
              </w:rPr>
            </w:pPr>
            <w:r>
              <w:rPr>
                <w:rFonts w:ascii="Arial" w:cs="Arial" w:eastAsia="Arial" w:hAnsi="Arial"/>
                <w:sz w:val="18"/>
                <w:szCs w:val="18"/>
                <w:color w:val="auto"/>
              </w:rPr>
              <w:t>+ 150 bps; 4.29%</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46,393</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3" w:lineRule="exact"/>
        <w:rPr>
          <w:sz w:val="20"/>
          <w:szCs w:val="20"/>
          <w:color w:val="auto"/>
        </w:rPr>
      </w:pPr>
    </w:p>
    <w:p>
      <w:pPr>
        <w:ind w:left="360" w:hanging="355"/>
        <w:spacing w:after="0"/>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May be redeemed at the Company’s option.</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Interest payable quarterly with principal due at maturity.</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Rate as of last reset date, prior to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0" w:firstLine="360"/>
        <w:spacing w:after="0" w:line="275" w:lineRule="auto"/>
        <w:rPr>
          <w:sz w:val="20"/>
          <w:szCs w:val="20"/>
          <w:color w:val="auto"/>
        </w:rPr>
      </w:pPr>
      <w:r>
        <w:rPr>
          <w:rFonts w:ascii="Arial" w:cs="Arial" w:eastAsia="Arial" w:hAnsi="Arial"/>
          <w:sz w:val="17"/>
          <w:szCs w:val="17"/>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68"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reviews this information to determine if the projected future net interest income levels would be acceptable. The Company attempts to stay within acceptable net interest income levels.</w:t>
      </w:r>
    </w:p>
    <w:p>
      <w:pPr>
        <w:spacing w:after="0" w:line="8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7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CET1 capital, tier 1 capital and total capital to risk-weighted assets and of tier 1 capital to average consolidated assets, referred to as the “leverage ratio.” For further information, see “Supervision and Regulation – Regulatory Capital Requirements” and “Supervision and Regulation – Prompt Corrective Action Framework.”</w:t>
      </w:r>
    </w:p>
    <w:p>
      <w:pPr>
        <w:spacing w:after="0" w:line="70"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In July 2013, the federal bank regulatory agencies adopted revisions to the agencies’ capital adequacy guidelines and prompt corrective action rules, which were designed to enhance such requirements and implement the revised standards of the Basel Committee on Banking Supervision, commonly referred to as Basel III. The final rules generally implemented higher minimum capital requirements, added a new common equity tier 1 capital requirement, and established criteria that instruments must meet to be considered common equity tier 1 capital, additional tier 1 capital or tier 2 capital. The new minimum capital to risk-adjusted assets requirements were a common equity tier 1 capital ratio of 4.5% (6.5% to be considered “well capitalized”) and a tier 1 capital ratio of 6.0%, increased from 4.0% (and increased from 6.0% to 8.0% to be considered “well capitalized”), and the total capital ratio remained at 8.0% under the new rules (10.0% to be considered “well capitalized”). Under the final capital rules that became effective on January 1, 2015, there was a requirement for a common phased-in equity tier 1 capital conservation buffer of 2.5% of risk-weighted assets which is in addition to the other minimum risk-based capital standards in the rule. Institutions that do not maintain this required capital buffer will become subject to progressively more stringent limitations on the percentage of earnings that can be paid out in dividends or used for stock repurchases and on the payment of discretionary bonuses to senior executive management. The capital buffer requirement is being phased in over three years beginning in 2016. We have included the 0.625% increase for 2017 and 2018 in our minimum capital adequacy ratios in the table below. The capital buffer requirement effectively raises the minimum required common equity tier 1 capital ratio to 7.0%, the tier 1 capital ratio to 8.5%, and the total capital ratio to 10.5% on a fully phased-in basis on January 1, 2019.</w:t>
      </w:r>
    </w:p>
    <w:p>
      <w:pPr>
        <w:spacing w:after="0" w:line="72" w:lineRule="exact"/>
        <w:rPr>
          <w:sz w:val="20"/>
          <w:szCs w:val="20"/>
          <w:color w:val="auto"/>
        </w:rPr>
      </w:pPr>
    </w:p>
    <w:p>
      <w:pPr>
        <w:ind w:right="120" w:firstLine="360"/>
        <w:spacing w:after="0" w:line="296" w:lineRule="auto"/>
        <w:rPr>
          <w:sz w:val="20"/>
          <w:szCs w:val="20"/>
          <w:color w:val="auto"/>
        </w:rPr>
      </w:pPr>
      <w:r>
        <w:rPr>
          <w:rFonts w:ascii="Arial" w:cs="Arial" w:eastAsia="Arial" w:hAnsi="Arial"/>
          <w:sz w:val="16"/>
          <w:szCs w:val="16"/>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53"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At December 31, 2018, both we and the Bank met all the capital adequacy requirements to which we and the Bank were subject. At December 31, 2018, we and the Bank were “well capitalized” under the regulatory framework for prompt corrective action. Management believes that no conditions or events have occurred since December 31, 2018 that would materially adversely change such capital classifications. From time to time, we may need to raise additional capital to support our and the Bank’s further growth and to maintain our “well capitalized” status.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table below also summarizes the capital requirements applicable to us and the Bank in order to be considered “well-capitalized” from a regulatory perspective, as well as our and the Bank’s capital ratios as of December 31, 2018 and December 31, 2017. We and the Bank exceeded all regulatory capital requirements under Basel III and the Bank was considered to be “well-capitalized” as of the dates reflected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Regulatory</w:t>
            </w:r>
          </w:p>
        </w:tc>
      </w:tr>
      <w:tr>
        <w:trPr>
          <w:trHeight w:val="162"/>
        </w:trPr>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Capital Ratio</w:t>
            </w:r>
          </w:p>
        </w:tc>
      </w:tr>
      <w:tr>
        <w:trPr>
          <w:trHeight w:val="162"/>
        </w:trPr>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Requirements,</w:t>
            </w:r>
          </w:p>
        </w:tc>
      </w:tr>
      <w:tr>
        <w:trPr>
          <w:trHeight w:val="162"/>
        </w:trPr>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Regulatory</w:t>
            </w: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Minimum</w:t>
            </w: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including fully</w:t>
            </w:r>
          </w:p>
        </w:tc>
      </w:tr>
      <w:tr>
        <w:trPr>
          <w:trHeight w:val="162"/>
        </w:trPr>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Capital Ratio</w:t>
            </w: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To be Considered</w:t>
            </w: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phased in Capital</w:t>
            </w:r>
          </w:p>
        </w:tc>
      </w:tr>
      <w:tr>
        <w:trPr>
          <w:trHeight w:val="185"/>
        </w:trPr>
        <w:tc>
          <w:tcPr>
            <w:tcW w:w="1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Actual</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Requirements</w:t>
            </w:r>
          </w:p>
        </w:tc>
        <w:tc>
          <w:tcPr>
            <w:tcW w:w="20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“Well Capitalized”</w:t>
            </w:r>
          </w:p>
        </w:tc>
        <w:tc>
          <w:tcPr>
            <w:tcW w:w="20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Conservation</w:t>
            </w:r>
          </w:p>
        </w:tc>
        <w:tc>
          <w:tcPr>
            <w:tcW w:w="100" w:type="dxa"/>
            <w:vAlign w:val="bottom"/>
          </w:tcPr>
          <w:p>
            <w:pPr>
              <w:spacing w:after="0"/>
              <w:rPr>
                <w:sz w:val="16"/>
                <w:szCs w:val="16"/>
                <w:color w:val="auto"/>
              </w:rPr>
            </w:pPr>
          </w:p>
        </w:tc>
      </w:tr>
      <w:tr>
        <w:trPr>
          <w:trHeight w:val="183"/>
        </w:trPr>
        <w:tc>
          <w:tcPr>
            <w:tcW w:w="1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5"/>
                <w:szCs w:val="15"/>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r>
      <w:tr>
        <w:trPr>
          <w:trHeight w:val="183"/>
        </w:trPr>
        <w:tc>
          <w:tcPr>
            <w:tcW w:w="1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 of December 31, 2018</w:t>
            </w:r>
            <w:r>
              <w:rPr>
                <w:rFonts w:ascii="Arial" w:cs="Arial" w:eastAsia="Arial" w:hAnsi="Arial"/>
                <w:sz w:val="18"/>
                <w:szCs w:val="18"/>
                <w:color w:val="auto"/>
              </w:rPr>
              <w:t>:</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34"/>
        </w:trPr>
        <w:tc>
          <w:tcPr>
            <w:tcW w:w="1900" w:type="dxa"/>
            <w:vAlign w:val="bottom"/>
            <w:tcBorders>
              <w:top w:val="single" w:sz="8" w:color="auto"/>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7"/>
        </w:trPr>
        <w:tc>
          <w:tcPr>
            <w:tcW w:w="320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$ 309,798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$ 214,301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$ 227,864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294,572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214,246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9.9%</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$ 216,958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227,806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49"/>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260,020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170,898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184,462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4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271,266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170,855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173,567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184,415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3200" w:type="dxa"/>
            <w:vAlign w:val="bottom"/>
            <w:gridSpan w:val="2"/>
          </w:tcPr>
          <w:p>
            <w:pPr>
              <w:spacing w:after="0"/>
              <w:rPr>
                <w:sz w:val="20"/>
                <w:szCs w:val="20"/>
                <w:color w:val="auto"/>
              </w:rPr>
            </w:pPr>
            <w:r>
              <w:rPr>
                <w:rFonts w:ascii="Arial" w:cs="Arial" w:eastAsia="Arial" w:hAnsi="Arial"/>
                <w:sz w:val="18"/>
                <w:szCs w:val="18"/>
                <w:color w:val="auto"/>
              </w:rPr>
              <w:t>CET 1 capital (to risk-weighted assets)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215,020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138,346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151,910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271,266</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138,311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141,023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151,871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49"/>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260,020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108,033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108,033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4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271,266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107,940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134,925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107,940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0"/>
        </w:trPr>
        <w:tc>
          <w:tcPr>
            <w:tcW w:w="19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Regulatory</w:t>
            </w:r>
          </w:p>
        </w:tc>
      </w:tr>
      <w:tr>
        <w:trPr>
          <w:trHeight w:val="162"/>
        </w:trPr>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Capital Ratio</w:t>
            </w:r>
          </w:p>
        </w:tc>
      </w:tr>
      <w:tr>
        <w:trPr>
          <w:trHeight w:val="162"/>
        </w:trPr>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Requirements,</w:t>
            </w:r>
          </w:p>
        </w:tc>
      </w:tr>
      <w:tr>
        <w:trPr>
          <w:trHeight w:val="162"/>
        </w:trPr>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Regulatory</w:t>
            </w: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Minimum</w:t>
            </w: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including fully</w:t>
            </w:r>
          </w:p>
        </w:tc>
      </w:tr>
      <w:tr>
        <w:trPr>
          <w:trHeight w:val="162"/>
        </w:trPr>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Capital Ratio</w:t>
            </w: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To be Considered</w:t>
            </w: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phased in Capital</w:t>
            </w:r>
          </w:p>
        </w:tc>
      </w:tr>
      <w:tr>
        <w:trPr>
          <w:trHeight w:val="185"/>
        </w:trPr>
        <w:tc>
          <w:tcPr>
            <w:tcW w:w="1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Actual</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Requirements</w:t>
            </w:r>
          </w:p>
        </w:tc>
        <w:tc>
          <w:tcPr>
            <w:tcW w:w="20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“Well Capitalized”</w:t>
            </w:r>
          </w:p>
        </w:tc>
        <w:tc>
          <w:tcPr>
            <w:tcW w:w="200" w:type="dxa"/>
            <w:vAlign w:val="bottom"/>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Conservation</w:t>
            </w:r>
          </w:p>
        </w:tc>
        <w:tc>
          <w:tcPr>
            <w:tcW w:w="100" w:type="dxa"/>
            <w:vAlign w:val="bottom"/>
          </w:tcPr>
          <w:p>
            <w:pPr>
              <w:spacing w:after="0"/>
              <w:rPr>
                <w:sz w:val="16"/>
                <w:szCs w:val="16"/>
                <w:color w:val="auto"/>
              </w:rPr>
            </w:pPr>
          </w:p>
        </w:tc>
      </w:tr>
      <w:tr>
        <w:trPr>
          <w:trHeight w:val="183"/>
        </w:trPr>
        <w:tc>
          <w:tcPr>
            <w:tcW w:w="1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5"/>
                <w:szCs w:val="15"/>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Ratio</w:t>
            </w:r>
          </w:p>
        </w:tc>
        <w:tc>
          <w:tcPr>
            <w:tcW w:w="200" w:type="dxa"/>
            <w:vAlign w:val="bottom"/>
          </w:tcPr>
          <w:p>
            <w:pPr>
              <w:spacing w:after="0"/>
              <w:rPr>
                <w:sz w:val="15"/>
                <w:szCs w:val="15"/>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r>
      <w:tr>
        <w:trPr>
          <w:trHeight w:val="183"/>
        </w:trPr>
        <w:tc>
          <w:tcPr>
            <w:tcW w:w="1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 of December 31, 2017</w:t>
            </w:r>
            <w:r>
              <w:rPr>
                <w:rFonts w:ascii="Arial" w:cs="Arial" w:eastAsia="Arial" w:hAnsi="Arial"/>
                <w:sz w:val="18"/>
                <w:szCs w:val="18"/>
                <w:color w:val="auto"/>
              </w:rPr>
              <w:t>:</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34"/>
        </w:trPr>
        <w:tc>
          <w:tcPr>
            <w:tcW w:w="1900" w:type="dxa"/>
            <w:vAlign w:val="bottom"/>
            <w:tcBorders>
              <w:top w:val="single" w:sz="8" w:color="auto"/>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7"/>
        </w:trPr>
        <w:tc>
          <w:tcPr>
            <w:tcW w:w="320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$ 303,301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$ 185,220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$ 210,250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7"/>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276,153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184,982</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$ 199,980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209,979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49"/>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260,773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145,173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7.3%</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170,202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4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254,512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144,986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159,984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169,983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3200" w:type="dxa"/>
            <w:vAlign w:val="bottom"/>
            <w:gridSpan w:val="2"/>
          </w:tcPr>
          <w:p>
            <w:pPr>
              <w:spacing w:after="0"/>
              <w:rPr>
                <w:sz w:val="20"/>
                <w:szCs w:val="20"/>
                <w:color w:val="auto"/>
              </w:rPr>
            </w:pPr>
            <w:r>
              <w:rPr>
                <w:rFonts w:ascii="Arial" w:cs="Arial" w:eastAsia="Arial" w:hAnsi="Arial"/>
                <w:sz w:val="18"/>
                <w:szCs w:val="18"/>
                <w:color w:val="auto"/>
              </w:rPr>
              <w:t>CET 1 capital (to risk-weighted assets)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215,773</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115,137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140,167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254,512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114,989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129,987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139,986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49"/>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260,773</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103,643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103,643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4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254,512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103,484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129,355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103,484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right"/>
              <w:ind w:right="596"/>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190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contain supplemental information regarding our total contractual obligations at December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Payments Due at December 31, 2018</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b w:val="1"/>
                <w:bCs w:val="1"/>
                <w:color w:val="auto"/>
              </w:rPr>
              <w:t>Within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One to</w:t>
            </w:r>
          </w:p>
        </w:tc>
        <w:tc>
          <w:tcPr>
            <w:tcW w:w="10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 to</w:t>
            </w: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After Five</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One Year</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Three Years</w:t>
            </w:r>
          </w:p>
        </w:tc>
        <w:tc>
          <w:tcPr>
            <w:tcW w:w="18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Five Years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6"/>
          </w:tcPr>
          <w:p>
            <w:pPr>
              <w:jc w:val="center"/>
              <w:ind w:left="335"/>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163,101</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311,537</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17,705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17,705</w:t>
            </w:r>
          </w:p>
        </w:tc>
      </w:tr>
      <w:tr>
        <w:trPr>
          <w:trHeight w:val="249"/>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26,472</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34,002</w:t>
            </w:r>
          </w:p>
        </w:tc>
      </w:tr>
      <w:tr>
        <w:trPr>
          <w:trHeight w:val="249"/>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5,095</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10,985</w:t>
            </w:r>
          </w:p>
        </w:tc>
      </w:tr>
      <w:tr>
        <w:trPr>
          <w:trHeight w:val="27"/>
        </w:trPr>
        <w:tc>
          <w:tcPr>
            <w:tcW w:w="47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190,170</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96,544</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$ 152,983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515,622</w:t>
            </w:r>
          </w:p>
        </w:tc>
      </w:tr>
      <w:tr>
        <w:trPr>
          <w:trHeight w:val="27"/>
        </w:trPr>
        <w:tc>
          <w:tcPr>
            <w:tcW w:w="47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4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Payments Due at December 31, 2017</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b w:val="1"/>
                <w:bCs w:val="1"/>
                <w:color w:val="auto"/>
              </w:rPr>
              <w:t>Within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One to</w:t>
            </w:r>
          </w:p>
        </w:tc>
        <w:tc>
          <w:tcPr>
            <w:tcW w:w="10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 to</w:t>
            </w:r>
          </w:p>
        </w:tc>
        <w:tc>
          <w:tcPr>
            <w:tcW w:w="16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After</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One Year</w:t>
            </w:r>
          </w:p>
        </w:tc>
        <w:tc>
          <w:tcPr>
            <w:tcW w:w="2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Three Years</w:t>
            </w:r>
          </w:p>
        </w:tc>
        <w:tc>
          <w:tcPr>
            <w:tcW w:w="18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Five Years</w:t>
            </w:r>
          </w:p>
        </w:tc>
        <w:tc>
          <w:tcPr>
            <w:tcW w:w="18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Five Years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6"/>
          </w:tcPr>
          <w:p>
            <w:pPr>
              <w:jc w:val="center"/>
              <w:ind w:left="335"/>
              <w:spacing w:after="0"/>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210,988</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331,513</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15,550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15,550</w:t>
            </w:r>
          </w:p>
        </w:tc>
      </w:tr>
      <w:tr>
        <w:trPr>
          <w:trHeight w:val="249"/>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20,887</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20,887</w:t>
            </w:r>
          </w:p>
        </w:tc>
      </w:tr>
      <w:tr>
        <w:trPr>
          <w:trHeight w:val="249"/>
        </w:trPr>
        <w:tc>
          <w:tcPr>
            <w:tcW w:w="4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46,393</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4,528</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8,804</w:t>
            </w:r>
          </w:p>
        </w:tc>
      </w:tr>
      <w:tr>
        <w:trPr>
          <w:trHeight w:val="27"/>
        </w:trPr>
        <w:tc>
          <w:tcPr>
            <w:tcW w:w="47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228,127</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70,326</w:t>
            </w: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$ 146,808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518,147</w:t>
            </w:r>
          </w:p>
        </w:tc>
      </w:tr>
      <w:tr>
        <w:trPr>
          <w:trHeight w:val="27"/>
        </w:trPr>
        <w:tc>
          <w:tcPr>
            <w:tcW w:w="47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70"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firstLine="360"/>
        <w:spacing w:after="0" w:line="301"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commitments we have made as of the dates presented.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7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5"/>
                <w:szCs w:val="15"/>
                <w:color w:val="auto"/>
              </w:rPr>
            </w:pPr>
          </w:p>
        </w:tc>
      </w:tr>
      <w:tr>
        <w:trPr>
          <w:trHeight w:val="183"/>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346,245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290,441</w:t>
            </w:r>
          </w:p>
        </w:tc>
      </w:tr>
      <w:tr>
        <w:trPr>
          <w:trHeight w:val="243"/>
        </w:trPr>
        <w:tc>
          <w:tcPr>
            <w:tcW w:w="74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9,255</w:t>
            </w:r>
          </w:p>
        </w:tc>
      </w:tr>
      <w:tr>
        <w:trPr>
          <w:trHeight w:val="20"/>
        </w:trPr>
        <w:tc>
          <w:tcPr>
            <w:tcW w:w="74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7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351,307</w:t>
            </w:r>
          </w:p>
        </w:tc>
        <w:tc>
          <w:tcPr>
            <w:tcW w:w="18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299,696</w:t>
            </w:r>
          </w:p>
        </w:tc>
      </w:tr>
      <w:tr>
        <w:trPr>
          <w:trHeight w:val="27"/>
        </w:trPr>
        <w:tc>
          <w:tcPr>
            <w:tcW w:w="742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The amount of these letters of credit with the FHLB was $199.0 million and $145.0 million at December 31, 2018 and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121" w:lineRule="exact"/>
        <w:rPr>
          <w:sz w:val="20"/>
          <w:szCs w:val="20"/>
          <w:color w:val="auto"/>
        </w:rPr>
      </w:pPr>
    </w:p>
    <w:p>
      <w:pPr>
        <w:ind w:right="100" w:firstLine="360"/>
        <w:spacing w:after="0" w:line="311" w:lineRule="auto"/>
        <w:rPr>
          <w:sz w:val="20"/>
          <w:szCs w:val="20"/>
          <w:color w:val="auto"/>
        </w:rPr>
      </w:pPr>
      <w:r>
        <w:rPr>
          <w:rFonts w:ascii="Arial" w:cs="Arial" w:eastAsia="Arial" w:hAnsi="Arial"/>
          <w:sz w:val="16"/>
          <w:szCs w:val="16"/>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41" w:lineRule="exact"/>
        <w:rPr>
          <w:sz w:val="20"/>
          <w:szCs w:val="20"/>
          <w:color w:val="auto"/>
        </w:rPr>
      </w:pPr>
    </w:p>
    <w:p>
      <w:pPr>
        <w:ind w:right="20" w:firstLine="360"/>
        <w:spacing w:after="0" w:line="296" w:lineRule="auto"/>
        <w:rPr>
          <w:sz w:val="20"/>
          <w:szCs w:val="20"/>
          <w:color w:val="auto"/>
        </w:rPr>
      </w:pPr>
      <w:r>
        <w:rPr>
          <w:rFonts w:ascii="Arial" w:cs="Arial" w:eastAsia="Arial" w:hAnsi="Arial"/>
          <w:sz w:val="16"/>
          <w:szCs w:val="16"/>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53"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6" w:lineRule="exact"/>
        <w:rPr>
          <w:sz w:val="20"/>
          <w:szCs w:val="20"/>
          <w:color w:val="auto"/>
        </w:rPr>
      </w:pPr>
    </w:p>
    <w:p>
      <w:pPr>
        <w:ind w:right="80" w:firstLine="360"/>
        <w:spacing w:after="0" w:line="269" w:lineRule="auto"/>
        <w:rPr>
          <w:sz w:val="20"/>
          <w:szCs w:val="20"/>
          <w:color w:val="auto"/>
        </w:rPr>
      </w:pPr>
      <w:r>
        <w:rPr>
          <w:rFonts w:ascii="Arial" w:cs="Arial" w:eastAsia="Arial" w:hAnsi="Arial"/>
          <w:sz w:val="17"/>
          <w:szCs w:val="17"/>
          <w:color w:val="auto"/>
        </w:rPr>
        <w:t>Our exposure to interest rate risk is managed by the Investment/Asset/Liability Committee, or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77"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summarize the simulated change in net interest income over a 12-month horizon as of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r>
      <w:tr>
        <w:trPr>
          <w:trHeight w:val="160"/>
        </w:trPr>
        <w:tc>
          <w:tcPr>
            <w:tcW w:w="7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3"/>
              </w:rPr>
              <w:t>Percent</w:t>
            </w:r>
          </w:p>
        </w:tc>
        <w:tc>
          <w:tcPr>
            <w:tcW w:w="10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Percent</w:t>
            </w:r>
          </w:p>
        </w:tc>
      </w:tr>
      <w:tr>
        <w:trPr>
          <w:trHeight w:val="162"/>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Change in</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Change in</w:t>
            </w:r>
          </w:p>
        </w:tc>
      </w:tr>
      <w:tr>
        <w:trPr>
          <w:trHeight w:val="162"/>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Net</w:t>
            </w: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Interest</w:t>
            </w:r>
          </w:p>
        </w:tc>
      </w:tr>
      <w:tr>
        <w:trPr>
          <w:trHeight w:val="185"/>
        </w:trPr>
        <w:tc>
          <w:tcPr>
            <w:tcW w:w="7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Change in Interest Rates (Basis Points)</w:t>
            </w:r>
          </w:p>
        </w:tc>
        <w:tc>
          <w:tcPr>
            <w:tcW w:w="1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6"/>
                <w:szCs w:val="16"/>
                <w:color w:val="auto"/>
              </w:rPr>
            </w:pPr>
          </w:p>
        </w:tc>
      </w:tr>
      <w:tr>
        <w:trPr>
          <w:trHeight w:val="23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r>
      <w:tr>
        <w:trPr>
          <w:trHeight w:val="237"/>
        </w:trPr>
        <w:tc>
          <w:tcPr>
            <w:tcW w:w="7240" w:type="dxa"/>
            <w:vAlign w:val="bottom"/>
          </w:tcPr>
          <w:p>
            <w:pPr>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0.91</w:t>
            </w:r>
          </w:p>
        </w:tc>
      </w:tr>
      <w:tr>
        <w:trPr>
          <w:trHeight w:val="249"/>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0.58</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Our consolidated financial statements and related notes included elsewhere in this prospectus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76"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Our accounting and reporting policies conform to GAAP and the prevailing practices in the banking industry. However, we also evaluate our performance based on certain additional financial measures discussed in this prospectus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7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non-GAAP financial measures that we discuss in this prospectus should not be considered in isolation or as a substitute for the most directly comparable or other financial measures calculated in accordance with GAAP. Moreover, the manner in which we calculate the non-GAAP financial measures that we discuss in this prospectus may differ from that of other companies reporting measures with similar names. It is important to understand how other banking organizations calculate their financial measures with names similar to the non-GAAP financial measures we have discussed in this prospectus when comparing such non-GAAP financial measures.</w:t>
      </w:r>
    </w:p>
    <w:p>
      <w:pPr>
        <w:spacing w:after="0" w:line="8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i w:val="1"/>
          <w:iCs w:val="1"/>
          <w:color w:val="auto"/>
        </w:rPr>
        <w:t>Tangible Book Value Per Common Share</w:t>
      </w:r>
      <w:r>
        <w:rPr>
          <w:rFonts w:ascii="Arial" w:cs="Arial" w:eastAsia="Arial" w:hAnsi="Arial"/>
          <w:sz w:val="18"/>
          <w:szCs w:val="18"/>
          <w:color w:val="auto"/>
        </w:rPr>
        <w:t>. Tangible book value per share is a non-GAAP measure generally used by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analysts and investment bankers to evaluate financial institutions. The most directly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63"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As we did not have any goodwill or other intangible assets as of the years ended December 31, 2014 to 2018, our tangible book value per common share for such periods ended was the same as our respective book value per common share.</w:t>
      </w:r>
    </w:p>
    <w:p>
      <w:pPr>
        <w:spacing w:after="0" w:line="38"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i w:val="1"/>
          <w:iCs w:val="1"/>
          <w:color w:val="auto"/>
        </w:rPr>
        <w:t>Tangible Common Equity to Tangible Assets</w:t>
      </w:r>
      <w:r>
        <w:rPr>
          <w:rFonts w:ascii="Arial" w:cs="Arial" w:eastAsia="Arial" w:hAnsi="Arial"/>
          <w:sz w:val="16"/>
          <w:szCs w:val="16"/>
          <w:color w:val="auto"/>
        </w:rPr>
        <w:t>. Tangible common equity to tangible assets is a non-GAAP measure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pacing w:after="0" w:line="57" w:lineRule="exact"/>
        <w:rPr>
          <w:sz w:val="20"/>
          <w:szCs w:val="20"/>
          <w:color w:val="auto"/>
        </w:rPr>
      </w:pPr>
    </w:p>
    <w:p>
      <w:pPr>
        <w:jc w:val="both"/>
        <w:ind w:right="400" w:firstLine="360"/>
        <w:spacing w:after="0" w:line="263" w:lineRule="auto"/>
        <w:rPr>
          <w:sz w:val="20"/>
          <w:szCs w:val="20"/>
          <w:color w:val="auto"/>
        </w:rPr>
      </w:pPr>
      <w:r>
        <w:rPr>
          <w:rFonts w:ascii="Arial" w:cs="Arial" w:eastAsia="Arial" w:hAnsi="Arial"/>
          <w:sz w:val="18"/>
          <w:szCs w:val="18"/>
          <w:color w:val="auto"/>
        </w:rPr>
        <w:t>As we did not have any goodwill or other intangible assets as of the years ended December 31, 2014 to 2018, our tangible common equity to tangible assets for such periods ended was the same as our respective common shareholders’ equity to total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 In particular, management has identified several accounting policies that, due to the estimates, assumptions and judgments inherent in those policies, are critical in understanding our financial statements.</w:t>
      </w:r>
    </w:p>
    <w:p>
      <w:pPr>
        <w:spacing w:after="0" w:line="58" w:lineRule="exact"/>
        <w:rPr>
          <w:sz w:val="20"/>
          <w:szCs w:val="20"/>
          <w:color w:val="auto"/>
        </w:rPr>
      </w:pPr>
    </w:p>
    <w:p>
      <w:pPr>
        <w:ind w:right="180" w:firstLine="360"/>
        <w:spacing w:after="0" w:line="296" w:lineRule="auto"/>
        <w:rPr>
          <w:sz w:val="20"/>
          <w:szCs w:val="20"/>
          <w:color w:val="auto"/>
        </w:rPr>
      </w:pPr>
      <w:r>
        <w:rPr>
          <w:rFonts w:ascii="Arial" w:cs="Arial" w:eastAsia="Arial" w:hAnsi="Arial"/>
          <w:sz w:val="16"/>
          <w:szCs w:val="16"/>
          <w:color w:val="auto"/>
        </w:rPr>
        <w:t>The JOBS Act permits us an extended transition period for complying with new or revised accounting standards affecting public companies. We have elected to take advantage of this extended transition period, which means that the financial statements included in this prospectus,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53" w:lineRule="exact"/>
        <w:rPr>
          <w:sz w:val="20"/>
          <w:szCs w:val="20"/>
          <w:color w:val="auto"/>
        </w:rPr>
      </w:pPr>
    </w:p>
    <w:p>
      <w:pPr>
        <w:ind w:right="20" w:firstLine="360"/>
        <w:spacing w:after="0" w:line="263" w:lineRule="auto"/>
        <w:rPr>
          <w:sz w:val="20"/>
          <w:szCs w:val="20"/>
          <w:color w:val="auto"/>
        </w:rPr>
      </w:pPr>
      <w:r>
        <w:rPr>
          <w:rFonts w:ascii="Arial" w:cs="Arial" w:eastAsia="Arial" w:hAnsi="Arial"/>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2018.</w:t>
      </w:r>
    </w:p>
    <w:p>
      <w:pPr>
        <w:spacing w:after="0" w:line="76" w:lineRule="exact"/>
        <w:rPr>
          <w:sz w:val="20"/>
          <w:szCs w:val="20"/>
          <w:color w:val="auto"/>
        </w:rPr>
      </w:pPr>
    </w:p>
    <w:p>
      <w:pPr>
        <w:ind w:right="220" w:firstLine="360"/>
        <w:spacing w:after="0" w:line="263" w:lineRule="auto"/>
        <w:rPr>
          <w:sz w:val="20"/>
          <w:szCs w:val="20"/>
          <w:color w:val="auto"/>
        </w:rPr>
      </w:pPr>
      <w:r>
        <w:rPr>
          <w:rFonts w:ascii="Arial" w:cs="Arial" w:eastAsia="Arial" w:hAnsi="Arial"/>
          <w:sz w:val="18"/>
          <w:szCs w:val="18"/>
          <w:i w:val="1"/>
          <w:iCs w:val="1"/>
          <w:color w:val="auto"/>
        </w:rPr>
        <w:t xml:space="preserve">Basis of Presentation and Consolidation. </w:t>
      </w:r>
      <w:r>
        <w:rPr>
          <w:rFonts w:ascii="Arial" w:cs="Arial" w:eastAsia="Arial" w:hAnsi="Arial"/>
          <w:sz w:val="18"/>
          <w:szCs w:val="18"/>
          <w:color w:val="auto"/>
        </w:rPr>
        <w:t>The consolidated financial statements include the accounts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consolidated subsidiaries. All significant intercompany balances and transactions have been eliminated in consolidation.</w:t>
      </w:r>
    </w:p>
    <w:p>
      <w:pPr>
        <w:spacing w:after="0" w:line="76"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includes all cash on hand, balances due from other banks, and Federal funds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which have original maturities within three months, as cash and cash equivalents.</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Investment securities may be classified into trading, held-to-maturity, or available-for-sale portfolios.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80" w:lineRule="exact"/>
        <w:rPr>
          <w:sz w:val="20"/>
          <w:szCs w:val="20"/>
          <w:color w:val="auto"/>
        </w:rPr>
      </w:pPr>
    </w:p>
    <w:p>
      <w:pPr>
        <w:ind w:right="180" w:firstLine="360"/>
        <w:spacing w:after="0" w:line="296"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Loans that management has the intent and ability to hold for the foreseeable future or until maturity or payoff are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53" w:lineRule="exact"/>
        <w:rPr>
          <w:sz w:val="20"/>
          <w:szCs w:val="20"/>
          <w:color w:val="auto"/>
        </w:rPr>
      </w:pPr>
    </w:p>
    <w:p>
      <w:pPr>
        <w:ind w:right="200" w:firstLine="360"/>
        <w:spacing w:after="0" w:line="275" w:lineRule="auto"/>
        <w:rPr>
          <w:sz w:val="20"/>
          <w:szCs w:val="20"/>
          <w:color w:val="auto"/>
        </w:rPr>
      </w:pPr>
      <w:r>
        <w:rPr>
          <w:rFonts w:ascii="Arial" w:cs="Arial" w:eastAsia="Arial" w:hAnsi="Arial"/>
          <w:sz w:val="17"/>
          <w:szCs w:val="17"/>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68" w:lineRule="exact"/>
        <w:rPr>
          <w:sz w:val="20"/>
          <w:szCs w:val="20"/>
          <w:color w:val="auto"/>
        </w:rPr>
      </w:pPr>
    </w:p>
    <w:p>
      <w:pPr>
        <w:ind w:right="320" w:firstLine="360"/>
        <w:spacing w:after="0" w:line="293"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allowance for loan losses is established as losses are estimated to have occurred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56" w:lineRule="exact"/>
        <w:rPr>
          <w:sz w:val="20"/>
          <w:szCs w:val="20"/>
          <w:color w:val="auto"/>
        </w:rPr>
      </w:pPr>
    </w:p>
    <w:p>
      <w:pPr>
        <w:ind w:right="120" w:firstLine="360"/>
        <w:spacing w:after="0" w:line="290" w:lineRule="auto"/>
        <w:rPr>
          <w:sz w:val="20"/>
          <w:szCs w:val="20"/>
          <w:color w:val="auto"/>
        </w:rPr>
      </w:pPr>
      <w:r>
        <w:rPr>
          <w:rFonts w:ascii="Arial" w:cs="Arial" w:eastAsia="Arial" w:hAnsi="Arial"/>
          <w:sz w:val="16"/>
          <w:szCs w:val="16"/>
          <w:color w:val="auto"/>
        </w:rPr>
        <w:t>The allowance for loan losses is evaluated on a quarterly basis by management and is based upon management’s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5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8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8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comprised of residential mortgage loans. Loans that are originated for best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and in April 2016, the FASB issued ASU 2016-14, Revenue from Contracts with Customers (Topic 606) - Deferral of the Effective Date. The FASB amended existing guidance related to revenue from contracts with customers. This amendment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amendment specifies the accounting for some costs to obtain or fulfill a contract with a customer. These amendments are effective for financial statements as of December 31, 2019 and for interim financial statements beginning January 1, 2020. The adoption of this standard is not expected to have a material impact on the Company’s operating results or financial condition as the majority of the Company’s revenue sources are covered by other sections of the FASB codification.</w:t>
      </w:r>
    </w:p>
    <w:p>
      <w:pPr>
        <w:spacing w:after="0" w:line="6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In February 2016, the FASB issued ASU 2016-02 Leases (Topic 842). The FASB amended existing guidance that requires that lessees recognize lease assets and lease liabilities on the balance sheet and disclose key information about leasing arrangements. The Company is in the process of determining the effect of the standard on its consolidated operating results and financial condition.</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These amendments are effective for financial statements as of December 31, 2020 and for interim periods beginning January 1, 2021.</w:t>
      </w:r>
    </w:p>
    <w:p>
      <w:pPr>
        <w:spacing w:after="0" w:line="77" w:lineRule="exact"/>
        <w:rPr>
          <w:sz w:val="20"/>
          <w:szCs w:val="20"/>
          <w:color w:val="auto"/>
        </w:rPr>
      </w:pPr>
    </w:p>
    <w:p>
      <w:pPr>
        <w:ind w:right="160" w:firstLine="360"/>
        <w:spacing w:after="0" w:line="254" w:lineRule="auto"/>
        <w:rPr>
          <w:sz w:val="20"/>
          <w:szCs w:val="20"/>
          <w:color w:val="auto"/>
        </w:rPr>
      </w:pPr>
      <w:r>
        <w:rPr>
          <w:rFonts w:ascii="Arial" w:cs="Arial" w:eastAsia="Arial" w:hAnsi="Arial"/>
          <w:sz w:val="18"/>
          <w:szCs w:val="18"/>
          <w:color w:val="auto"/>
        </w:rPr>
        <w:t>In January 2016, the FASB issued ASU 2016-13, Financial Instruments - Credit Losses (Topic 326). The FASB issued guidance to replace the incurred loss model with an expected loss model, which is referred to as the current expected credit loss (CECL) model. The CECL model is applicable to the measurement of credit losses on financial assets measured at amortized cost, including loan receivables, held-to-maturity securities, and debt securities. ASU 2016-13 is effective for the Company for annual periods beginning after December 15, 2021,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84" w:lineRule="exact"/>
        <w:rPr>
          <w:sz w:val="20"/>
          <w:szCs w:val="20"/>
          <w:color w:val="auto"/>
        </w:rPr>
      </w:pPr>
    </w:p>
    <w:p>
      <w:pPr>
        <w:ind w:right="80" w:firstLine="360"/>
        <w:spacing w:after="0" w:line="301" w:lineRule="auto"/>
        <w:rPr>
          <w:sz w:val="20"/>
          <w:szCs w:val="20"/>
          <w:color w:val="auto"/>
        </w:rPr>
      </w:pPr>
      <w:r>
        <w:rPr>
          <w:rFonts w:ascii="Arial" w:cs="Arial" w:eastAsia="Arial" w:hAnsi="Arial"/>
          <w:sz w:val="16"/>
          <w:szCs w:val="16"/>
          <w:color w:val="auto"/>
        </w:rPr>
        <w:t>In August 2016, the FASB issued ASU 2016-15, Statement of Cash Flows (Topic 320). The FASB issued guidance to address the diversity in how certain cash receipts and cash payments are presented and classified in the statement of cash flows. The adoption of this standard is not expected to have a material impact on the Company’s operating results or financial condition. These amendments are effective for financial statements as of December 31, 2019 and interim periods beginning January 1, 2020.</w:t>
      </w:r>
    </w:p>
    <w:p>
      <w:pPr>
        <w:spacing w:after="0" w:line="4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August 2017, the FASB issued ASU 2017-12, Derivatives and Hedging (Topic 815). The FASB issued guidance to improve the financial reporting of hedging relationships to better portray economic results of an entity’s risk management activities in its financial statements. The amendments expand and refine hedge accounting for both nonfinancial and financial risk components and align the recognition and presentation of the effects of the hedging instrument and the hedged item in the financial statements. These amendments are effective for financial statements as of December 31, 20120 and for interim periods beginning January 1, 2021. The adoption of this standard is not expected to have a material impact on the Company’s operating results or financial condition.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0" w:firstLine="360"/>
        <w:spacing w:after="0" w:line="296" w:lineRule="auto"/>
        <w:rPr>
          <w:sz w:val="20"/>
          <w:szCs w:val="20"/>
          <w:color w:val="auto"/>
        </w:rPr>
      </w:pPr>
      <w:r>
        <w:rPr>
          <w:rFonts w:ascii="Arial" w:cs="Arial" w:eastAsia="Arial" w:hAnsi="Arial"/>
          <w:sz w:val="16"/>
          <w:szCs w:val="16"/>
          <w:color w:val="auto"/>
        </w:rPr>
        <w:t>We are a bank holding company headquartered in Lubbock, Texas, and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53"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We had total assets of $2.7 billion, gross loans held for investment of $2.0 billion, total deposits of $2.3 billion, and total shareholders’ equity of $154.6 million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Growth</w:t>
      </w:r>
    </w:p>
    <w:p>
      <w:pPr>
        <w:spacing w:after="0" w:line="121"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Our company’s history dates back more than 75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South Plains Financial, Inc. had more than $175 million in assets upon the closing of these acquisitions.</w:t>
      </w:r>
    </w:p>
    <w:p>
      <w:pPr>
        <w:spacing w:after="0" w:line="7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We currently operate 21 full-service banking locations across six geographic markets resulting from five acquisitions, de novo branches, and the formation of a de novo bank in Ruidoso, New Mexico, which we later merged into the Bank. We also operate 13 loan production offices both in our banking markets and in certain key areas that primarily focus on mortgage loan production.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all markets that we serve.</w:t>
      </w:r>
    </w:p>
    <w:p>
      <w:pPr>
        <w:spacing w:after="0" w:line="56" w:lineRule="exact"/>
        <w:rPr>
          <w:sz w:val="20"/>
          <w:szCs w:val="20"/>
          <w:color w:val="auto"/>
        </w:rPr>
      </w:pPr>
    </w:p>
    <w:p>
      <w:pPr>
        <w:jc w:val="both"/>
        <w:ind w:right="80" w:firstLine="360"/>
        <w:spacing w:after="0" w:line="263" w:lineRule="auto"/>
        <w:rPr>
          <w:sz w:val="20"/>
          <w:szCs w:val="20"/>
          <w:color w:val="auto"/>
        </w:rPr>
      </w:pPr>
      <w:r>
        <w:rPr>
          <w:rFonts w:ascii="Arial" w:cs="Arial" w:eastAsia="Arial" w:hAnsi="Arial"/>
          <w:sz w:val="18"/>
          <w:szCs w:val="18"/>
          <w:color w:val="auto"/>
        </w:rPr>
        <w:t>We have worked diligently to produce balance sheet growth, increase our earnings power, maintain sound credit quality, grow core deposits, create operational efficiencies, and improve digital and in-branch customer experiences. Our success in these areas is demonstrated by our:</w:t>
      </w:r>
    </w:p>
    <w:p>
      <w:pPr>
        <w:spacing w:after="0" w:line="76" w:lineRule="exact"/>
        <w:rPr>
          <w:sz w:val="20"/>
          <w:szCs w:val="20"/>
          <w:color w:val="auto"/>
        </w:rPr>
      </w:pPr>
    </w:p>
    <w:p>
      <w:pPr>
        <w:ind w:left="700" w:hanging="34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Earnings growth, with a CAGR of 11.9% in net income for the five years ended December 31, 2018;</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Loan growth, with a CAGR of 7.1% for the period December 31, 2013 to December 31, 2018;</w:t>
      </w:r>
    </w:p>
    <w:p>
      <w:pPr>
        <w:spacing w:after="0" w:line="117" w:lineRule="exact"/>
        <w:rPr>
          <w:rFonts w:ascii="Arial" w:cs="Arial" w:eastAsia="Arial" w:hAnsi="Arial"/>
          <w:sz w:val="18"/>
          <w:szCs w:val="18"/>
          <w:color w:val="auto"/>
        </w:rPr>
      </w:pPr>
    </w:p>
    <w:p>
      <w:pPr>
        <w:ind w:left="700" w:right="80" w:hanging="344"/>
        <w:spacing w:after="0" w:line="308"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Strong asset quality metrics, with a net charge-offs to average loans ratio of 0.27% for the year ended December 31, 2018 and our nonperforming assets representing 0.47% of our loans and OREO as of December 31, 2018; and</w:t>
      </w:r>
    </w:p>
    <w:p>
      <w:pPr>
        <w:spacing w:after="0" w:line="38" w:lineRule="exact"/>
        <w:rPr>
          <w:rFonts w:ascii="Arial" w:cs="Arial" w:eastAsia="Arial" w:hAnsi="Arial"/>
          <w:sz w:val="17"/>
          <w:szCs w:val="17"/>
          <w:color w:val="auto"/>
        </w:rPr>
      </w:pPr>
    </w:p>
    <w:p>
      <w:pPr>
        <w:ind w:left="700" w:right="440" w:hanging="344"/>
        <w:spacing w:after="0" w:line="311"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Core deposit base, which includes deposits obtained directly from depositors and excludes time deposits in excess of $250,000, deposits obtained from listing services, and brokered deposits, represented 90.4% of total deposits as of December 31, 2018, and our cost of total deposits, which was 0.80% for the year ended December 31,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Our strategy is to deliver best-in-class customer service and achieve our goal of becoming the preferred community bank in our market areas. We aim to increase shareholder value by achieving profitable growth and operating leverage through a combination of:</w:t>
      </w:r>
    </w:p>
    <w:p>
      <w:pPr>
        <w:spacing w:after="0" w:line="76" w:lineRule="exact"/>
        <w:rPr>
          <w:sz w:val="20"/>
          <w:szCs w:val="20"/>
          <w:color w:val="auto"/>
        </w:rPr>
      </w:pPr>
    </w:p>
    <w:p>
      <w:pPr>
        <w:ind w:left="700" w:right="320" w:hanging="344"/>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Organic Growth. </w:t>
      </w:r>
      <w:r>
        <w:rPr>
          <w:rFonts w:ascii="Arial" w:cs="Arial" w:eastAsia="Arial" w:hAnsi="Arial"/>
          <w:sz w:val="18"/>
          <w:szCs w:val="18"/>
          <w:color w:val="auto"/>
        </w:rPr>
        <w:t>We focus primarily on the organic growth of existing business lines in our current market areas.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customer-service driven, community-focused business model differentiates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80"/>
        <w:spacing w:after="0" w:line="259" w:lineRule="auto"/>
        <w:rPr>
          <w:sz w:val="20"/>
          <w:szCs w:val="20"/>
          <w:color w:val="auto"/>
        </w:rPr>
      </w:pPr>
      <w:r>
        <w:rPr>
          <w:rFonts w:ascii="Arial" w:cs="Arial" w:eastAsia="Arial" w:hAnsi="Arial"/>
          <w:sz w:val="18"/>
          <w:szCs w:val="18"/>
          <w:color w:val="auto"/>
        </w:rPr>
        <w:t>company from competitors, many of which are larger out-of-market banks. Our strategy is to continue gathering low-cost deposits in these nonmetropolitan markets and deploy them in larger, more dynamic lending markets. The following shows our total deposits and gross loans held for investment in our community markets and our metropolitan markets as of December 31, 2018, which we believe illustrates this strategy.</w:t>
      </w:r>
    </w:p>
    <w:p>
      <w:pPr>
        <w:spacing w:after="0" w:line="43"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Deposits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2"/>
              </w:rPr>
              <w:t>Loans</w:t>
            </w: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Loans/</w:t>
            </w:r>
          </w:p>
        </w:tc>
      </w:tr>
      <w:tr>
        <w:trPr>
          <w:trHeight w:val="183"/>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Overall %</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Overall %</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Deposits</w:t>
            </w:r>
          </w:p>
        </w:tc>
        <w:tc>
          <w:tcPr>
            <w:tcW w:w="10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22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Metropolitan markets</w:t>
            </w:r>
            <w:r>
              <w:rPr>
                <w:rFonts w:ascii="Arial" w:cs="Arial" w:eastAsia="Arial" w:hAnsi="Arial"/>
                <w:sz w:val="27"/>
                <w:szCs w:val="27"/>
                <w:color w:val="auto"/>
                <w:vertAlign w:val="superscript"/>
              </w:rPr>
              <w:t>(1)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394,756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567,394</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w:t>
            </w:r>
          </w:p>
        </w:tc>
      </w:tr>
      <w:tr>
        <w:trPr>
          <w:trHeight w:val="390"/>
        </w:trPr>
        <w:tc>
          <w:tcPr>
            <w:tcW w:w="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Community markets</w:t>
            </w:r>
            <w:r>
              <w:rPr>
                <w:rFonts w:ascii="Arial" w:cs="Arial" w:eastAsia="Arial" w:hAnsi="Arial"/>
                <w:sz w:val="29"/>
                <w:szCs w:val="29"/>
                <w:color w:val="auto"/>
                <w:vertAlign w:val="superscript"/>
              </w:rPr>
              <w:t>(2)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1,882,698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82.7%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1,389,803</w:t>
            </w:r>
          </w:p>
        </w:tc>
        <w:tc>
          <w:tcPr>
            <w:tcW w:w="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26670</wp:posOffset>
            </wp:positionV>
            <wp:extent cx="8483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Note: Dollar amounts in thousands.</w:t>
      </w:r>
    </w:p>
    <w:p>
      <w:pPr>
        <w:spacing w:after="0" w:line="109" w:lineRule="exact"/>
        <w:rPr>
          <w:sz w:val="20"/>
          <w:szCs w:val="20"/>
          <w:color w:val="auto"/>
        </w:rPr>
      </w:pPr>
    </w:p>
    <w:p>
      <w:pPr>
        <w:ind w:left="1080" w:hanging="360"/>
        <w:spacing w:after="0"/>
        <w:tabs>
          <w:tab w:leader="none" w:pos="10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three Dallas, TX branches, two El Paso, TX branches, and one Houston, TX branch.</w:t>
      </w:r>
    </w:p>
    <w:p>
      <w:pPr>
        <w:spacing w:after="0" w:line="109" w:lineRule="exact"/>
        <w:rPr>
          <w:rFonts w:ascii="Arial" w:cs="Arial" w:eastAsia="Arial" w:hAnsi="Arial"/>
          <w:sz w:val="14"/>
          <w:szCs w:val="14"/>
          <w:color w:val="auto"/>
        </w:rPr>
      </w:pPr>
    </w:p>
    <w:p>
      <w:pPr>
        <w:ind w:left="1080" w:right="380" w:hanging="360"/>
        <w:spacing w:after="0" w:line="273" w:lineRule="auto"/>
        <w:tabs>
          <w:tab w:leader="none" w:pos="10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twelve branches in the Lubbock/South Plains market area, two branches in Ruidoso/Eastern, NM, and one branch in Bryan/College Station, TX.</w:t>
      </w:r>
    </w:p>
    <w:p>
      <w:pPr>
        <w:spacing w:after="0" w:line="57" w:lineRule="exact"/>
        <w:rPr>
          <w:sz w:val="20"/>
          <w:szCs w:val="20"/>
          <w:color w:val="auto"/>
        </w:rPr>
      </w:pPr>
    </w:p>
    <w:p>
      <w:pPr>
        <w:ind w:left="720" w:right="20"/>
        <w:spacing w:after="0" w:line="257" w:lineRule="auto"/>
        <w:rPr>
          <w:sz w:val="20"/>
          <w:szCs w:val="20"/>
          <w:color w:val="auto"/>
        </w:rPr>
      </w:pPr>
      <w:r>
        <w:rPr>
          <w:rFonts w:ascii="Arial" w:cs="Arial" w:eastAsia="Arial" w:hAnsi="Arial"/>
          <w:sz w:val="18"/>
          <w:szCs w:val="18"/>
          <w:color w:val="auto"/>
        </w:rPr>
        <w:t>In addition, we intend to actively recruit additional lenders and employees from other institutions. We have had success in this area which we believe is attributable to our employee ownership, long-standing market presence and desirable culture in which our employees can thrive. Finally, we cross-sell our various banking products, including our deposits and treasury wealth management to our commercial loan customers, which we believe provides a basis for expanding our banking relationships.</w:t>
      </w:r>
    </w:p>
    <w:p>
      <w:pPr>
        <w:spacing w:after="0" w:line="80" w:lineRule="exact"/>
        <w:rPr>
          <w:sz w:val="20"/>
          <w:szCs w:val="20"/>
          <w:color w:val="auto"/>
        </w:rPr>
      </w:pPr>
    </w:p>
    <w:p>
      <w:pPr>
        <w:ind w:left="700" w:hanging="344"/>
        <w:spacing w:after="0" w:line="287"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Growth Through Acquisitions</w:t>
      </w:r>
      <w:r>
        <w:rPr>
          <w:rFonts w:ascii="Arial" w:cs="Arial" w:eastAsia="Arial" w:hAnsi="Arial"/>
          <w:sz w:val="16"/>
          <w:szCs w:val="16"/>
          <w:color w:val="auto"/>
        </w:rPr>
        <w:t>. We intend to take advantage of strategic acquisition opportunities, including using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as public currency to become a logical consolidator in our market areas. As of December 31, 2018, there were more than 160 banks in Texas and New Mexico with total assets between $250 million and $1.0 billion, which provides us with ample opportunities to make acquisitions that increase shareholder value both in our existing markets and in attractive new markets in those states. Catalysts for acquisition activity include scale and operational issues, excessive regulation, shareholder liquidity needs, and management succession concerns. We believe that our longstanding presence in West Texas, our culture of emphasizing employees as our most important asset, and our financial commitment to helping our communities will give us a significant advantage in making us an acquirer of choice. We acquired an online mortgage platform and staff from an Overland Park, Kansas-based mortgage company at the end of November 2018 as part of our strategy to enhance our consumer-direct business model for our mortgage operations to accompany our traditional brick-and-mortar delivery channels. We employ 35 full-time employees at this location. We are not currently party to any arrangements, understandings, or agreements to make any material acquisitions.</w:t>
      </w:r>
    </w:p>
    <w:p>
      <w:pPr>
        <w:spacing w:after="0" w:line="59" w:lineRule="exact"/>
        <w:rPr>
          <w:rFonts w:ascii="Arial" w:cs="Arial" w:eastAsia="Arial" w:hAnsi="Arial"/>
          <w:sz w:val="16"/>
          <w:szCs w:val="16"/>
          <w:color w:val="auto"/>
        </w:rPr>
      </w:pPr>
    </w:p>
    <w:p>
      <w:pPr>
        <w:ind w:left="700" w:hanging="344"/>
        <w:spacing w:after="0" w:line="287"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Operational Improvements Through Enterprise Risk Management</w:t>
      </w:r>
      <w:r>
        <w:rPr>
          <w:rFonts w:ascii="Arial" w:cs="Arial" w:eastAsia="Arial" w:hAnsi="Arial"/>
          <w:sz w:val="16"/>
          <w:szCs w:val="16"/>
          <w:color w:val="auto"/>
        </w:rPr>
        <w:t>. We implemented a rigorous ERM system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aftermath of the financial crisis, and view this development as a defining event for our institution. This system delivers a systematic approach to risk measurement and enhances the effectiveness of risk management across the institution. Integrating this system into our culture and strategic decision making has improved all functional areas of the business. Our asset quality has improved significantly by enhancing our underwriting process and establishing a specific credit appetite that aligns to the broader enterprise risk management framework. Operational oversight has been heightened to include monitoring for potential personnel, process and systems issues. We have also implemented monitoring and controls for other functional areas such as information security and technology, vendor management, liquidity, interest rate risk, compliance and company reputation. We believe the ERM program has positioned our company to better consummate acquisitions with less risk and increased cost savings. In addition, we believe we are one of the only community banks in our size range and market area to implement such a comprehensive risk management system.</w:t>
      </w:r>
    </w:p>
    <w:p>
      <w:pPr>
        <w:spacing w:after="0" w:line="63" w:lineRule="exact"/>
        <w:rPr>
          <w:rFonts w:ascii="Arial" w:cs="Arial" w:eastAsia="Arial" w:hAnsi="Arial"/>
          <w:sz w:val="16"/>
          <w:szCs w:val="16"/>
          <w:color w:val="auto"/>
        </w:rPr>
      </w:pPr>
    </w:p>
    <w:p>
      <w:pPr>
        <w:ind w:left="700" w:right="80" w:hanging="344"/>
        <w:spacing w:after="0" w:line="255"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Efficiency and Profitability</w:t>
      </w:r>
      <w:r>
        <w:rPr>
          <w:rFonts w:ascii="Arial" w:cs="Arial" w:eastAsia="Arial" w:hAnsi="Arial"/>
          <w:sz w:val="18"/>
          <w:szCs w:val="18"/>
          <w:color w:val="auto"/>
        </w:rPr>
        <w:t>. We have invested in a number of systems and processes that we believe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to those of much larger financial institutions. These include our new operations center located in Lubbock which houses back-office processing for deposit operations, loan operations, mortgage operations, and corporate training. We are also investing in digital and payments technologies to increase efficiencies and streamline processes. These technologies including remote deposit capture software for business customers, expanded usage of electronic signatures, online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right="80"/>
        <w:spacing w:after="0" w:line="311" w:lineRule="auto"/>
        <w:rPr>
          <w:sz w:val="20"/>
          <w:szCs w:val="20"/>
          <w:color w:val="auto"/>
        </w:rPr>
      </w:pPr>
      <w:r>
        <w:rPr>
          <w:rFonts w:ascii="Arial" w:cs="Arial" w:eastAsia="Arial" w:hAnsi="Arial"/>
          <w:sz w:val="16"/>
          <w:szCs w:val="16"/>
          <w:color w:val="auto"/>
        </w:rPr>
        <w:t>account tools, and technologies that facilitate more efficient item processing. We believe these investments will allow us to scale our business without commensurate additional expenses and help us further reduce our efficiency ratio over time. Our efficiency ratio was 77.6% and 77.9% for the years ended December 31, 2018 and 2017, respectively.</w:t>
      </w:r>
    </w:p>
    <w:p>
      <w:pPr>
        <w:spacing w:after="0" w:line="41" w:lineRule="exact"/>
        <w:rPr>
          <w:sz w:val="20"/>
          <w:szCs w:val="20"/>
          <w:color w:val="auto"/>
        </w:rPr>
      </w:pPr>
    </w:p>
    <w:p>
      <w:pPr>
        <w:ind w:left="700" w:right="20" w:hanging="344"/>
        <w:spacing w:after="0" w:line="270"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Emphasize Community Banking</w:t>
      </w:r>
      <w:r>
        <w:rPr>
          <w:rFonts w:ascii="Arial" w:cs="Arial" w:eastAsia="Arial" w:hAnsi="Arial"/>
          <w:sz w:val="17"/>
          <w:szCs w:val="17"/>
          <w:color w:val="auto"/>
        </w:rPr>
        <w:t>. We intend to continue operating our subsidiary bank as a community banking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 focused on meeting the specific needs of individuals and small and medium-sized businesses in our market areas. We will continue to provide a high degree of responsiveness and a wide variety of banking products and services to our customers. Our history and focus is centered on being a dominant bank in the smaller markets we serve. Our employees are engaged in numerous community activities and organizations beyond the bank and our consistent corporate message is that the success of our communities will drive the success of the Bank. We strive to meet all the financial needs of customers in those markets with outstanding products and service. We seek to leverage our banking platform as we expand into large metropolitan markets such as Dallas and Houston where we target customers looking for our relationship-based approach to banking and our sophisticated products and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00" w:right="40" w:hanging="344"/>
        <w:spacing w:after="0" w:line="254"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Management Depth and Experience</w:t>
      </w:r>
      <w:r>
        <w:rPr>
          <w:rFonts w:ascii="Arial" w:cs="Arial" w:eastAsia="Arial" w:hAnsi="Arial"/>
          <w:sz w:val="18"/>
          <w:szCs w:val="18"/>
          <w:color w:val="auto"/>
        </w:rPr>
        <w:t>. Our executive management team has an average of 31 years of commercial banking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with strong track records and deep customer relationships in our markets. We believe that our executive team has significant depth in areas such as lending, loan administration, business operations, finance, accounting, and technology. Our management team has significant tenure with the Bank. Our Chairman and Chief Executive Officer, Curtis C. Griffith, has worked with our President, Cory T. Newsom, for over 28 years. Together the executive team has successfully managed profitable growth for the institution while also managing credit quality through economic downturns.</w:t>
      </w:r>
    </w:p>
    <w:p>
      <w:pPr>
        <w:spacing w:after="0" w:line="86" w:lineRule="exact"/>
        <w:rPr>
          <w:rFonts w:ascii="Arial" w:cs="Arial" w:eastAsia="Arial" w:hAnsi="Arial"/>
          <w:sz w:val="18"/>
          <w:szCs w:val="18"/>
          <w:color w:val="auto"/>
        </w:rPr>
      </w:pPr>
    </w:p>
    <w:p>
      <w:pPr>
        <w:ind w:left="1080" w:right="40" w:hanging="360"/>
        <w:spacing w:after="0" w:line="245" w:lineRule="auto"/>
        <w:tabs>
          <w:tab w:leader="none" w:pos="1080" w:val="left"/>
        </w:tabs>
        <w:numPr>
          <w:ilvl w:val="1"/>
          <w:numId w:val="39"/>
        </w:numPr>
        <w:rPr>
          <w:rFonts w:ascii="Arial" w:cs="Arial" w:eastAsia="Arial" w:hAnsi="Arial"/>
          <w:sz w:val="22"/>
          <w:szCs w:val="22"/>
          <w:color w:val="auto"/>
          <w:vertAlign w:val="superscript"/>
        </w:rPr>
      </w:pPr>
      <w:r>
        <w:rPr>
          <w:rFonts w:ascii="Arial" w:cs="Arial" w:eastAsia="Arial" w:hAnsi="Arial"/>
          <w:sz w:val="18"/>
          <w:szCs w:val="18"/>
          <w:b w:val="1"/>
          <w:bCs w:val="1"/>
          <w:i w:val="1"/>
          <w:iCs w:val="1"/>
          <w:color w:val="auto"/>
        </w:rPr>
        <w:t xml:space="preserve">Curtis C. Griffith </w:t>
      </w:r>
      <w:r>
        <w:rPr>
          <w:rFonts w:ascii="Arial" w:cs="Arial" w:eastAsia="Arial" w:hAnsi="Arial"/>
          <w:sz w:val="18"/>
          <w:szCs w:val="18"/>
          <w:i w:val="1"/>
          <w:iCs w:val="1"/>
          <w:color w:val="auto"/>
        </w:rPr>
        <w:t>– Chairman and Chief Executive Officer – Age 66</w:t>
      </w:r>
      <w:r>
        <w:rPr>
          <w:rFonts w:ascii="Arial" w:cs="Arial" w:eastAsia="Arial" w:hAnsi="Arial"/>
          <w:sz w:val="18"/>
          <w:szCs w:val="18"/>
          <w:color w:val="auto"/>
        </w:rPr>
        <w:t>. Mr. Griffith has been with the Company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inception and has worked with the Bank and its predecessor institutions for over 47 years. Mr. Griffith became our Chairman and President in 1993, with his title shifting to Chairman and Chief Executive Officer earlier this year in connection with a general update of our executive team's titles. In 1972, he was elected to the board of directors of First State Bank of Morton, Texas, a predecessor institution to the Bank, and continues to serve on the board of directors of the Bank. He has served on the board of directors of IBAT and continues to serve on the Legislative and PAC committees for IBAT.</w:t>
      </w:r>
    </w:p>
    <w:p>
      <w:pPr>
        <w:spacing w:after="0" w:line="93" w:lineRule="exact"/>
        <w:rPr>
          <w:rFonts w:ascii="Arial" w:cs="Arial" w:eastAsia="Arial" w:hAnsi="Arial"/>
          <w:sz w:val="22"/>
          <w:szCs w:val="22"/>
          <w:color w:val="auto"/>
          <w:vertAlign w:val="superscript"/>
        </w:rPr>
      </w:pPr>
    </w:p>
    <w:p>
      <w:pPr>
        <w:ind w:left="1080" w:right="40" w:hanging="360"/>
        <w:spacing w:after="0" w:line="243" w:lineRule="auto"/>
        <w:tabs>
          <w:tab w:leader="none" w:pos="1080" w:val="left"/>
        </w:tabs>
        <w:numPr>
          <w:ilvl w:val="1"/>
          <w:numId w:val="39"/>
        </w:numPr>
        <w:rPr>
          <w:rFonts w:ascii="Arial" w:cs="Arial" w:eastAsia="Arial" w:hAnsi="Arial"/>
          <w:sz w:val="22"/>
          <w:szCs w:val="22"/>
          <w:color w:val="auto"/>
          <w:vertAlign w:val="superscript"/>
        </w:rPr>
      </w:pPr>
      <w:r>
        <w:rPr>
          <w:rFonts w:ascii="Arial" w:cs="Arial" w:eastAsia="Arial" w:hAnsi="Arial"/>
          <w:sz w:val="18"/>
          <w:szCs w:val="18"/>
          <w:b w:val="1"/>
          <w:bCs w:val="1"/>
          <w:i w:val="1"/>
          <w:iCs w:val="1"/>
          <w:color w:val="auto"/>
        </w:rPr>
        <w:t xml:space="preserve">Cory T. Newsom </w:t>
      </w:r>
      <w:r>
        <w:rPr>
          <w:rFonts w:ascii="Arial" w:cs="Arial" w:eastAsia="Arial" w:hAnsi="Arial"/>
          <w:sz w:val="18"/>
          <w:szCs w:val="18"/>
          <w:i w:val="1"/>
          <w:iCs w:val="1"/>
          <w:color w:val="auto"/>
        </w:rPr>
        <w:t>– Director and President – Age 51</w:t>
      </w:r>
      <w:r>
        <w:rPr>
          <w:rFonts w:ascii="Arial" w:cs="Arial" w:eastAsia="Arial" w:hAnsi="Arial"/>
          <w:sz w:val="18"/>
          <w:szCs w:val="18"/>
          <w:color w:val="auto"/>
        </w:rPr>
        <w:t>. Mr. Newsom began his 36-year career in banking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progressing through our lending and operations areas. He currently serves as President of the Company and serves on the board of directors of the Company and the Bank. Mr. Newsom served as Chief Operating Officer of the Bank before being named President and Chief Executive Officer of the Bank in 2008. He also serves on the board of directors of IBAT.</w:t>
      </w:r>
    </w:p>
    <w:p>
      <w:pPr>
        <w:spacing w:after="0" w:line="93" w:lineRule="exact"/>
        <w:rPr>
          <w:rFonts w:ascii="Arial" w:cs="Arial" w:eastAsia="Arial" w:hAnsi="Arial"/>
          <w:sz w:val="22"/>
          <w:szCs w:val="22"/>
          <w:color w:val="auto"/>
          <w:vertAlign w:val="superscript"/>
        </w:rPr>
      </w:pPr>
    </w:p>
    <w:p>
      <w:pPr>
        <w:ind w:left="1080" w:hanging="360"/>
        <w:spacing w:after="0" w:line="245" w:lineRule="auto"/>
        <w:tabs>
          <w:tab w:leader="none" w:pos="1080" w:val="left"/>
        </w:tabs>
        <w:numPr>
          <w:ilvl w:val="1"/>
          <w:numId w:val="39"/>
        </w:numPr>
        <w:rPr>
          <w:rFonts w:ascii="Arial" w:cs="Arial" w:eastAsia="Arial" w:hAnsi="Arial"/>
          <w:sz w:val="22"/>
          <w:szCs w:val="22"/>
          <w:color w:val="auto"/>
          <w:vertAlign w:val="superscript"/>
        </w:rPr>
      </w:pPr>
      <w:r>
        <w:rPr>
          <w:rFonts w:ascii="Arial" w:cs="Arial" w:eastAsia="Arial" w:hAnsi="Arial"/>
          <w:sz w:val="18"/>
          <w:szCs w:val="18"/>
          <w:b w:val="1"/>
          <w:bCs w:val="1"/>
          <w:i w:val="1"/>
          <w:iCs w:val="1"/>
          <w:color w:val="auto"/>
        </w:rPr>
        <w:t xml:space="preserve">Steven B. Crockett </w:t>
      </w:r>
      <w:r>
        <w:rPr>
          <w:rFonts w:ascii="Arial" w:cs="Arial" w:eastAsia="Arial" w:hAnsi="Arial"/>
          <w:sz w:val="18"/>
          <w:szCs w:val="18"/>
          <w:i w:val="1"/>
          <w:iCs w:val="1"/>
          <w:color w:val="auto"/>
        </w:rPr>
        <w:t>– Chief Financial Officer and Treasurer – Age 47</w:t>
      </w:r>
      <w:r>
        <w:rPr>
          <w:rFonts w:ascii="Arial" w:cs="Arial" w:eastAsia="Arial" w:hAnsi="Arial"/>
          <w:sz w:val="18"/>
          <w:szCs w:val="18"/>
          <w:color w:val="auto"/>
        </w:rPr>
        <w:t>. Mr. Crockett has served 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and Treasurer of the Company and as Chief Financial Officer of the Bank since 2015. He previously served as Senior Vice President and Controller of the Company from 2010 to 2014 and as Controller of the Bank from 2001 to 2014. As Controller, he was responsible for financial and regulatory reporting, coordinating financial statement audits, budgeting, capital forecasting, and financial projections. Before joining the Bank, he practiced in public accounting for seven years with an accounting firm that had previously functioned as a practicing office of PricewaterhouseCoopers, LLP in Lubbock, Texas.</w:t>
      </w:r>
    </w:p>
    <w:p>
      <w:pPr>
        <w:sectPr>
          <w:pgSz w:w="11900" w:h="16838" w:orient="portrait"/>
          <w:cols w:equalWidth="0" w:num="1">
            <w:col w:w="9560"/>
          </w:cols>
          <w:pgMar w:left="1160" w:top="279" w:right="1179" w:bottom="1440" w:gutter="0" w:footer="0" w:header="0"/>
        </w:sectPr>
      </w:pPr>
    </w:p>
    <w:p>
      <w:pPr>
        <w:spacing w:after="0" w:line="99"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Kevin R. Bass </w:t>
      </w:r>
      <w:r>
        <w:rPr>
          <w:rFonts w:ascii="Arial" w:cs="Arial" w:eastAsia="Arial" w:hAnsi="Arial"/>
          <w:sz w:val="18"/>
          <w:szCs w:val="18"/>
          <w:i w:val="1"/>
          <w:iCs w:val="1"/>
          <w:color w:val="auto"/>
        </w:rPr>
        <w:t>– Chief Credit Officer – Age 52</w:t>
      </w:r>
      <w:r>
        <w:rPr>
          <w:rFonts w:ascii="Arial" w:cs="Arial" w:eastAsia="Arial" w:hAnsi="Arial"/>
          <w:sz w:val="18"/>
          <w:szCs w:val="18"/>
          <w:color w:val="auto"/>
        </w:rPr>
        <w:t>. Mr. Bass began his 31-year career in banking as a credit analyst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serving as a bank regulator with the Texas Department of Banking for four years. He started with the Bank in 1995 as an asset review officer and currently serves as the Chief Credit Officer of each of the Company and the Bank. He has served on the board of directors of the Bank since 2006.</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Mikella D. Newsom </w:t>
      </w:r>
      <w:r>
        <w:rPr>
          <w:rFonts w:ascii="Arial" w:cs="Arial" w:eastAsia="Arial" w:hAnsi="Arial"/>
          <w:sz w:val="18"/>
          <w:szCs w:val="18"/>
          <w:i w:val="1"/>
          <w:iCs w:val="1"/>
          <w:color w:val="auto"/>
        </w:rPr>
        <w:t>– Chief Risk Officer and Secretary – Age 44</w:t>
      </w:r>
      <w:r>
        <w:rPr>
          <w:rFonts w:ascii="Arial" w:cs="Arial" w:eastAsia="Arial" w:hAnsi="Arial"/>
          <w:sz w:val="18"/>
          <w:szCs w:val="18"/>
          <w:color w:val="auto"/>
        </w:rPr>
        <w:t>. Ms. Newsom has a 23-year banking career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started at First State Bank of Morton, a predecessor institution to the Bank.</w:t>
      </w:r>
    </w:p>
    <w:p>
      <w:pPr>
        <w:spacing w:after="0" w:line="17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306070</wp:posOffset>
            </wp:positionV>
            <wp:extent cx="606933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2">
            <w:col w:w="780" w:space="300"/>
            <w:col w:w="8480"/>
          </w:cols>
          <w:pgMar w:left="1160" w:top="279" w:right="1179" w:bottom="1440" w:gutter="0" w:footer="0" w:header="0"/>
          <w:type w:val="continuous"/>
        </w:sectPr>
      </w:pPr>
    </w:p>
    <w:bookmarkStart w:id="85" w:name="page86"/>
    <w:bookmarkEnd w:id="8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80" w:right="120"/>
        <w:spacing w:after="0" w:line="259" w:lineRule="auto"/>
        <w:rPr>
          <w:sz w:val="20"/>
          <w:szCs w:val="20"/>
          <w:color w:val="auto"/>
        </w:rPr>
      </w:pPr>
      <w:r>
        <w:rPr>
          <w:rFonts w:ascii="Arial" w:cs="Arial" w:eastAsia="Arial" w:hAnsi="Arial"/>
          <w:sz w:val="18"/>
          <w:szCs w:val="18"/>
          <w:color w:val="auto"/>
        </w:rPr>
        <w:t>She currently serves as Chief Risk Officer and Secretary of the Company and Chief Risk Officer of the Bank. She previously held the position of Chief Financial Officer of the Bank. She is a member of the Risk Management Association and the Texas Bankers Association where she serves on the Chief Risk Officer steering committee. Ms. Newsom has no familial relationship with Cory Newsom.</w:t>
      </w:r>
    </w:p>
    <w:p>
      <w:pPr>
        <w:spacing w:after="0" w:line="79" w:lineRule="exact"/>
        <w:rPr>
          <w:sz w:val="20"/>
          <w:szCs w:val="20"/>
          <w:color w:val="auto"/>
        </w:rPr>
      </w:pPr>
    </w:p>
    <w:p>
      <w:pPr>
        <w:ind w:left="1080" w:right="20" w:hanging="360"/>
        <w:spacing w:after="0" w:line="261" w:lineRule="auto"/>
        <w:tabs>
          <w:tab w:leader="none" w:pos="1080" w:val="left"/>
        </w:tabs>
        <w:numPr>
          <w:ilvl w:val="1"/>
          <w:numId w:val="40"/>
        </w:numPr>
        <w:rPr>
          <w:rFonts w:ascii="Arial" w:cs="Arial" w:eastAsia="Arial" w:hAnsi="Arial"/>
          <w:sz w:val="21"/>
          <w:szCs w:val="21"/>
          <w:color w:val="auto"/>
          <w:vertAlign w:val="superscript"/>
        </w:rPr>
      </w:pPr>
      <w:r>
        <w:rPr>
          <w:rFonts w:ascii="Arial" w:cs="Arial" w:eastAsia="Arial" w:hAnsi="Arial"/>
          <w:sz w:val="17"/>
          <w:szCs w:val="17"/>
          <w:b w:val="1"/>
          <w:bCs w:val="1"/>
          <w:i w:val="1"/>
          <w:iCs w:val="1"/>
          <w:color w:val="auto"/>
        </w:rPr>
        <w:t>Kelly L. Deterding – President of Windmark Insurance and Senior Vice President, Insurance Development of City Bank – Age 61</w:t>
      </w:r>
      <w:r>
        <w:rPr>
          <w:rFonts w:ascii="Arial" w:cs="Arial" w:eastAsia="Arial" w:hAnsi="Arial"/>
          <w:sz w:val="17"/>
          <w:szCs w:val="17"/>
          <w:color w:val="auto"/>
        </w:rPr>
        <w:t>. Mr. Deterding has served as President of Windmark Insurance Agency, Inc., or Windmark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Senior Vice President of Insurance Development at the Bank since 2003. He has worked in the crop insurance industry since 1996, previously serving as an adjuster, a claims supervisor and a marketing representative for American Agrisurance. Mr. Deterding is also involved in several U.S. industry trade associations that represent the interests of the private sector crop insurance industry.</w:t>
      </w:r>
    </w:p>
    <w:p>
      <w:pPr>
        <w:spacing w:after="0" w:line="78" w:lineRule="exact"/>
        <w:rPr>
          <w:rFonts w:ascii="Arial" w:cs="Arial" w:eastAsia="Arial" w:hAnsi="Arial"/>
          <w:sz w:val="21"/>
          <w:szCs w:val="21"/>
          <w:color w:val="auto"/>
          <w:vertAlign w:val="superscript"/>
        </w:rPr>
      </w:pPr>
    </w:p>
    <w:p>
      <w:pPr>
        <w:ind w:left="700" w:hanging="344"/>
        <w:spacing w:after="0" w:line="25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Low Cost Core-Deposit Base</w:t>
      </w:r>
      <w:r>
        <w:rPr>
          <w:rFonts w:ascii="Arial" w:cs="Arial" w:eastAsia="Arial" w:hAnsi="Arial"/>
          <w:sz w:val="18"/>
          <w:szCs w:val="18"/>
          <w:color w:val="auto"/>
        </w:rPr>
        <w:t>. We have built a strong core deposit base over many years by providing quality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customers in our market areas. We offer retail deposit services through our existing branch network, as well as digital banking products. Core deposits totaled $2.1 billion, or 90.4% of total deposits, and noninterest bearing deposits totaled $510.1 million, or 22.4% of total deposits as of December 31, 2018. Our cost of total deposits was 0.80%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59690</wp:posOffset>
            </wp:positionV>
            <wp:extent cx="4431665" cy="2314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43166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00" w:right="60" w:hanging="344"/>
        <w:spacing w:after="0" w:line="259"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Well-Balanced Loan Portfolio</w:t>
      </w:r>
      <w:r>
        <w:rPr>
          <w:rFonts w:ascii="Arial" w:cs="Arial" w:eastAsia="Arial" w:hAnsi="Arial"/>
          <w:sz w:val="18"/>
          <w:szCs w:val="18"/>
          <w:color w:val="auto"/>
        </w:rPr>
        <w:t>. We lend to both individual and business borrowers, with 68.9% of loans made 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31.1% of loans made to individual customers as of December 31, 2018. The Bank establishes a personal relationship with its customers and their businesses, with the goal of creating the right loans for the right borrowers and the right properties.</w:t>
      </w:r>
    </w:p>
    <w:p>
      <w:pPr>
        <w:spacing w:after="0" w:line="78" w:lineRule="exact"/>
        <w:rPr>
          <w:rFonts w:ascii="Arial" w:cs="Arial" w:eastAsia="Arial" w:hAnsi="Arial"/>
          <w:sz w:val="18"/>
          <w:szCs w:val="18"/>
          <w:color w:val="auto"/>
        </w:rPr>
      </w:pPr>
    </w:p>
    <w:p>
      <w:pPr>
        <w:ind w:left="700" w:right="20" w:hanging="344"/>
        <w:spacing w:after="0" w:line="275" w:lineRule="auto"/>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Strong Asset Quality</w:t>
      </w:r>
      <w:r>
        <w:rPr>
          <w:rFonts w:ascii="Arial" w:cs="Arial" w:eastAsia="Arial" w:hAnsi="Arial"/>
          <w:sz w:val="17"/>
          <w:szCs w:val="17"/>
          <w:color w:val="auto"/>
        </w:rPr>
        <w:t>. We believe our in-depth knowledge of our markets and customers, as well as the implementation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and conservative underwriting, has allowed us to maintain strong asset quality over time. Our nonperforming assets were $9.2 million as of December 31, 2018, which represents less than 0.47% of our loans and OREO. Our net charge-offs as a percentage of average loans was 0.27% for the year ended December 31, 2018. Additionally, our loan loss reserve to nonperforming loans ratio was 332.6% as of December 31, 2018.</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92075</wp:posOffset>
            </wp:positionV>
            <wp:extent cx="4937760" cy="1808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3776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00" w:hanging="344"/>
        <w:spacing w:after="0" w:line="271" w:lineRule="auto"/>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Fee Income</w:t>
      </w:r>
      <w:r>
        <w:rPr>
          <w:rFonts w:ascii="Arial" w:cs="Arial" w:eastAsia="Arial" w:hAnsi="Arial"/>
          <w:sz w:val="17"/>
          <w:szCs w:val="17"/>
          <w:color w:val="auto"/>
        </w:rPr>
        <w:t>. Our fee income is primarily driven by our mortgage operations, debit card and other bank service charge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and income for our insurance, trust and investment services business. Fee income comprised 35.3% of our total revenue for the year ended December 31, 2018. This compares to a median fee income of 10.3% of total revenue for major exchange-traded banks headquartered in Texas with total assets between $1.0 billion and $5.0 billion and 15.6% of total revenue for all banks headquartered in Texas with total assets between $1.0 billion and $5.0 billion. Our fee income provides shareholders with a recurring and diversified earnings stream. Total fee income was $52.1 million for the year ended December 31, 2018 and has increased significantly over the past five years due primarily to growth and improved performance in our mortgage banking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5923280" cy="2211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232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00" w:right="60" w:hanging="344"/>
        <w:spacing w:after="0" w:line="25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Outstanding Place to Work</w:t>
      </w:r>
      <w:r>
        <w:rPr>
          <w:rFonts w:ascii="Arial" w:cs="Arial" w:eastAsia="Arial" w:hAnsi="Arial"/>
          <w:sz w:val="18"/>
          <w:szCs w:val="18"/>
          <w:color w:val="auto"/>
        </w:rPr>
        <w:t>. The Bank has been repeatedly recognized as an outstanding place to work, with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Banker naming it one of the “Best Banks to Work For” for six consecutive years and ranking it the number 13 bank in the nation in 2017. We believe that we provide excellent pay and benefits to our employees as well as a safe and inviting workplace. Our employees respond with extraordinary loyalty and by making us known in our communities as a bank that does the right things for the right reasons.</w:t>
      </w:r>
    </w:p>
    <w:p>
      <w:pPr>
        <w:spacing w:after="0" w:line="79" w:lineRule="exact"/>
        <w:rPr>
          <w:rFonts w:ascii="Arial" w:cs="Arial" w:eastAsia="Arial" w:hAnsi="Arial"/>
          <w:sz w:val="18"/>
          <w:szCs w:val="18"/>
          <w:color w:val="auto"/>
        </w:rPr>
      </w:pPr>
    </w:p>
    <w:p>
      <w:pPr>
        <w:ind w:left="700" w:right="80" w:hanging="344"/>
        <w:spacing w:after="0" w:line="25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Inside Ownership</w:t>
      </w:r>
      <w:r>
        <w:rPr>
          <w:rFonts w:ascii="Arial" w:cs="Arial" w:eastAsia="Arial" w:hAnsi="Arial"/>
          <w:sz w:val="18"/>
          <w:szCs w:val="18"/>
          <w:color w:val="auto"/>
        </w:rPr>
        <w:t>. Our ESOP, employees, officers and directors of the Company and the Bank, and the families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are our primary shareholders. Currently, they represent shareholders who own 70.1% of our common stock. We believe that this level of insider ownership keeps our corporate goals and strategy aligned with the interests of all shareholders.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Banking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Lubbock/South Plains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operate 12 branches holding $1.7 billion of deposits in the Lubbock MSA and the surrounding South Plains region as of December 31, 2018. The Lubbock MSA is home to more than 315,000 people with major industries in agribusiness – primarily cotton, corn, and grain sorghum – as well as education, trade and transportation, health services and government, among others. Lubbock is home to Texas Tech University, a public research university enrolling more than 35,000 students each year, according to the university’s website. Texas Tech’s student enrollment ranks within the top 10 for universities in Texas as of the Spring 2018 semester, and is one of only two campuses in the state to house an undergraduate university, law school, and medical school. Lubbock Christian University is also headquartered in Lubbock and Wayland Baptist University and South Plains College maintain campuses here. The Lubbock MSA reports unemployment of 2.8% for 2018 according to Forbes, which also listed Lubbock as one of its “Best Places for Business and Careers” during 2018, with a gross metro product of more than $14.0 billion during 2018. Major employers in the Lubbock MSA include Texas Tech University, United Super Market, Covenant Health System, UMC Health System and Lubbock ISD, according to the Lubbock Economic Development Alliance.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Dallas</w:t>
      </w:r>
    </w:p>
    <w:p>
      <w:pPr>
        <w:spacing w:after="0" w:line="117"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We operate three branches with $258.7 million of deposits as of December 31, 2018 and six mortgage offices in the Dallas-Fort Worth-Arlington MSA, which we refer to as the Dallas-Fort Worth metroplex. The Dallas-Fort Worth metroplex is the largest MSA in Texas and fourth largest in the nation as of 2018, according to S&amp;P Global. It saw the second highest population growth of any MSA from 2010 to 2018 and third highest employment growth from 2015 to 2018, according to S&amp;P Global. The area also serves as the corporate headquarters for 22 Fortune 500 companies including Southwest Airlines, AT&amp;T and Exxon Mobil, ranking third in the nation for Fortune 500 corporate headquarters, according to the Dallas Regional Chamber of Commerce. The Dallas-Fort Worth metroplex area was responsible for producing 33% of the state’s total gross domestic product in 2018. The Dallas-Fort Worth International Airport is the fourth largest in the country for passenger traffic according to the Dallas Morning News. According to the U.S. Bureau of Economic Analysis, and, according to the Dallas Economic Development, the MSA is home to over 65,000 businesses, adding over 300 jobs per day on average over the past twelve months.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 Paso</w:t>
      </w:r>
    </w:p>
    <w:p>
      <w:pPr>
        <w:spacing w:after="0" w:line="117" w:lineRule="exact"/>
        <w:rPr>
          <w:sz w:val="20"/>
          <w:szCs w:val="20"/>
          <w:color w:val="auto"/>
        </w:rPr>
      </w:pPr>
    </w:p>
    <w:p>
      <w:pPr>
        <w:ind w:right="20" w:firstLine="360"/>
        <w:spacing w:after="0" w:line="233" w:lineRule="auto"/>
        <w:rPr>
          <w:sz w:val="20"/>
          <w:szCs w:val="20"/>
          <w:color w:val="auto"/>
        </w:rPr>
      </w:pPr>
      <w:r>
        <w:rPr>
          <w:rFonts w:ascii="Arial" w:cs="Arial" w:eastAsia="Arial" w:hAnsi="Arial"/>
          <w:sz w:val="17"/>
          <w:szCs w:val="17"/>
          <w:color w:val="auto"/>
        </w:rPr>
        <w:t>We operate two bank branches with $111.2 million of deposits as of December 31, 2018 and a mortgage office in the El Paso MSA, which has a population of more than 850,000. The El Paso MSA is adjacent to Juarez, Mexico, which has a growing industrial center, an estimated population of 1.5 million people, and has contributed to significant growth in El Paso. The El Paso MSA provides manufacturing, education, and retail services to businesses and residents in Juarez. The El Paso MSA is home to Fort Bliss, which houses the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Armored Division, the 32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Army Air and Missile Defense Command and the 402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Field Artillery Brigade, among other major units. Fort Bliss is also adjacent to the White Sands Missile Range. Civil employers include a number of universities, including The University of Texas at El Paso, The Texas Tech School of Medicine, El Paso Community College, and Vista College. The largest industries in the El Paso MSA are military, healthcare, educational services and retail. The highest paying industries are business management, oil and gas and utilities according to Data USA.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Houston</w:t>
      </w:r>
    </w:p>
    <w:p>
      <w:pPr>
        <w:spacing w:after="0" w:line="117" w:lineRule="exact"/>
        <w:rPr>
          <w:sz w:val="20"/>
          <w:szCs w:val="20"/>
          <w:color w:val="auto"/>
        </w:rPr>
      </w:pPr>
    </w:p>
    <w:p>
      <w:pPr>
        <w:ind w:right="100" w:firstLine="360"/>
        <w:spacing w:after="0" w:line="269" w:lineRule="auto"/>
        <w:rPr>
          <w:sz w:val="20"/>
          <w:szCs w:val="20"/>
          <w:color w:val="auto"/>
        </w:rPr>
      </w:pPr>
      <w:r>
        <w:rPr>
          <w:rFonts w:ascii="Arial" w:cs="Arial" w:eastAsia="Arial" w:hAnsi="Arial"/>
          <w:sz w:val="17"/>
          <w:szCs w:val="17"/>
          <w:color w:val="auto"/>
        </w:rPr>
        <w:t>We operate one branch with $24.8 million of deposits in the city of Houston as of December 31, 2018. The Houston-The Woodlands-Sugarland MSA, which we refer to as Greater Houston, is the corporate headquarters for 20 Fortune 500 companies, ranking fourth among metro areas according to the Greater Houston Partnership. Greater Houston had the seventh largest gross domestic product in the U.S. in 2016, according to the U.S. Bureau of Economic Analysis. While Houston is known as the “Energy Capital of the World,” the metropolitan area also boasts the largest medical complex in the world, has the second busiest port in the United States in 2017, and is a leader in international business. Houston’s economic success is projected to continue, with employment growth of 1.74% annually through the year 2040, according to the Perryman Group. Greater Houston has seen robust population expansion over the last several years – largely a result of the companies headquartered in the area, such as Anadarko Petroleum, Aon Hewitt, ConocoPhillips, Sysco, Waste Connections, Inc., Halliburton and Baker Hughes, among others, according to The Houston Chronicle.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Bryan/College Station</w:t>
      </w:r>
    </w:p>
    <w:p>
      <w:pPr>
        <w:spacing w:after="0" w:line="117"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We operate one branch and one mortgage office in the city of College Station, Texas, which has $67.7 million in deposits as of December 31, 2018. The Bryan-College Station MSA, which we refer to as Bryan/College Station, is home to Texas A&amp;M University, which enrolls over 68,000 students and is the largest university in the state according to the Texas Higher Education Coordinating Board. Bryan/College Station ranked first in Texas and third nationwide for Best Small Places for Business and Careers in 2017 with job growth of 10.3% from 2015 to 2018, according to Forbes. Unemployment in the Bryan/College station MSA reached a historically low rate of 2.8% in 2018. Total construction project valuation in Bryan/College Station was over $750 million in 2016. Notable ongoing projects include the Texas A&amp;M RELLIS Campus, a $250 million, 2,000 acre campus dedicated to technology development, as well as the continued development of ATLAS, a master planned community and business complex specifically constructed for companies engaged in medical technology and pharmaceuticals.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Ruidoso/Eastern New Mexico</w:t>
      </w:r>
    </w:p>
    <w:p>
      <w:pPr>
        <w:spacing w:after="0" w:line="117"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We operate two branches with $116.3 million of deposits as of December 31, 2018 in the village of Ruidoso, New Mexico, which makes our institution the largest deposit holder in the Ruidoso micropolitan statistical area. Based on the customers we serve and our strategic plan, we consider the Eastern New Mexico region, including Ruidoso, to be our market area. The Ruidoso micropolitan statistical area is home to a population of more than 20,000, according to data obtained through the United States Census Bureau. Ruidoso has seen a large amount of investment over the last decade from developers. Notable projects include housing subdivisions and condominiums, as well as retail centers, all of which are transforming the once slow-moving mountain community into one of popularity and high growth, especially for active retirees. Ruidoso is home to a number of public and private schools, as well as a two-year community college branch of Eastern New Mexico University.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and Loan Portfolio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The lending activities of our subsidiary, City Bank, focus primarily on providing small and medium-sized businesses and consumers in our market area with a variety of loan products. Commercial real estate lending includes development of office buildings, apartments, hotels, and shopping centers. Other loan types include loans secured by farms and ranches and various consumer loans, such as residential real estate loans and home equity loans. We lend to both individual and business borrowers, with 68.9% of loans made to business customers, and 31.1% of loans made to individual customers as of December 31, 2018. The Bank establishes a personal relationship with its customers and their businesses, with the goal of creating the right loans for the right borrowers and the right properties.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graph shows each major category of our loan portfolio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83185</wp:posOffset>
            </wp:positionV>
            <wp:extent cx="3763010" cy="25203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76301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2018 and 2017, our loan portfolio, excluding loans held for sale,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69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6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Commercial real estate, non-owner-occupied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394,751</w:t>
            </w:r>
          </w:p>
        </w:tc>
        <w:tc>
          <w:tcPr>
            <w:tcW w:w="20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376,961</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143,286</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129,933</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Commercial – general:</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 owner-occupied</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209,192</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196,352</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Other commercial − general</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218,536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213,705</w:t>
            </w:r>
          </w:p>
        </w:tc>
      </w:tr>
      <w:tr>
        <w:trPr>
          <w:trHeight w:val="249"/>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Agricultural production</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150,731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157,499</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61,780</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69,882</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Energy</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30,878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39,592</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commercial – Finance, Investment, and Insurance</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61,633</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62,146</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346,153</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313,350</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191,647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146,622</w:t>
            </w: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70,209</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66,191</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 family construction</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65,922</w:t>
            </w:r>
          </w:p>
        </w:tc>
      </w:tr>
      <w:tr>
        <w:trPr>
          <w:trHeight w:val="20"/>
        </w:trPr>
        <w:tc>
          <w:tcPr>
            <w:tcW w:w="69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1,957,197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1,838,155</w:t>
            </w:r>
          </w:p>
        </w:tc>
      </w:tr>
      <w:tr>
        <w:trPr>
          <w:trHeight w:val="249"/>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(23,126)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(21,461)</w:t>
            </w:r>
          </w:p>
        </w:tc>
      </w:tr>
      <w:tr>
        <w:trPr>
          <w:trHeight w:val="20"/>
        </w:trPr>
        <w:tc>
          <w:tcPr>
            <w:tcW w:w="69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Loans,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1,934,071</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1,816,694</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b w:val="1"/>
          <w:bCs w:val="1"/>
          <w:i w:val="1"/>
          <w:iCs w:val="1"/>
          <w:color w:val="auto"/>
        </w:rPr>
        <w:t>Commercial Real Estate Loans</w:t>
      </w:r>
      <w:r>
        <w:rPr>
          <w:rFonts w:ascii="Arial" w:cs="Arial" w:eastAsia="Arial" w:hAnsi="Arial"/>
          <w:sz w:val="18"/>
          <w:szCs w:val="18"/>
          <w:color w:val="auto"/>
        </w:rPr>
        <w:t>. We offer real estate loans for commercial property that is owned by real estate investors.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real estate loan terms are generally five years or less and amortization is generally limited to 20 years or less, although payments may be structured on a longer amortization basis in unusual cases. The interest rates on our commercial real estate loans may be fixed or adjustable, although rates typically are not fixed for a period exceeding five years. We charge an origination fee for our services on the majority of these loans. Our practice is to obtain personal guarantees from the principal owners of the business supported by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review of the principal owners’ personal financial statements and global debt service obligations. We also make construction loans to small and medium-sized business to construct owner-occupied properties and loans to developers of commercial real estate investment properties and residential developments.</w:t>
      </w:r>
    </w:p>
    <w:p>
      <w:pPr>
        <w:spacing w:after="0" w:line="76" w:lineRule="exact"/>
        <w:rPr>
          <w:sz w:val="20"/>
          <w:szCs w:val="20"/>
          <w:color w:val="auto"/>
        </w:rPr>
      </w:pPr>
    </w:p>
    <w:p>
      <w:pPr>
        <w:jc w:val="both"/>
        <w:ind w:right="40" w:firstLine="360"/>
        <w:spacing w:after="0" w:line="263" w:lineRule="auto"/>
        <w:rPr>
          <w:sz w:val="20"/>
          <w:szCs w:val="20"/>
          <w:color w:val="auto"/>
        </w:rPr>
      </w:pPr>
      <w:r>
        <w:rPr>
          <w:rFonts w:ascii="Arial" w:cs="Arial" w:eastAsia="Arial" w:hAnsi="Arial"/>
          <w:sz w:val="18"/>
          <w:szCs w:val="18"/>
          <w:color w:val="auto"/>
        </w:rPr>
        <w:t>Commercial real estate loans increased $31.1 million, or 6.1%, to $538.0 million as of December 31, 2018 from $506.9 million as of December 31, 2017. The increase in commercial real estate loans during this period was mostly driven by a general increase in lending activity, primarily in our Lubbock/South Plains and Dallas markets.</w:t>
      </w:r>
    </w:p>
    <w:p>
      <w:pPr>
        <w:spacing w:after="0" w:line="76"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b w:val="1"/>
          <w:bCs w:val="1"/>
          <w:i w:val="1"/>
          <w:iCs w:val="1"/>
          <w:color w:val="auto"/>
        </w:rPr>
        <w:t>Commercial – General</w:t>
      </w:r>
      <w:r>
        <w:rPr>
          <w:rFonts w:ascii="Arial" w:cs="Arial" w:eastAsia="Arial" w:hAnsi="Arial"/>
          <w:sz w:val="16"/>
          <w:szCs w:val="16"/>
          <w:color w:val="auto"/>
        </w:rPr>
        <w:t>. We make general commercial loans, including commercial lines of credit, working capital loans,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loans, equipment financing, asset acquisition, expansion and development loans, borrowing base loans, letters of credit and other loan products, primarily in our target markets that are underwritten on the basis of the borrower’s ability to service the debt from cash flows. Our policy requires liens on general business assets including, among other things, available real estate, accounts receivable, promissory notes, inventory and equipment and our practice is to obtain a personal guaranty from the borrower or the principal. Our commercial loans generally have variable interest rates and terms that typically range from one to five years depending on factors such as the type and size of the loan, the financial strength of the borrower/guarantor and the age, type and value of the collateral. Fixed rate commercial loan maturities are generally short-term, with one to five year maturities, or include periodic interest rate resets. Commercial loans that are secured by owner occupied commercial real estate and depend primarily on operating cash flows for repayment are also included in this category of loan.</w:t>
      </w:r>
    </w:p>
    <w:p>
      <w:pPr>
        <w:spacing w:after="0" w:line="60"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Commercial loans categorized as “general” increased $17.7 million, or 4.3%, to $427.7 million as of December 31, 2018 from $410.1 million as of December 31, 2017.</w:t>
      </w:r>
    </w:p>
    <w:p>
      <w:pPr>
        <w:spacing w:after="0" w:line="62"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b w:val="1"/>
          <w:bCs w:val="1"/>
          <w:i w:val="1"/>
          <w:iCs w:val="1"/>
          <w:color w:val="auto"/>
        </w:rPr>
        <w:t>Commercial – Specialized</w:t>
      </w:r>
      <w:r>
        <w:rPr>
          <w:rFonts w:ascii="Arial" w:cs="Arial" w:eastAsia="Arial" w:hAnsi="Arial"/>
          <w:sz w:val="16"/>
          <w:szCs w:val="16"/>
          <w:color w:val="auto"/>
        </w:rPr>
        <w:t>. Commercial related loans that are categorized as “specialized” include agricultural production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 estate loans, energy loans, and finance, investment, and insurance loans. We offer both fixed-rate and adjustable-rate agricultural real estate loans to finance the borrower’s operating expenses, such as feed, fertilizer and irrigation costs. Generally, our agricultural real estate loans amortize over periods not in excess of 20 years and have a loan-to-value ratio of 80.0% or less. We generally require agricultural borrowers to obtain multi-peril crop insurance coverage through a program partially subsidized by the federal government to help mitigate the risk of crop failures. Agricultural operating loans are generally originated at an adjustable-or fixed-rate of interest and generally for a term of one year, unless secured by breeding livestock or farm equipment, which may have a term of up to five years. Lastly, within our specialized commercial loan categories, our energy loans consist primarily of oil and gas exploration and production loans, together with loans to oil and gas service providers. Our energy loans comprise only 1.6% of our gross loans held for investment as of December 31, 2018.</w:t>
      </w:r>
    </w:p>
    <w:p>
      <w:pPr>
        <w:spacing w:after="0" w:line="60" w:lineRule="exact"/>
        <w:rPr>
          <w:sz w:val="20"/>
          <w:szCs w:val="20"/>
          <w:color w:val="auto"/>
        </w:rPr>
      </w:pPr>
    </w:p>
    <w:p>
      <w:pPr>
        <w:ind w:right="200" w:firstLine="360"/>
        <w:spacing w:after="0" w:line="308" w:lineRule="auto"/>
        <w:rPr>
          <w:sz w:val="20"/>
          <w:szCs w:val="20"/>
          <w:color w:val="auto"/>
        </w:rPr>
      </w:pPr>
      <w:r>
        <w:rPr>
          <w:rFonts w:ascii="Arial" w:cs="Arial" w:eastAsia="Arial" w:hAnsi="Arial"/>
          <w:sz w:val="17"/>
          <w:szCs w:val="17"/>
          <w:color w:val="auto"/>
        </w:rPr>
        <w:t>Commercial loans categorized as “specialized” decreased $24.1 million, or 7.3%, to $305.0 million as of December 31, 2018 from $329.1 million as of December 31, 2017 primarily due to the loss of an agricultural loan officer at the end of 2017.</w:t>
      </w:r>
    </w:p>
    <w:p>
      <w:pPr>
        <w:spacing w:after="0" w:line="38"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b w:val="1"/>
          <w:bCs w:val="1"/>
          <w:i w:val="1"/>
          <w:iCs w:val="1"/>
          <w:color w:val="auto"/>
        </w:rPr>
        <w:t>Consumer Loans</w:t>
      </w:r>
      <w:r>
        <w:rPr>
          <w:rFonts w:ascii="Arial" w:cs="Arial" w:eastAsia="Arial" w:hAnsi="Arial"/>
          <w:sz w:val="16"/>
          <w:szCs w:val="16"/>
          <w:color w:val="auto"/>
        </w:rPr>
        <w:t>. We make a variety of loans to individuals, including auto loans, through both direct and indirect channels,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owner-occupied 1-4 family real estate loans. We also offer finance and investment loans to individuals and entities investing in</w:t>
      </w:r>
    </w:p>
    <w:p>
      <w:pPr>
        <w:spacing w:after="0" w:line="288" w:lineRule="auto"/>
        <w:rPr>
          <w:sz w:val="20"/>
          <w:szCs w:val="20"/>
          <w:color w:val="auto"/>
        </w:rPr>
      </w:pPr>
      <w:r>
        <w:rPr>
          <w:rFonts w:ascii="Arial" w:cs="Arial" w:eastAsia="Arial" w:hAnsi="Arial"/>
          <w:sz w:val="16"/>
          <w:szCs w:val="16"/>
          <w:color w:val="auto"/>
        </w:rPr>
        <w:t>1-4 family real estate investment vehicles. Consumer loans are underwritten based on the individual borrower’s income, current debt level, past credit history and the value of any available collateral. The terms of consumer loans vary considerably based upon the loan type, nature of collateral and size of the loan. Indirect dealer loans, which include primarily automobile loans, but also loans for recreational vehicles, boats, and personal watercraft, are the fastest growing portion of our consumer loans. However, residential real estate loans comprise the largest portion of our consumer loans. We offer first and second lien one-to-four family mortgage loans, as well as home equity lines of credit, in each case primarily on owner occupied primary residences. Our retail consumer real estate lending products are offered primarily to consumer customers within our geographic markets.</w:t>
      </w:r>
    </w:p>
    <w:p>
      <w:pPr>
        <w:spacing w:after="0" w:line="60" w:lineRule="exact"/>
        <w:rPr>
          <w:sz w:val="20"/>
          <w:szCs w:val="20"/>
          <w:color w:val="auto"/>
        </w:rPr>
      </w:pPr>
    </w:p>
    <w:p>
      <w:pPr>
        <w:ind w:right="100" w:firstLine="360"/>
        <w:spacing w:after="0" w:line="263" w:lineRule="auto"/>
        <w:rPr>
          <w:sz w:val="20"/>
          <w:szCs w:val="20"/>
          <w:color w:val="auto"/>
        </w:rPr>
      </w:pPr>
      <w:r>
        <w:rPr>
          <w:rFonts w:ascii="Arial" w:cs="Arial" w:eastAsia="Arial" w:hAnsi="Arial"/>
          <w:sz w:val="18"/>
          <w:szCs w:val="18"/>
          <w:color w:val="auto"/>
        </w:rPr>
        <w:t>Consumer and other loans increased $81.8 million, or 15.6%, to $608.0 million as of December 31, 2018, from $526.2 million as of December 31, 2017. The increases in these loans were primarily a result of expanded lending in the indirect dealer loan portfolio in the Lubbock/South Plains market.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b w:val="1"/>
          <w:bCs w:val="1"/>
          <w:i w:val="1"/>
          <w:iCs w:val="1"/>
          <w:color w:val="auto"/>
        </w:rPr>
        <w:t>Construction Loans</w:t>
      </w:r>
      <w:r>
        <w:rPr>
          <w:rFonts w:ascii="Arial" w:cs="Arial" w:eastAsia="Arial" w:hAnsi="Arial"/>
          <w:sz w:val="18"/>
          <w:szCs w:val="18"/>
          <w:color w:val="auto"/>
        </w:rPr>
        <w:t>. Our construction portfolio includes loans to individual clients for construction of single family homes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market areas. These construction loans are generally made with a term of one to two years with interest paid monthly. Our underwriting policy does allow for exceptions in which the term of a construction and development loan may be longer than two years, however, the term must be realistic and consistent with the borrower’s documented ability to repay. The ratio of the loan principal to the value of the collateral, as established by independent appraisal, typically will not exceed regulatory supervisory guidelines. Loan proceeds are generally disbursed based on the percentage of completion and after the project has been reviewed by an independent internal or external inspector.</w:t>
      </w:r>
    </w:p>
    <w:p>
      <w:pPr>
        <w:spacing w:after="0" w:line="87" w:lineRule="exact"/>
        <w:rPr>
          <w:sz w:val="20"/>
          <w:szCs w:val="20"/>
          <w:color w:val="auto"/>
        </w:rPr>
      </w:pPr>
    </w:p>
    <w:p>
      <w:pPr>
        <w:ind w:right="460" w:firstLine="360"/>
        <w:spacing w:after="0" w:line="342" w:lineRule="auto"/>
        <w:rPr>
          <w:sz w:val="20"/>
          <w:szCs w:val="20"/>
          <w:color w:val="auto"/>
        </w:rPr>
      </w:pPr>
      <w:r>
        <w:rPr>
          <w:rFonts w:ascii="Arial" w:cs="Arial" w:eastAsia="Arial" w:hAnsi="Arial"/>
          <w:sz w:val="16"/>
          <w:szCs w:val="16"/>
          <w:color w:val="auto"/>
        </w:rPr>
        <w:t>Construction loans increased $12.5 million, or 18.9%, to $78.4 million as of December 31, 2018 from $65.9 million as of December 31, 2017. The increase resulted from continued organic growth, especially in our Lubbock/South Plains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The principal economic risk associated with our loans is creditworthiness of our borrowers and collateral support for our loans. We limit our risk by monitoring and analyzing borrowers’ cash flow and collateral value. We actively monitor potential credit risk on individual loans, which may include the reassignment of marginal credits and development of intervention plans for problem loans. We carefully maintain and manage credit risk on a portfolio basis as well, including through management of key asset quality ratios. Our classified assets to capital ratio as of December 31, 2018 was 13.0%. We also seek to improve and expand within our loan staff, most recently through expansion of our in-house appraisal department to incorporate additional commercial and residential appraisals.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risks associated with specific types of loans in our portfolio, see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Policies and Procedures</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We adhere to what we believe are disciplined underwriting standards, but also remain cognizant of serving the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needs of customers in our primary 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Our lending policies do not provide for loans that are highly speculative, subprime or that have high loan-to-value ratios. These components, together with active credit management, are the foundation of our credit culture, which we believe is critical to enhancing the long-term value of our organization to our customers, employees, shareholders and communities.</w:t>
      </w:r>
    </w:p>
    <w:p>
      <w:pPr>
        <w:spacing w:after="0" w:line="58"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spacing w:after="0" w:line="7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Credit Concentrations</w:t>
      </w:r>
      <w:r>
        <w:rPr>
          <w:rFonts w:ascii="Arial" w:cs="Arial" w:eastAsia="Arial" w:hAnsi="Arial"/>
          <w:sz w:val="18"/>
          <w:szCs w:val="18"/>
          <w:color w:val="auto"/>
        </w:rPr>
        <w:t>. In connection with the management of our credit portfolio, we actively manage the composition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portfolio, including credit concentrations. Our loan approval policies establish concentrations limits with respect to industry and loan product type to enhance portfolio diversification. These limits are reviewed bi-monthly as part of our credit analytics Board Credit Risk Committee program. Commercial real estate concentrations are monitored by the Board of Directors at least quarterly. The Board Credit Risk Committee is comprised of outside directors and two Bank officers, including the Chairman of the Board and the Bank’s Chief Executive Officer.</w:t>
      </w:r>
    </w:p>
    <w:p>
      <w:pPr>
        <w:spacing w:after="0" w:line="84"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Loan Approval Process</w:t>
      </w:r>
      <w:r>
        <w:rPr>
          <w:rFonts w:ascii="Arial" w:cs="Arial" w:eastAsia="Arial" w:hAnsi="Arial"/>
          <w:sz w:val="18"/>
          <w:szCs w:val="18"/>
          <w:color w:val="auto"/>
        </w:rPr>
        <w:t>. We seek to achieve an appropriate balance between prudent, disciplined underwriting and flexibility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our decision-making and responsiveness to our customers. Our board requires loans to relationships in excess of $15 million to be approved by the Board Credit Risk Committee. As of December 31, 2018, the Bank had a legal lending limit of approximately $67.8 million. As of that date, our largest 20 largest borrowing relationships ranged from approximately $15.5 million to $31.0 million (including unfunded commitments) and totaled approximately $419.8 million in total commitments (representing, in the aggregate, 18.2% of our total outstanding commitments).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Our credit approval policies provide for various levels of officer and senior management lending authority for new credits and renewals, which are based on position, capability and experience. Loans in excess of an individual officer’s lending limit up to $1 million may be approved by one of three lending and credit senior officers. Loans to relationships between $1 million and $15 million are approved by our Lending Market Committee or the Executive Loan Committee depending on size. These limits are reviewed periodically by the Bank’s board of directors. We believe that our credit approval process provides for thorough underwriting and efficient decision making.</w:t>
      </w:r>
    </w:p>
    <w:p>
      <w:pPr>
        <w:spacing w:after="0" w:line="84" w:lineRule="exact"/>
        <w:rPr>
          <w:sz w:val="20"/>
          <w:szCs w:val="20"/>
          <w:color w:val="auto"/>
        </w:rPr>
      </w:pPr>
    </w:p>
    <w:p>
      <w:pPr>
        <w:ind w:firstLine="360"/>
        <w:spacing w:after="0" w:line="296" w:lineRule="auto"/>
        <w:rPr>
          <w:sz w:val="20"/>
          <w:szCs w:val="20"/>
          <w:color w:val="auto"/>
        </w:rPr>
      </w:pPr>
      <w:r>
        <w:rPr>
          <w:rFonts w:ascii="Arial" w:cs="Arial" w:eastAsia="Arial" w:hAnsi="Arial"/>
          <w:sz w:val="16"/>
          <w:szCs w:val="16"/>
          <w:b w:val="1"/>
          <w:bCs w:val="1"/>
          <w:i w:val="1"/>
          <w:iCs w:val="1"/>
          <w:color w:val="auto"/>
        </w:rPr>
        <w:t>Credit Risk Management</w:t>
      </w:r>
      <w:r>
        <w:rPr>
          <w:rFonts w:ascii="Arial" w:cs="Arial" w:eastAsia="Arial" w:hAnsi="Arial"/>
          <w:sz w:val="16"/>
          <w:szCs w:val="16"/>
          <w:color w:val="auto"/>
        </w:rPr>
        <w:t>. Credit risk management involves a partnership between our loan officers and our credit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administration and collections personnel. Loan delinquencies and exceptions are constantly monitored by credit personnel and consultations with lenders occur as often as daily. Our evaluation program for our loan officers includes significant goals, such as the percentages of past due loans and charge-offs to total loans in the officer’s portfolio, that we believe motivate the loan officers to focus on the origination and maintenance of high quality credits consistent with our strategic focus on asset quality.</w:t>
      </w:r>
    </w:p>
    <w:p>
      <w:pPr>
        <w:spacing w:after="0" w:line="53"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Our policies require rapid notification of delinquency and prompt initiation of collection actions. Loan officers, credit administration personnel and senior management proactively support collection activities.</w:t>
      </w:r>
    </w:p>
    <w:p>
      <w:pPr>
        <w:spacing w:after="0" w:line="62"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In accordance with our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spacing w:after="0" w:line="69"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three to four visits per year and attempts to achieve a penetration of 60%.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21"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We fund the majority of our loans using our low-cost core deposit base and do not rely heavily on wholesale funding or other more volatile sources of liquidity. Core deposits include deposits obtained directly from depositors and exclude time deposits in excess of $250,000, deposits obtained from listing services, and brokered deposits obtained through an intermediary. We consider our core deposits to be our primary and most valuable low-cost funding source for our lending business. We believe our markets provide a stable source of funding and will be a greater source of core deposits as interest rates continue to increase and core deposits become increasingly difficult to attract. As of December 31, 2018, core deposits and noninterest-bearing deposits represented 90.4% and 22.4% of our total deposits, respectively.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graph shows each major category of our deposit base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83185</wp:posOffset>
            </wp:positionV>
            <wp:extent cx="2717165" cy="24174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1716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2018 and 2017, our deposits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As of December 31,</w:t>
            </w:r>
          </w:p>
        </w:tc>
      </w:tr>
      <w:tr>
        <w:trPr>
          <w:trHeight w:val="183"/>
        </w:trPr>
        <w:tc>
          <w:tcPr>
            <w:tcW w:w="69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6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r>
      <w:tr>
        <w:trPr>
          <w:trHeight w:val="243"/>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Noninterest-Bearing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510,067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475,162</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NOW &amp; Other Trans. Accounts</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277,041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277,053</w:t>
            </w:r>
          </w:p>
        </w:tc>
      </w:tr>
      <w:tr>
        <w:trPr>
          <w:trHeight w:val="249"/>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MMDA &amp; Other Savings</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1,085,309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960,637</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Brokered Deposits</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93,500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109,716</w:t>
            </w:r>
          </w:p>
        </w:tc>
      </w:tr>
      <w:tr>
        <w:trPr>
          <w:trHeight w:val="249"/>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 Time Deposits</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185,997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191,450</w:t>
            </w: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Jumbo Time Deposits</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125,540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140,063</w:t>
            </w:r>
          </w:p>
        </w:tc>
      </w:tr>
      <w:tr>
        <w:trPr>
          <w:trHeight w:val="27"/>
        </w:trPr>
        <w:tc>
          <w:tcPr>
            <w:tcW w:w="69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2,277,454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2,154,081</w:t>
            </w:r>
          </w:p>
        </w:tc>
      </w:tr>
      <w:tr>
        <w:trPr>
          <w:trHeight w:val="27"/>
        </w:trPr>
        <w:tc>
          <w:tcPr>
            <w:tcW w:w="698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We offer customers traditional deposit products through our branch network and the ability to access their accounts through online and mobile banking platforms. Our deposit services include retail and commercial products, including a competitive array of treasury management products. We offer a variety of deposit accounts with a range of interest rates and terms including demand, savings, money market and certificates of deposit with the goal of attracting a wide variety of customers, including individuals, small- to medium-sized businesses, associations, financial institutions and government entities in our geographic markets. We strive to retain an attractive deposit mix from both large and small customers as well as a broad market reach. We believe our competitive pricing and products, convenient branch locations and quality personal customer service enable us to attract and retain deposits. We employ conventional marketing initiatives and advertising and, in addition, leverage our community commitment activities to generate new accounts. We generally seek a full banking relationship from our customers, which has contributed to our internal deposit growth. This often includes encouraging a new customer to consider both business and personal checking accounts and other deposit services. Our bankers offer our deposit products to our loan customers in an effort to cross-sell our services to existing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Portfolio</w:t>
      </w:r>
    </w:p>
    <w:p>
      <w:pPr>
        <w:spacing w:after="0" w:line="12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We manage our securities portfolio primarily for liquidity purposes, including depositor and borrower funding requirements and availability as collateral for public fund deposits, with a secondary focus on interest income. Our portfolio is classified as either available-for-sale or held-to-maturity and can be used for pledging on public deposits, selling under repurchase agreements and meeting unforeseen liquidity needs. The investments are a variety of high-grade securities, including government agency securities, government guaranteed mortgage backed securities and municipal securities. Prior to December 2017, we historically have sold few securities. We did reposition the portfolio from December 2017 to August 2018 as a response to the passage of the Tax</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Reform Act as well as our conversion to a C Corporation. We adjusted the concentration of our securities portfolio from a municipal and lower yield agency securities base into a mortgage-backed and other asset-backed securities composition.</w:t>
      </w:r>
    </w:p>
    <w:p>
      <w:pPr>
        <w:spacing w:after="0" w:line="38" w:lineRule="exact"/>
        <w:rPr>
          <w:sz w:val="20"/>
          <w:szCs w:val="20"/>
          <w:color w:val="auto"/>
        </w:rPr>
      </w:pPr>
    </w:p>
    <w:p>
      <w:pPr>
        <w:jc w:val="both"/>
        <w:ind w:right="200" w:firstLine="360"/>
        <w:spacing w:after="0" w:line="286" w:lineRule="auto"/>
        <w:rPr>
          <w:sz w:val="20"/>
          <w:szCs w:val="20"/>
          <w:color w:val="auto"/>
        </w:rPr>
      </w:pPr>
      <w:r>
        <w:rPr>
          <w:rFonts w:ascii="Arial" w:cs="Arial" w:eastAsia="Arial" w:hAnsi="Arial"/>
          <w:sz w:val="17"/>
          <w:szCs w:val="17"/>
          <w:color w:val="auto"/>
        </w:rPr>
        <w:t>Our investment policy is reviewed annually by the Bank’s board of directors. Overall investment goals are established by the Bank’s board of directors and the Bank’s Investment/Asset Liability Committee. The Bank’s board of directors has delegated the responsibility of monitoring our investment activities to the Investment/Asset Liability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Fee Income</w:t>
      </w:r>
    </w:p>
    <w:p>
      <w:pPr>
        <w:spacing w:after="0" w:line="121" w:lineRule="exact"/>
        <w:rPr>
          <w:sz w:val="20"/>
          <w:szCs w:val="20"/>
          <w:color w:val="auto"/>
        </w:rPr>
      </w:pPr>
    </w:p>
    <w:p>
      <w:pPr>
        <w:jc w:val="both"/>
        <w:ind w:right="20" w:firstLine="360"/>
        <w:spacing w:after="0" w:line="263" w:lineRule="auto"/>
        <w:rPr>
          <w:sz w:val="20"/>
          <w:szCs w:val="20"/>
          <w:color w:val="auto"/>
        </w:rPr>
      </w:pPr>
      <w:r>
        <w:rPr>
          <w:rFonts w:ascii="Arial" w:cs="Arial" w:eastAsia="Arial" w:hAnsi="Arial"/>
          <w:sz w:val="18"/>
          <w:szCs w:val="18"/>
          <w:color w:val="auto"/>
        </w:rPr>
        <w:t>Our noninterest income comprises a significant portion of our total revenue and represented 35.3% of such in 2018. The largest components of our noninterest income include revenues from our mortgage banking activities, service charges on deposit accounts, income from insurance activities, and bank card services and interchange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Banking</w:t>
      </w:r>
    </w:p>
    <w:p>
      <w:pPr>
        <w:spacing w:after="0" w:line="117"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Our mortgage originations totaled $544.7 million for the year ended December 31, 2018. In 2018, we sold approximately 94% of the mortgages we originated. We originate mortgages primarily from our branches or loan production offices in Lubbock, El Paso, College Station, Abilene, Arlington, Beaumont, Dallas, Forney, Grand Prairie, Houston, Plano, and Southlake, Texas, and Overland Park, Kansas. We refer to our loan production offices as mortgage offices. While our mortgage operation represents a sizable component of our total revenue, comprising 14.5%, or $21.4 million, for the year ended December 31, 2018, we view the mortgage business as an ancillary part of our operations. Within our mortgage origination portfolio, refinances of existing mortgages represented 20% of total mortgage originations in 2018. We retain mortgage servicing rights from time to time when we sell mortgages to third parties. As of December 31, 2018, we serviced $133.1 million of mortgages that we originated and sold to third parties.</w:t>
      </w:r>
    </w:p>
    <w:p>
      <w:pPr>
        <w:spacing w:after="0" w:line="88"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We leverage a variety of digital reporting tools to increase the efficiency of the underwriting process, enhance loan production and boost overall margins while keeping expenses to a minimum. We have recently added mortgage offices in the Austin/Round Rock metropolitan area and further expansion opportunities will continue to be explored. New market expansion will depend primarily on opportunities to hire and retain high quality loan origination staff. We acquired an online mortgage platform and staff from an Overland Park, Kansas-based mortgage company at the end of November 2018, which originates consumer direct loans in 48 states. We acquired this platform as part of our strategy to enhance our consumer-direct business model for our mortgage operations to accompany our traditional brick-and-mortar delivery channels, and we employ 35 full-time employees at this location. We believe this operational strategy will improve profitability through reduced costs and increased mortgage origination volume.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117"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Windmark Insurance, a wholly-owned subsidiary of the Bank, offers a variety of crop insurance products through our offices in Texas and Colorado and by acting as the general agency for independent agents in seventeen states. Windmark Insurance’s operations contributed $6.9 million of total revenues for the year ended December 31, 2018. That revenue was derived from a total premium base of over $132 million. Crop insurance is offered to producers of many different crops from sixteen approved providers who operate under agreements with the USDA. We conduct business with six of these approved providers. The USDA shares underwriting losses with those providers and also reimburses them for certain administrative and operational expenses. Our revenue is based on a share of those reimbursements and profit sharing when underwriting losses are minimized by those providers. This program has been in place under prior federal farm bills and has been reauthorized until December 31, 2023 under the recently enacted Agriculture Improvement Act of 2018, more commonly referred to as the 2018 Farm Bill.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Services</w:t>
      </w:r>
    </w:p>
    <w:p>
      <w:pPr>
        <w:spacing w:after="0" w:line="117" w:lineRule="exact"/>
        <w:rPr>
          <w:sz w:val="20"/>
          <w:szCs w:val="20"/>
          <w:color w:val="auto"/>
        </w:rPr>
      </w:pPr>
    </w:p>
    <w:p>
      <w:pPr>
        <w:ind w:right="280" w:firstLine="360"/>
        <w:spacing w:after="0" w:line="263" w:lineRule="auto"/>
        <w:rPr>
          <w:sz w:val="20"/>
          <w:szCs w:val="20"/>
          <w:color w:val="auto"/>
        </w:rPr>
      </w:pPr>
      <w:r>
        <w:rPr>
          <w:rFonts w:ascii="Arial" w:cs="Arial" w:eastAsia="Arial" w:hAnsi="Arial"/>
          <w:sz w:val="18"/>
          <w:szCs w:val="18"/>
          <w:color w:val="auto"/>
        </w:rPr>
        <w:t>City Bank Trust, a division of the Bank, has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corporations, 401(k) plans, self-directed IRAs, simplified employee pensions plans, ESOPs, defined benefit plans, profit-sharing plans, Keoghs and managed IRAs. Our trust department had $276.2 million of assets under management at December 31, 2018, and contributed $1.4 million of fee income for the year ended December 31, 2018. Trust assets under management have grown at a CAGR of 8.3% since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Services</w:t>
      </w:r>
    </w:p>
    <w:p>
      <w:pPr>
        <w:spacing w:after="0" w:line="117" w:lineRule="exact"/>
        <w:rPr>
          <w:sz w:val="20"/>
          <w:szCs w:val="20"/>
          <w:color w:val="auto"/>
        </w:rPr>
      </w:pPr>
    </w:p>
    <w:p>
      <w:pPr>
        <w:ind w:right="160" w:firstLine="360"/>
        <w:spacing w:after="0" w:line="301" w:lineRule="auto"/>
        <w:rPr>
          <w:sz w:val="20"/>
          <w:szCs w:val="20"/>
          <w:color w:val="auto"/>
        </w:rPr>
      </w:pPr>
      <w:r>
        <w:rPr>
          <w:rFonts w:ascii="Arial" w:cs="Arial" w:eastAsia="Arial" w:hAnsi="Arial"/>
          <w:sz w:val="16"/>
          <w:szCs w:val="16"/>
          <w:color w:val="auto"/>
        </w:rPr>
        <w:t>The Investment Center at City Bank provides a variety of investments offered through Raymond James Financial Services (Member FINRA/SIPC) including self-directed IRAs, money market funds, 401(k) plans, mutual funds, annuities and tax-deferred annuities, stocks and bonds, investments for non-U.S. residents, treasury bills, treasury notes and bonds and tax-exempt municipal bonds. Gross revenue for 2018 was $1.8 million with $429.2 million in assets under management at December 31,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 and Services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offer banking products and services that are competitively priced with a focus on convenience and accessibility. We offer a full suite of online banking solutions including access to account balances, online transfers, online bill payment and electronic delivery of customer statements, mobile banking solutions, including remote check deposit with mobile bill pay. We offer ATMs and banking by telephone, mail and personal appointment. We offer debit cards with no ATM surcharges within our network for checking customers, direct deposit, cashier’s checks, as well as wire transfer services and automated clearing house, or ACH, services.</w:t>
      </w:r>
    </w:p>
    <w:p>
      <w:pPr>
        <w:spacing w:after="0" w:line="84"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offer a full array of commercial treasury management services designed to be competitive with banks of all sizes. Treasury management services include balance reporting (including current day and previous day activity), transfers between accounts, wire transfer initiation, ACH origination and stop payments. Cash management deposit products consist of remote deposit capture, positive pay, zero balance accounts and sweep accounts.</w:t>
      </w:r>
    </w:p>
    <w:p>
      <w:pPr>
        <w:spacing w:after="0" w:line="79" w:lineRule="exact"/>
        <w:rPr>
          <w:sz w:val="20"/>
          <w:szCs w:val="20"/>
          <w:color w:val="auto"/>
        </w:rPr>
      </w:pPr>
    </w:p>
    <w:p>
      <w:pPr>
        <w:ind w:firstLine="360"/>
        <w:spacing w:after="0" w:line="311" w:lineRule="auto"/>
        <w:rPr>
          <w:sz w:val="20"/>
          <w:szCs w:val="20"/>
          <w:color w:val="auto"/>
        </w:rPr>
      </w:pPr>
      <w:r>
        <w:rPr>
          <w:rFonts w:ascii="Arial" w:cs="Arial" w:eastAsia="Arial" w:hAnsi="Arial"/>
          <w:sz w:val="16"/>
          <w:szCs w:val="16"/>
          <w:color w:val="auto"/>
        </w:rPr>
        <w:t>We evaluate our services on an ongoing basis, and will add or remove services based upon the perceived needs and financial requirements of our customers, competitive factors and our financial and other capabilities. Future services may also be significantly influenced by improvements and developments in technology and evolving state and federal laws and regulations.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360"/>
        <w:spacing w:after="0" w:line="296" w:lineRule="auto"/>
        <w:rPr>
          <w:sz w:val="20"/>
          <w:szCs w:val="20"/>
          <w:color w:val="auto"/>
        </w:rPr>
      </w:pPr>
      <w:r>
        <w:rPr>
          <w:rFonts w:ascii="Arial" w:cs="Arial" w:eastAsia="Arial" w:hAnsi="Arial"/>
          <w:sz w:val="16"/>
          <w:szCs w:val="16"/>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insurance companies,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spacing w:after="0" w:line="53"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w:t>
      </w:r>
    </w:p>
    <w:p>
      <w:pPr>
        <w:spacing w:after="0" w:line="121" w:lineRule="exact"/>
        <w:rPr>
          <w:sz w:val="20"/>
          <w:szCs w:val="20"/>
          <w:color w:val="auto"/>
        </w:rPr>
      </w:pPr>
    </w:p>
    <w:p>
      <w:pPr>
        <w:ind w:right="180" w:firstLine="360"/>
        <w:spacing w:after="0" w:line="263" w:lineRule="auto"/>
        <w:rPr>
          <w:sz w:val="20"/>
          <w:szCs w:val="20"/>
          <w:color w:val="auto"/>
        </w:rPr>
      </w:pPr>
      <w:r>
        <w:rPr>
          <w:rFonts w:ascii="Arial" w:cs="Arial" w:eastAsia="Arial" w:hAnsi="Arial"/>
          <w:sz w:val="18"/>
          <w:szCs w:val="18"/>
          <w:color w:val="auto"/>
        </w:rPr>
        <w:t>We have made and continue to make significant investments in our information technology systems and staff for our banking and lending operations and treasury management activities. We believe that these investments are essential to enhancing our capabilities to offer new products and the overall customer experience,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 provide scale for future growth and acquisitions and to increase controls and efficiencies in our back-office operations. We have obtained our core data processing platform from a nationally recognized bank processing vendor providing us with capabilities to support the continued growth of the Bank. Our internal network and e-mail systems are maintained in-house. We leverage the capabilities of a third-party service provider to provide the technical expertise around network design and architecture that is required for us to operate as an effective and efficient organization. We actively manage our business continuity plan. We strive to follow all recommendations outlined by the Federal Financial Institutions Examination Council in an effort to establish that we have effectively identified our risks and documented contingency plans for key functions and systems, including providing for back-up sites for all critical applications. We perform tests of the adequacy of these contingency plans on at least an annual basis.</w:t>
      </w:r>
    </w:p>
    <w:p>
      <w:pPr>
        <w:spacing w:after="0" w:line="57" w:lineRule="exact"/>
        <w:rPr>
          <w:sz w:val="20"/>
          <w:szCs w:val="20"/>
          <w:color w:val="auto"/>
        </w:rPr>
      </w:pPr>
    </w:p>
    <w:p>
      <w:pPr>
        <w:ind w:right="400" w:firstLine="360"/>
        <w:spacing w:after="0" w:line="279" w:lineRule="auto"/>
        <w:rPr>
          <w:sz w:val="20"/>
          <w:szCs w:val="20"/>
          <w:color w:val="auto"/>
        </w:rPr>
      </w:pPr>
      <w:r>
        <w:rPr>
          <w:rFonts w:ascii="Arial" w:cs="Arial" w:eastAsia="Arial" w:hAnsi="Arial"/>
          <w:sz w:val="17"/>
          <w:szCs w:val="17"/>
          <w:color w:val="auto"/>
        </w:rPr>
        <w:t>We utilize other select third-party providers to enhance our in-house data processing activities. The scalability of this infrastructure is designed to support our growth strategy. We regularly test our ability to automatically switch over to standby systems to allow us to recover our systems and provide business continuity quickly in case of a disaster. These critical business applications and processes are included in the business continuity plans referenced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place significant emphasis on risk mitigation as an integral component of our organizational culture. Our comprehensive risk management framework and risk identification is a continuous process and occurs at both the transaction level and the portfolio level. We control risks through limits that are communicated through policies, standards, procedures and processes that define responsibility and authority. Such limits serve as a means to control exposures to the various risks associated with our activities, and are meaningful management tools that can be adjusted if conditions or risk tolerances change. In addition, we maintain a process to authorize exceptions or changes to risk limits when warranted. These risk management practices help to ensure effective reporting, compliance with all laws, rules and regulations, avoid damage to our reputation and related consequences, and attain our strategic goals while avoiding pitfalls and surprises along the way.</w:t>
      </w:r>
    </w:p>
    <w:p>
      <w:pPr>
        <w:spacing w:after="0" w:line="70" w:lineRule="exact"/>
        <w:rPr>
          <w:sz w:val="20"/>
          <w:szCs w:val="20"/>
          <w:color w:val="auto"/>
        </w:rPr>
      </w:pPr>
    </w:p>
    <w:p>
      <w:pPr>
        <w:ind w:right="100" w:firstLine="360"/>
        <w:spacing w:after="0" w:line="311" w:lineRule="auto"/>
        <w:rPr>
          <w:sz w:val="20"/>
          <w:szCs w:val="20"/>
          <w:color w:val="auto"/>
        </w:rPr>
      </w:pPr>
      <w:r>
        <w:rPr>
          <w:rFonts w:ascii="Arial" w:cs="Arial" w:eastAsia="Arial" w:hAnsi="Arial"/>
          <w:sz w:val="16"/>
          <w:szCs w:val="16"/>
          <w:color w:val="auto"/>
        </w:rPr>
        <w:t>The board of directors of the Bank approves policies that set operational standards and risk limits, and any changes require approval by the Bank’s board of directors. Executive Management is responsible for the implementation, integrity and maintenance of our risk management systems ensuring the directives are implemented and administered in compliance with the approved policy.</w:t>
      </w:r>
    </w:p>
    <w:p>
      <w:pPr>
        <w:spacing w:after="0" w:line="4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Our focus on risk management covers all major functions within the Bank, including the loan underwriting function, continuous asset quality monitoring, asset/liability management, regulatory compliance, strategic and operational risk, cyber risk, and reputational risk. With regard to interest rate risk, we have implemented an extensive asset/liability management process, and utilize a well-known interest rate risk model to evaluate interest rate risk on a quarterly basis. We have also established a management compliance committee that is responsible for the Bank’s state and federal regulatory compliance performance. Major functions of the committee include oversight of all consumer related compliance, including, but not limited to: the Home Mortgage Disclosure Act, the CRA, the Truth-in-Lending Act / Real Estate Settlement Procedures Act, the Truth in Savings Act, Regulation H (flood matters), the Fair Credit Reporting Act / Fair and Accurate Credit Transactions Act, Fair Lending and Redlining. The committee members are stakeholders from all areas of the Bank who work together to execute, monitor, and report on all compliance related aspects of the Bank’s operation. The full committee meets on a monthly basis to report on the previous month’s activities, review open action items, and to discuss upcoming regulatory implementations and changes. A selected member of the committee reports the activities of the committee to the Bank’s board of directors on a monthly basis.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As of December 31, 2018, we had approximately 684 full-time equivalent employees. None of our employees are represented by any collective bargaining unit or is a party to a collective bargaining agreement. We consider our relationship with our employees to be satisfactory and have not experienced interruptions of operations due to labor disagreements.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jc w:val="both"/>
        <w:ind w:right="180" w:firstLine="360"/>
        <w:spacing w:after="0" w:line="263" w:lineRule="auto"/>
        <w:rPr>
          <w:sz w:val="20"/>
          <w:szCs w:val="20"/>
          <w:color w:val="auto"/>
        </w:rPr>
      </w:pPr>
      <w:r>
        <w:rPr>
          <w:rFonts w:ascii="Arial" w:cs="Arial" w:eastAsia="Arial" w:hAnsi="Arial"/>
          <w:sz w:val="18"/>
          <w:szCs w:val="18"/>
          <w:color w:val="auto"/>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sectPr>
          <w:pgSz w:w="11900" w:h="16838" w:orient="portrait"/>
          <w:cols w:equalWidth="0" w:num="1">
            <w:col w:w="9540"/>
          </w:cols>
          <w:pgMar w:left="1160" w:top="279" w:right="1199" w:bottom="1440" w:gutter="0" w:footer="0" w:header="0"/>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Lubbock/South Plains</w:t>
            </w:r>
          </w:p>
        </w:tc>
      </w:tr>
      <w:tr>
        <w:trPr>
          <w:trHeight w:val="183"/>
        </w:trPr>
        <w:tc>
          <w:tcPr>
            <w:tcW w:w="18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37"/>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Main Branch</w:t>
            </w:r>
          </w:p>
        </w:tc>
      </w:tr>
      <w:tr>
        <w:trPr>
          <w:trHeight w:val="24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line="246" w:lineRule="exact"/>
              <w:rPr>
                <w:sz w:val="20"/>
                <w:szCs w:val="20"/>
                <w:color w:val="auto"/>
              </w:rPr>
            </w:pPr>
            <w:r>
              <w:rPr>
                <w:rFonts w:ascii="Arial" w:cs="Arial" w:eastAsia="Arial" w:hAnsi="Arial"/>
                <w:sz w:val="17"/>
                <w:szCs w:val="17"/>
                <w:color w:val="auto"/>
                <w:w w:val="92"/>
              </w:rPr>
              <w:t>4</w:t>
            </w:r>
            <w:r>
              <w:rPr>
                <w:rFonts w:ascii="Arial" w:cs="Arial" w:eastAsia="Arial" w:hAnsi="Arial"/>
                <w:sz w:val="28"/>
                <w:szCs w:val="28"/>
                <w:color w:val="auto"/>
                <w:w w:val="92"/>
                <w:vertAlign w:val="superscript"/>
              </w:rPr>
              <w:t>th</w:t>
            </w:r>
            <w:r>
              <w:rPr>
                <w:rFonts w:ascii="Arial" w:cs="Arial" w:eastAsia="Arial" w:hAnsi="Arial"/>
                <w:sz w:val="17"/>
                <w:szCs w:val="17"/>
                <w:color w:val="auto"/>
                <w:w w:val="92"/>
              </w:rPr>
              <w:t xml:space="preserve"> Street Branch</w:t>
            </w:r>
          </w:p>
        </w:tc>
      </w:tr>
      <w:tr>
        <w:trPr>
          <w:trHeight w:val="253"/>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line="252" w:lineRule="exact"/>
              <w:rPr>
                <w:sz w:val="20"/>
                <w:szCs w:val="20"/>
                <w:color w:val="auto"/>
              </w:rPr>
            </w:pPr>
            <w:r>
              <w:rPr>
                <w:rFonts w:ascii="Arial" w:cs="Arial" w:eastAsia="Arial" w:hAnsi="Arial"/>
                <w:sz w:val="18"/>
                <w:szCs w:val="18"/>
                <w:color w:val="auto"/>
                <w:w w:val="88"/>
              </w:rPr>
              <w:t>50</w:t>
            </w:r>
            <w:r>
              <w:rPr>
                <w:rFonts w:ascii="Arial" w:cs="Arial" w:eastAsia="Arial" w:hAnsi="Arial"/>
                <w:sz w:val="29"/>
                <w:szCs w:val="29"/>
                <w:color w:val="auto"/>
                <w:w w:val="88"/>
                <w:vertAlign w:val="superscript"/>
              </w:rPr>
              <w:t>th</w:t>
            </w:r>
            <w:r>
              <w:rPr>
                <w:rFonts w:ascii="Arial" w:cs="Arial" w:eastAsia="Arial" w:hAnsi="Arial"/>
                <w:sz w:val="18"/>
                <w:szCs w:val="18"/>
                <w:color w:val="auto"/>
                <w:w w:val="88"/>
              </w:rPr>
              <w:t xml:space="preserve"> and Indiana Branch</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Kingsgate Branch</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Milwaukee Branch</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Overton Branch</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University Branch</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Frankford Ave. Branch</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Morton</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Springlake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Idalou</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Levelland</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8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3"/>
          </w:tcPr>
          <w:p>
            <w:pPr>
              <w:jc w:val="center"/>
              <w:ind w:right="1773"/>
              <w:spacing w:after="0"/>
              <w:rPr>
                <w:sz w:val="20"/>
                <w:szCs w:val="20"/>
                <w:color w:val="auto"/>
              </w:rPr>
            </w:pPr>
            <w:r>
              <w:rPr>
                <w:rFonts w:ascii="Arial" w:cs="Arial" w:eastAsia="Arial" w:hAnsi="Arial"/>
                <w:sz w:val="14"/>
                <w:szCs w:val="14"/>
                <w:b w:val="1"/>
                <w:bCs w:val="1"/>
                <w:color w:val="auto"/>
                <w:w w:val="90"/>
              </w:rPr>
              <w:t>El Paso</w:t>
            </w:r>
          </w:p>
        </w:tc>
      </w:tr>
      <w:tr>
        <w:trPr>
          <w:trHeight w:val="183"/>
        </w:trPr>
        <w:tc>
          <w:tcPr>
            <w:tcW w:w="18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37"/>
        </w:trPr>
        <w:tc>
          <w:tcPr>
            <w:tcW w:w="1800" w:type="dxa"/>
            <w:vAlign w:val="bottom"/>
          </w:tcPr>
          <w:p>
            <w:pPr>
              <w:spacing w:after="0"/>
              <w:rPr>
                <w:sz w:val="20"/>
                <w:szCs w:val="20"/>
                <w:color w:val="auto"/>
              </w:rPr>
            </w:pPr>
            <w:r>
              <w:rPr>
                <w:rFonts w:ascii="Arial" w:cs="Arial" w:eastAsia="Arial" w:hAnsi="Arial"/>
                <w:sz w:val="18"/>
                <w:szCs w:val="18"/>
                <w:color w:val="auto"/>
              </w:rPr>
              <w:t>El Paso</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7"/>
              </w:rPr>
              <w:t>East Branch</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El Paso</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West Branch</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El Paso</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5"/>
              </w:rPr>
              <w:t>Mesa Hills LPO</w:t>
            </w:r>
          </w:p>
        </w:tc>
      </w:tr>
      <w:tr>
        <w:trPr>
          <w:trHeight w:val="243"/>
        </w:trPr>
        <w:tc>
          <w:tcPr>
            <w:tcW w:w="4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Bryan/College State</w:t>
            </w:r>
          </w:p>
        </w:tc>
      </w:tr>
      <w:tr>
        <w:trPr>
          <w:trHeight w:val="182"/>
        </w:trPr>
        <w:tc>
          <w:tcPr>
            <w:tcW w:w="18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37"/>
        </w:trPr>
        <w:tc>
          <w:tcPr>
            <w:tcW w:w="1800" w:type="dxa"/>
            <w:vAlign w:val="bottom"/>
          </w:tcPr>
          <w:p>
            <w:pPr>
              <w:spacing w:after="0"/>
              <w:rPr>
                <w:sz w:val="20"/>
                <w:szCs w:val="20"/>
                <w:color w:val="auto"/>
              </w:rPr>
            </w:pPr>
            <w:r>
              <w:rPr>
                <w:rFonts w:ascii="Arial" w:cs="Arial" w:eastAsia="Arial" w:hAnsi="Arial"/>
                <w:sz w:val="18"/>
                <w:szCs w:val="18"/>
                <w:color w:val="auto"/>
              </w:rPr>
              <w:t>College Station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College Station</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8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3"/>
          </w:tcPr>
          <w:p>
            <w:pPr>
              <w:jc w:val="center"/>
              <w:ind w:right="1753"/>
              <w:spacing w:after="0"/>
              <w:rPr>
                <w:sz w:val="20"/>
                <w:szCs w:val="20"/>
                <w:color w:val="auto"/>
              </w:rPr>
            </w:pPr>
            <w:r>
              <w:rPr>
                <w:rFonts w:ascii="Arial" w:cs="Arial" w:eastAsia="Arial" w:hAnsi="Arial"/>
                <w:sz w:val="14"/>
                <w:szCs w:val="14"/>
                <w:b w:val="1"/>
                <w:bCs w:val="1"/>
                <w:color w:val="auto"/>
                <w:w w:val="97"/>
              </w:rPr>
              <w:t>Other Markets</w:t>
            </w:r>
          </w:p>
        </w:tc>
      </w:tr>
      <w:tr>
        <w:trPr>
          <w:trHeight w:val="183"/>
        </w:trPr>
        <w:tc>
          <w:tcPr>
            <w:tcW w:w="18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37"/>
        </w:trPr>
        <w:tc>
          <w:tcPr>
            <w:tcW w:w="1800" w:type="dxa"/>
            <w:vAlign w:val="bottom"/>
          </w:tcPr>
          <w:p>
            <w:pPr>
              <w:spacing w:after="0"/>
              <w:rPr>
                <w:sz w:val="20"/>
                <w:szCs w:val="20"/>
                <w:color w:val="auto"/>
              </w:rPr>
            </w:pPr>
            <w:r>
              <w:rPr>
                <w:rFonts w:ascii="Arial" w:cs="Arial" w:eastAsia="Arial" w:hAnsi="Arial"/>
                <w:sz w:val="18"/>
                <w:szCs w:val="18"/>
                <w:color w:val="auto"/>
              </w:rPr>
              <w:t>Abilene, Texas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Austin, Texas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rPr>
              <w:t>Beaumont, Texas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w w:val="92"/>
              </w:rPr>
              <w:t>Dripping Springs, Texas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43"/>
        </w:trPr>
        <w:tc>
          <w:tcPr>
            <w:tcW w:w="1800" w:type="dxa"/>
            <w:vAlign w:val="bottom"/>
          </w:tcPr>
          <w:p>
            <w:pPr>
              <w:spacing w:after="0"/>
              <w:rPr>
                <w:sz w:val="20"/>
                <w:szCs w:val="20"/>
                <w:color w:val="auto"/>
              </w:rPr>
            </w:pPr>
            <w:r>
              <w:rPr>
                <w:rFonts w:ascii="Arial" w:cs="Arial" w:eastAsia="Arial" w:hAnsi="Arial"/>
                <w:sz w:val="18"/>
                <w:szCs w:val="18"/>
                <w:color w:val="auto"/>
                <w:w w:val="96"/>
              </w:rPr>
              <w:t>Overland Park, Kansas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LPO</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3"/>
          </w:tcPr>
          <w:p>
            <w:pPr>
              <w:jc w:val="center"/>
              <w:ind w:right="1354"/>
              <w:spacing w:after="0"/>
              <w:rPr>
                <w:sz w:val="20"/>
                <w:szCs w:val="20"/>
                <w:color w:val="auto"/>
              </w:rPr>
            </w:pPr>
            <w:r>
              <w:rPr>
                <w:rFonts w:ascii="Arial" w:cs="Arial" w:eastAsia="Arial" w:hAnsi="Arial"/>
                <w:sz w:val="14"/>
                <w:szCs w:val="14"/>
                <w:b w:val="1"/>
                <w:bCs w:val="1"/>
                <w:color w:val="auto"/>
                <w:w w:val="92"/>
              </w:rPr>
              <w:t>Dallas</w:t>
            </w:r>
          </w:p>
        </w:tc>
      </w:tr>
      <w:tr>
        <w:trPr>
          <w:trHeight w:val="183"/>
        </w:trPr>
        <w:tc>
          <w:tcPr>
            <w:tcW w:w="15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w w:val="95"/>
              </w:rPr>
              <w:t>Location</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37"/>
        </w:trPr>
        <w:tc>
          <w:tcPr>
            <w:tcW w:w="1500" w:type="dxa"/>
            <w:vAlign w:val="bottom"/>
          </w:tcPr>
          <w:p>
            <w:pPr>
              <w:ind w:left="60"/>
              <w:spacing w:after="0"/>
              <w:rPr>
                <w:sz w:val="20"/>
                <w:szCs w:val="20"/>
                <w:color w:val="auto"/>
              </w:rPr>
            </w:pPr>
            <w:r>
              <w:rPr>
                <w:rFonts w:ascii="Arial" w:cs="Arial" w:eastAsia="Arial" w:hAnsi="Arial"/>
                <w:sz w:val="18"/>
                <w:szCs w:val="18"/>
                <w:color w:val="auto"/>
              </w:rPr>
              <w:t>Plano</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500" w:type="dxa"/>
            <w:vAlign w:val="bottom"/>
          </w:tcPr>
          <w:p>
            <w:pPr>
              <w:ind w:left="60"/>
              <w:spacing w:after="0"/>
              <w:rPr>
                <w:sz w:val="20"/>
                <w:szCs w:val="20"/>
                <w:color w:val="auto"/>
              </w:rPr>
            </w:pPr>
            <w:r>
              <w:rPr>
                <w:rFonts w:ascii="Arial" w:cs="Arial" w:eastAsia="Arial" w:hAnsi="Arial"/>
                <w:sz w:val="18"/>
                <w:szCs w:val="18"/>
                <w:color w:val="auto"/>
              </w:rPr>
              <w:t>Dallas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ind w:left="14"/>
              <w:spacing w:after="0"/>
              <w:rPr>
                <w:sz w:val="20"/>
                <w:szCs w:val="20"/>
                <w:color w:val="auto"/>
              </w:rPr>
            </w:pPr>
            <w:r>
              <w:rPr>
                <w:rFonts w:ascii="Arial" w:cs="Arial" w:eastAsia="Arial" w:hAnsi="Arial"/>
                <w:sz w:val="18"/>
                <w:szCs w:val="18"/>
                <w:color w:val="auto"/>
                <w:w w:val="92"/>
              </w:rPr>
              <w:t>Uptown Branch</w:t>
            </w:r>
          </w:p>
        </w:tc>
      </w:tr>
      <w:tr>
        <w:trPr>
          <w:trHeight w:val="243"/>
        </w:trPr>
        <w:tc>
          <w:tcPr>
            <w:tcW w:w="1500" w:type="dxa"/>
            <w:vAlign w:val="bottom"/>
          </w:tcPr>
          <w:p>
            <w:pPr>
              <w:ind w:left="60"/>
              <w:spacing w:after="0"/>
              <w:rPr>
                <w:sz w:val="20"/>
                <w:szCs w:val="20"/>
                <w:color w:val="auto"/>
              </w:rPr>
            </w:pPr>
            <w:r>
              <w:rPr>
                <w:rFonts w:ascii="Arial" w:cs="Arial" w:eastAsia="Arial" w:hAnsi="Arial"/>
                <w:sz w:val="18"/>
                <w:szCs w:val="18"/>
                <w:color w:val="auto"/>
              </w:rPr>
              <w:t>Forney</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43"/>
        </w:trPr>
        <w:tc>
          <w:tcPr>
            <w:tcW w:w="1500" w:type="dxa"/>
            <w:vAlign w:val="bottom"/>
          </w:tcPr>
          <w:p>
            <w:pPr>
              <w:ind w:left="60"/>
              <w:spacing w:after="0"/>
              <w:rPr>
                <w:sz w:val="20"/>
                <w:szCs w:val="20"/>
                <w:color w:val="auto"/>
              </w:rPr>
            </w:pPr>
            <w:r>
              <w:rPr>
                <w:rFonts w:ascii="Arial" w:cs="Arial" w:eastAsia="Arial" w:hAnsi="Arial"/>
                <w:sz w:val="18"/>
                <w:szCs w:val="18"/>
                <w:color w:val="auto"/>
              </w:rPr>
              <w:t>Arlington</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ind w:left="14"/>
              <w:spacing w:after="0"/>
              <w:rPr>
                <w:sz w:val="20"/>
                <w:szCs w:val="20"/>
                <w:color w:val="auto"/>
              </w:rPr>
            </w:pPr>
            <w:r>
              <w:rPr>
                <w:rFonts w:ascii="Arial" w:cs="Arial" w:eastAsia="Arial" w:hAnsi="Arial"/>
                <w:sz w:val="18"/>
                <w:szCs w:val="18"/>
                <w:color w:val="auto"/>
                <w:w w:val="94"/>
              </w:rPr>
              <w:t>LPO</w:t>
            </w:r>
          </w:p>
        </w:tc>
      </w:tr>
      <w:tr>
        <w:trPr>
          <w:trHeight w:val="243"/>
        </w:trPr>
        <w:tc>
          <w:tcPr>
            <w:tcW w:w="1500" w:type="dxa"/>
            <w:vAlign w:val="bottom"/>
          </w:tcPr>
          <w:p>
            <w:pPr>
              <w:ind w:left="60"/>
              <w:spacing w:after="0"/>
              <w:rPr>
                <w:sz w:val="20"/>
                <w:szCs w:val="20"/>
                <w:color w:val="auto"/>
              </w:rPr>
            </w:pPr>
            <w:r>
              <w:rPr>
                <w:rFonts w:ascii="Arial" w:cs="Arial" w:eastAsia="Arial" w:hAnsi="Arial"/>
                <w:sz w:val="18"/>
                <w:szCs w:val="18"/>
                <w:color w:val="auto"/>
              </w:rPr>
              <w:t>Dallas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Hillcrest LPO</w:t>
            </w:r>
          </w:p>
        </w:tc>
      </w:tr>
      <w:tr>
        <w:trPr>
          <w:trHeight w:val="243"/>
        </w:trPr>
        <w:tc>
          <w:tcPr>
            <w:tcW w:w="1500" w:type="dxa"/>
            <w:vAlign w:val="bottom"/>
          </w:tcPr>
          <w:p>
            <w:pPr>
              <w:ind w:left="60"/>
              <w:spacing w:after="0"/>
              <w:rPr>
                <w:sz w:val="20"/>
                <w:szCs w:val="20"/>
                <w:color w:val="auto"/>
              </w:rPr>
            </w:pPr>
            <w:r>
              <w:rPr>
                <w:rFonts w:ascii="Arial" w:cs="Arial" w:eastAsia="Arial" w:hAnsi="Arial"/>
                <w:sz w:val="18"/>
                <w:szCs w:val="18"/>
                <w:color w:val="auto"/>
              </w:rPr>
              <w:t>Dallas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Addison Baldwin LPO</w:t>
            </w:r>
          </w:p>
        </w:tc>
      </w:tr>
      <w:tr>
        <w:trPr>
          <w:trHeight w:val="243"/>
        </w:trPr>
        <w:tc>
          <w:tcPr>
            <w:tcW w:w="1500" w:type="dxa"/>
            <w:vAlign w:val="bottom"/>
          </w:tcPr>
          <w:p>
            <w:pPr>
              <w:ind w:left="60"/>
              <w:spacing w:after="0"/>
              <w:rPr>
                <w:sz w:val="20"/>
                <w:szCs w:val="20"/>
                <w:color w:val="auto"/>
              </w:rPr>
            </w:pPr>
            <w:r>
              <w:rPr>
                <w:rFonts w:ascii="Arial" w:cs="Arial" w:eastAsia="Arial" w:hAnsi="Arial"/>
                <w:sz w:val="18"/>
                <w:szCs w:val="18"/>
                <w:color w:val="auto"/>
              </w:rPr>
              <w:t>Plano</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ind w:left="14"/>
              <w:spacing w:after="0"/>
              <w:rPr>
                <w:sz w:val="20"/>
                <w:szCs w:val="20"/>
                <w:color w:val="auto"/>
              </w:rPr>
            </w:pPr>
            <w:r>
              <w:rPr>
                <w:rFonts w:ascii="Arial" w:cs="Arial" w:eastAsia="Arial" w:hAnsi="Arial"/>
                <w:sz w:val="18"/>
                <w:szCs w:val="18"/>
                <w:color w:val="auto"/>
                <w:w w:val="94"/>
              </w:rPr>
              <w:t>LPO</w:t>
            </w:r>
          </w:p>
        </w:tc>
      </w:tr>
      <w:tr>
        <w:trPr>
          <w:trHeight w:val="243"/>
        </w:trPr>
        <w:tc>
          <w:tcPr>
            <w:tcW w:w="1500" w:type="dxa"/>
            <w:vAlign w:val="bottom"/>
          </w:tcPr>
          <w:p>
            <w:pPr>
              <w:ind w:left="60"/>
              <w:spacing w:after="0"/>
              <w:rPr>
                <w:sz w:val="20"/>
                <w:szCs w:val="20"/>
                <w:color w:val="auto"/>
              </w:rPr>
            </w:pPr>
            <w:r>
              <w:rPr>
                <w:rFonts w:ascii="Arial" w:cs="Arial" w:eastAsia="Arial" w:hAnsi="Arial"/>
                <w:sz w:val="18"/>
                <w:szCs w:val="18"/>
                <w:color w:val="auto"/>
              </w:rPr>
              <w:t>Grand Prairie</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ind w:left="14"/>
              <w:spacing w:after="0"/>
              <w:rPr>
                <w:sz w:val="20"/>
                <w:szCs w:val="20"/>
                <w:color w:val="auto"/>
              </w:rPr>
            </w:pPr>
            <w:r>
              <w:rPr>
                <w:rFonts w:ascii="Arial" w:cs="Arial" w:eastAsia="Arial" w:hAnsi="Arial"/>
                <w:sz w:val="18"/>
                <w:szCs w:val="18"/>
                <w:color w:val="auto"/>
                <w:w w:val="94"/>
              </w:rPr>
              <w:t>LPO</w:t>
            </w:r>
          </w:p>
        </w:tc>
      </w:tr>
      <w:tr>
        <w:trPr>
          <w:trHeight w:val="243"/>
        </w:trPr>
        <w:tc>
          <w:tcPr>
            <w:tcW w:w="1500" w:type="dxa"/>
            <w:vAlign w:val="bottom"/>
          </w:tcPr>
          <w:p>
            <w:pPr>
              <w:ind w:left="60"/>
              <w:spacing w:after="0"/>
              <w:rPr>
                <w:sz w:val="20"/>
                <w:szCs w:val="20"/>
                <w:color w:val="auto"/>
              </w:rPr>
            </w:pPr>
            <w:r>
              <w:rPr>
                <w:rFonts w:ascii="Arial" w:cs="Arial" w:eastAsia="Arial" w:hAnsi="Arial"/>
                <w:sz w:val="18"/>
                <w:szCs w:val="18"/>
                <w:color w:val="auto"/>
              </w:rPr>
              <w:t>Southlake</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ind w:left="14"/>
              <w:spacing w:after="0"/>
              <w:rPr>
                <w:sz w:val="20"/>
                <w:szCs w:val="20"/>
                <w:color w:val="auto"/>
              </w:rPr>
            </w:pPr>
            <w:r>
              <w:rPr>
                <w:rFonts w:ascii="Arial" w:cs="Arial" w:eastAsia="Arial" w:hAnsi="Arial"/>
                <w:sz w:val="18"/>
                <w:szCs w:val="18"/>
                <w:color w:val="auto"/>
                <w:w w:val="94"/>
              </w:rPr>
              <w:t>LPO</w:t>
            </w:r>
          </w:p>
        </w:tc>
      </w:tr>
      <w:tr>
        <w:trPr>
          <w:trHeight w:val="972"/>
        </w:trPr>
        <w:tc>
          <w:tcPr>
            <w:tcW w:w="15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center"/>
              <w:ind w:right="1334"/>
              <w:spacing w:after="0"/>
              <w:rPr>
                <w:sz w:val="20"/>
                <w:szCs w:val="20"/>
                <w:color w:val="auto"/>
              </w:rPr>
            </w:pPr>
            <w:r>
              <w:rPr>
                <w:rFonts w:ascii="Arial" w:cs="Arial" w:eastAsia="Arial" w:hAnsi="Arial"/>
                <w:sz w:val="14"/>
                <w:szCs w:val="14"/>
                <w:b w:val="1"/>
                <w:bCs w:val="1"/>
                <w:color w:val="auto"/>
                <w:w w:val="91"/>
              </w:rPr>
              <w:t>Houston</w:t>
            </w:r>
          </w:p>
        </w:tc>
      </w:tr>
      <w:tr>
        <w:trPr>
          <w:trHeight w:val="183"/>
        </w:trPr>
        <w:tc>
          <w:tcPr>
            <w:tcW w:w="15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w w:val="95"/>
              </w:rPr>
              <w:t>Location</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37"/>
        </w:trPr>
        <w:tc>
          <w:tcPr>
            <w:tcW w:w="1500" w:type="dxa"/>
            <w:vAlign w:val="bottom"/>
          </w:tcPr>
          <w:p>
            <w:pPr>
              <w:ind w:left="60"/>
              <w:spacing w:after="0"/>
              <w:rPr>
                <w:sz w:val="20"/>
                <w:szCs w:val="20"/>
                <w:color w:val="auto"/>
              </w:rPr>
            </w:pPr>
            <w:r>
              <w:rPr>
                <w:rFonts w:ascii="Arial" w:cs="Arial" w:eastAsia="Arial" w:hAnsi="Arial"/>
                <w:sz w:val="18"/>
                <w:szCs w:val="18"/>
                <w:color w:val="auto"/>
              </w:rPr>
              <w:t>Houston</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729"/>
        </w:trPr>
        <w:tc>
          <w:tcPr>
            <w:tcW w:w="15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jc w:val="center"/>
              <w:ind w:right="1354"/>
              <w:spacing w:after="0"/>
              <w:rPr>
                <w:sz w:val="20"/>
                <w:szCs w:val="20"/>
                <w:color w:val="auto"/>
              </w:rPr>
            </w:pPr>
            <w:r>
              <w:rPr>
                <w:rFonts w:ascii="Arial" w:cs="Arial" w:eastAsia="Arial" w:hAnsi="Arial"/>
                <w:sz w:val="14"/>
                <w:szCs w:val="14"/>
                <w:b w:val="1"/>
                <w:bCs w:val="1"/>
                <w:color w:val="auto"/>
                <w:w w:val="93"/>
              </w:rPr>
              <w:t>Ruidoso/Eastern New Mexico</w:t>
            </w:r>
          </w:p>
        </w:tc>
      </w:tr>
      <w:tr>
        <w:trPr>
          <w:trHeight w:val="182"/>
        </w:trPr>
        <w:tc>
          <w:tcPr>
            <w:tcW w:w="15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w w:val="95"/>
              </w:rPr>
              <w:t>Location</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Branch or LPO</w:t>
            </w:r>
          </w:p>
        </w:tc>
      </w:tr>
      <w:tr>
        <w:trPr>
          <w:trHeight w:val="237"/>
        </w:trPr>
        <w:tc>
          <w:tcPr>
            <w:tcW w:w="1500" w:type="dxa"/>
            <w:vAlign w:val="bottom"/>
          </w:tcPr>
          <w:p>
            <w:pPr>
              <w:ind w:left="60"/>
              <w:spacing w:after="0"/>
              <w:rPr>
                <w:sz w:val="20"/>
                <w:szCs w:val="20"/>
                <w:color w:val="auto"/>
              </w:rPr>
            </w:pPr>
            <w:r>
              <w:rPr>
                <w:rFonts w:ascii="Arial" w:cs="Arial" w:eastAsia="Arial" w:hAnsi="Arial"/>
                <w:sz w:val="18"/>
                <w:szCs w:val="18"/>
                <w:color w:val="auto"/>
              </w:rPr>
              <w:t>Ruidoso</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Gateway Branch</w:t>
            </w:r>
          </w:p>
        </w:tc>
      </w:tr>
      <w:tr>
        <w:trPr>
          <w:trHeight w:val="243"/>
        </w:trPr>
        <w:tc>
          <w:tcPr>
            <w:tcW w:w="1500" w:type="dxa"/>
            <w:vAlign w:val="bottom"/>
          </w:tcPr>
          <w:p>
            <w:pPr>
              <w:ind w:left="60"/>
              <w:spacing w:after="0"/>
              <w:rPr>
                <w:sz w:val="20"/>
                <w:szCs w:val="20"/>
                <w:color w:val="auto"/>
              </w:rPr>
            </w:pPr>
            <w:r>
              <w:rPr>
                <w:rFonts w:ascii="Arial" w:cs="Arial" w:eastAsia="Arial" w:hAnsi="Arial"/>
                <w:sz w:val="18"/>
                <w:szCs w:val="18"/>
                <w:color w:val="auto"/>
              </w:rPr>
              <w:t>Ruidoso</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River Crossing Branch</w:t>
            </w:r>
          </w:p>
        </w:tc>
      </w:tr>
    </w:tbl>
    <w:p>
      <w:pPr>
        <w:spacing w:after="0" w:line="1780" w:lineRule="exact"/>
        <w:rPr>
          <w:sz w:val="20"/>
          <w:szCs w:val="20"/>
          <w:color w:val="auto"/>
        </w:rPr>
      </w:pPr>
    </w:p>
    <w:p>
      <w:pPr>
        <w:sectPr>
          <w:pgSz w:w="11900" w:h="16838" w:orient="portrait"/>
          <w:cols w:equalWidth="0" w:num="2">
            <w:col w:w="4640" w:space="100"/>
            <w:col w:w="4800"/>
          </w:cols>
          <w:pgMar w:left="1160" w:top="279" w:right="1199" w:bottom="1440" w:gutter="0" w:footer="0" w:header="0"/>
          <w:type w:val="continuous"/>
        </w:sectPr>
      </w:pPr>
    </w:p>
    <w:p>
      <w:pPr>
        <w:ind w:right="120" w:firstLine="360"/>
        <w:spacing w:after="0" w:line="259" w:lineRule="auto"/>
        <w:rPr>
          <w:sz w:val="20"/>
          <w:szCs w:val="20"/>
          <w:color w:val="auto"/>
        </w:rPr>
      </w:pPr>
      <w:r>
        <w:rPr>
          <w:rFonts w:ascii="Arial" w:cs="Arial" w:eastAsia="Arial" w:hAnsi="Arial"/>
          <w:sz w:val="18"/>
          <w:szCs w:val="18"/>
          <w:color w:val="auto"/>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340" w:firstLine="360"/>
        <w:spacing w:after="0" w:line="263" w:lineRule="auto"/>
        <w:rPr>
          <w:sz w:val="20"/>
          <w:szCs w:val="20"/>
          <w:color w:val="auto"/>
        </w:rPr>
      </w:pPr>
      <w:r>
        <w:rPr>
          <w:rFonts w:ascii="Arial" w:cs="Arial" w:eastAsia="Arial" w:hAnsi="Arial"/>
          <w:sz w:val="18"/>
          <w:szCs w:val="18"/>
          <w:color w:val="auto"/>
        </w:rPr>
        <w:t>From time to time, the Company or the Bank is a party to claims and legal proceedings arising in the ordinary course of business. Management does not believe any present litigation or the resolution thereof will have a material adverse effect on the business, consolidated financial condition or results of operations of the Company.</w:t>
      </w:r>
    </w:p>
    <w:p>
      <w:pPr>
        <w:spacing w:after="0" w:line="76"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The most significant litigation in which the Bank is currently involved has been brought by a townhome association and an owner of one of the townhomes. The Bank was the lender on property acquisition and construction loans on a townhome project in Arlington, Texas. After the developer defaulted on the loans, the Bank took title to the property in 2011 and later sold the remaining unsold townhouse units. The townhome association alleges on behalf of the individual homeowners that the developer, the developer’s general partner, the general contractor, and the Bank are liable for damages suffered in connection with the townhome project. The townhome association plaintiff asserts causes of action for negligence, breach of implied warranties,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type w:val="continuous"/>
        </w:sectPr>
      </w:pPr>
    </w:p>
    <w:bookmarkStart w:id="98" w:name="page99"/>
    <w:bookmarkEnd w:id="9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violations of the Texas Deceptive Trade Practices Act, or the DTPA, fraud, negligent misrepresentation, breach of fiduciary duty, equitable estoppel, and breach of contract. The plaintiff seeks actual damages, including costs of repair that the plaintiff’s expert estimates to be approximately $8,000,000; treble damages under the DTPA; exemplary damages; attorneys’ fees; expert fees; and court costs. The individual owner is also asserting similar causes of action. The Bank has filed cross-claims against the other defendants, and a third-party claim against a repair company that worked on the property after the deed in lieu of foreclosure.</w:t>
      </w:r>
    </w:p>
    <w:p>
      <w:pPr>
        <w:spacing w:after="0" w:line="53"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Bank’s general liability and directors and officers liability insurance carriers have acknowledged their obligation to defend the Bank in this matter. The general liability policies during the relevant policy years have limits of $1,000,000, and potentially up to $2,000,000, and the related excess policies have limits of $15,000,000. The directors and officers liability insurance policy has a limit of $10,000,000 and a retention of $250,000. Each of those insurance carriers has issued one or more “Reservation of Rights” letters, asserting that certain terms of the insurance policies might relieve them of the obligation to indemnify the Bank in the event it suffers a loss in the litigation. While the litigation is pending, the insurers may choose to seek an out-of-court settlement of the claims against the Bank. Furthermore, the Bank has tendered this matter to other insurance carriers that issued policies to the townhome association, the developer or the general contractor, and who might be obligated to provide coverage to the Bank under an additional insured endorsement or other obligation, and the Bank continues to conduct discovery of other insurance policies that may be applicable to this matter. At this time, one of those other insurance carriers has agreed to defend the Bank but has reserved its rights to deny coverage. The remaining other carriers to which the Bank has tendered this matter have not agreed to defend or indemnify the Bank.</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00"/>
          </w:cols>
          <w:pgMar w:left="1160" w:top="279" w:right="12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SUPERVISION AND REGULATION</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60" w:firstLine="360"/>
        <w:spacing w:after="0" w:line="271" w:lineRule="auto"/>
        <w:rPr>
          <w:sz w:val="20"/>
          <w:szCs w:val="20"/>
          <w:color w:val="auto"/>
        </w:rPr>
      </w:pPr>
      <w:r>
        <w:rPr>
          <w:rFonts w:ascii="Arial" w:cs="Arial" w:eastAsia="Arial" w:hAnsi="Arial"/>
          <w:sz w:val="17"/>
          <w:szCs w:val="17"/>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TDB, the Federal Reserve, the FDIC and the CFPB. Furthermore, tax laws administered by the IRS, and state taxing authorities, accounting rules developed by the FASB, securities laws administered by the SEC and state securities authorities and AML laws enforced by the U.S. Department of the Treasury, or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70"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banks, their holding companies and their affiliates. These laws are intended primarily for the protection of depositors, customers and the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56"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58"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 Requirements</w:t>
      </w:r>
    </w:p>
    <w:p>
      <w:pPr>
        <w:spacing w:after="0" w:line="121"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spacing w:after="0" w:line="70" w:lineRule="exact"/>
        <w:rPr>
          <w:sz w:val="20"/>
          <w:szCs w:val="20"/>
          <w:color w:val="auto"/>
        </w:rPr>
      </w:pPr>
    </w:p>
    <w:p>
      <w:pPr>
        <w:ind w:right="200" w:firstLine="360"/>
        <w:spacing w:after="0" w:line="263" w:lineRule="auto"/>
        <w:rPr>
          <w:sz w:val="20"/>
          <w:szCs w:val="20"/>
          <w:color w:val="auto"/>
        </w:rPr>
      </w:pPr>
      <w:r>
        <w:rPr>
          <w:rFonts w:ascii="Arial" w:cs="Arial" w:eastAsia="Arial" w:hAnsi="Arial"/>
          <w:sz w:val="18"/>
          <w:szCs w:val="18"/>
          <w:color w:val="auto"/>
        </w:rPr>
        <w:t>The Basel III Capital Rules require the Bank and, upon completion of this offering, the Company, to comply with four minimum capital standards: a tier 1 leverage ratio of at least 4.0%; a CET1 to risk-weighted assets of 4.5%; a tier 1 capital to risk-weighted assets of at least 6.0%; and a total capital to risk-weighted assets of at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spacing w:after="0" w:line="64"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The Basel III Capital Rules also establish a “capital conservation buffer” of 2.5% above the regulatory minimum risk-based capital requirements. The capital conservation buffer requirement was phased in beginning in January 2016 and, as of January 2019, is now fully implemented. An institution is subject to limitations on certain activities, including payment of dividends, share repurchases and discretionary bonuses to executive officers, if its capital level is below the buffered ratio.</w:t>
      </w:r>
    </w:p>
    <w:p>
      <w:pPr>
        <w:spacing w:after="0" w:line="63"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The Basel III minimum capital ratios as applicable to the Bank, and to the Company upon completion of this offering, in 2019 after the full phase-in period of the capital conservation buffer are summarized in the table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Basel III Minimum</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Basel III</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Basel III Ratio</w:t>
            </w:r>
          </w:p>
        </w:tc>
      </w:tr>
      <w:tr>
        <w:trPr>
          <w:trHeight w:val="162"/>
        </w:trPr>
        <w:tc>
          <w:tcPr>
            <w:tcW w:w="53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for Capital</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Additional Capital</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with Capital</w:t>
            </w:r>
          </w:p>
        </w:tc>
      </w:tr>
      <w:tr>
        <w:trPr>
          <w:trHeight w:val="162"/>
        </w:trPr>
        <w:tc>
          <w:tcPr>
            <w:tcW w:w="5300" w:type="dxa"/>
            <w:vAlign w:val="bottom"/>
          </w:tcPr>
          <w:p>
            <w:pPr>
              <w:spacing w:after="0"/>
              <w:rPr>
                <w:sz w:val="14"/>
                <w:szCs w:val="14"/>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Adequacy</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Conservation</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Conservation</w:t>
            </w:r>
          </w:p>
        </w:tc>
      </w:tr>
      <w:tr>
        <w:trPr>
          <w:trHeight w:val="185"/>
        </w:trPr>
        <w:tc>
          <w:tcPr>
            <w:tcW w:w="53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Purposes</w:t>
            </w:r>
          </w:p>
        </w:tc>
        <w:tc>
          <w:tcPr>
            <w:tcW w:w="2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Buffer</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Buffer</w:t>
            </w:r>
          </w:p>
        </w:tc>
        <w:tc>
          <w:tcPr>
            <w:tcW w:w="100" w:type="dxa"/>
            <w:vAlign w:val="bottom"/>
          </w:tcPr>
          <w:p>
            <w:pPr>
              <w:spacing w:after="0"/>
              <w:rPr>
                <w:sz w:val="16"/>
                <w:szCs w:val="16"/>
                <w:color w:val="auto"/>
              </w:rPr>
            </w:pPr>
          </w:p>
        </w:tc>
      </w:tr>
      <w:tr>
        <w:trPr>
          <w:trHeight w:val="23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 (total capital to risk-weighted assets)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Tier 1 risk based capital (tier 1 to risk-weighted assets)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8.50%</w:t>
            </w:r>
          </w:p>
        </w:tc>
      </w:tr>
      <w:tr>
        <w:trPr>
          <w:trHeight w:val="24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equity tier 1 risk based capital (CET1 to risk-weighted assets)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Tier 1 leverage ratio (tier 1 to average assets)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4.00%</w:t>
            </w:r>
          </w:p>
        </w:tc>
      </w:tr>
    </w:tbl>
    <w:p>
      <w:pPr>
        <w:spacing w:after="0" w:line="106"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CRE mortgages. Additional aspects of the Basel III Capital Rules’ risk-weighting requirements that are relevant to the Company and the Bank include:</w:t>
      </w:r>
    </w:p>
    <w:p>
      <w:pPr>
        <w:spacing w:after="0" w:line="77" w:lineRule="exact"/>
        <w:rPr>
          <w:sz w:val="20"/>
          <w:szCs w:val="20"/>
          <w:color w:val="auto"/>
        </w:rPr>
      </w:pPr>
    </w:p>
    <w:p>
      <w:pPr>
        <w:ind w:left="700" w:hanging="344"/>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assigning exposures secured by single-family residential properties to either a 50% risk weight for first-lien mortgages that meet prudent underwriting standards or a 100% risk weight category for all other mortgages;</w:t>
      </w:r>
    </w:p>
    <w:p>
      <w:pPr>
        <w:spacing w:after="0" w:line="62" w:lineRule="exact"/>
        <w:rPr>
          <w:rFonts w:ascii="Arial" w:cs="Arial" w:eastAsia="Arial" w:hAnsi="Arial"/>
          <w:sz w:val="18"/>
          <w:szCs w:val="18"/>
          <w:color w:val="auto"/>
        </w:rPr>
      </w:pPr>
    </w:p>
    <w:p>
      <w:pPr>
        <w:ind w:left="700" w:right="40" w:hanging="344"/>
        <w:spacing w:after="0" w:line="308" w:lineRule="auto"/>
        <w:tabs>
          <w:tab w:leader="none" w:pos="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providing for a 20% credit conversion factor for the unused portion of a commitment with an original maturity of one year or less that is not unconditionally cancellable (increased from 0% under the previous risk-based capital rules);</w:t>
      </w:r>
    </w:p>
    <w:p>
      <w:pPr>
        <w:spacing w:after="0" w:line="38" w:lineRule="exact"/>
        <w:rPr>
          <w:rFonts w:ascii="Arial" w:cs="Arial" w:eastAsia="Arial" w:hAnsi="Arial"/>
          <w:sz w:val="17"/>
          <w:szCs w:val="17"/>
          <w:color w:val="auto"/>
        </w:rPr>
      </w:pPr>
    </w:p>
    <w:p>
      <w:pPr>
        <w:ind w:left="700" w:hanging="344"/>
        <w:spacing w:after="0" w:line="263"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00" w:hanging="344"/>
        <w:spacing w:after="0" w:line="277"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applying a 150% risk weight instead of a 100% risk weight for certain high-volatility commercial real estate, or HVCRE, ADC loans; and</w:t>
      </w:r>
    </w:p>
    <w:p>
      <w:pPr>
        <w:spacing w:after="0" w:line="62" w:lineRule="exact"/>
        <w:rPr>
          <w:rFonts w:ascii="Arial" w:cs="Arial" w:eastAsia="Arial" w:hAnsi="Arial"/>
          <w:sz w:val="18"/>
          <w:szCs w:val="18"/>
          <w:color w:val="auto"/>
        </w:rPr>
      </w:pPr>
    </w:p>
    <w:p>
      <w:pPr>
        <w:ind w:left="700" w:right="280" w:hanging="344"/>
        <w:spacing w:after="0" w:line="263" w:lineRule="auto"/>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p>
      <w:pPr>
        <w:spacing w:after="0" w:line="76"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As of December 31, 2018, the Company’s and the Bank’s capital ratios exceeded the minimum capital adequacy guideline percentage requirements under the Basel III Capital Rules on a fully phased-in basis.</w:t>
      </w:r>
    </w:p>
    <w:p>
      <w:pPr>
        <w:spacing w:after="0" w:line="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On November 21, 2018, federal regulators released a proposed rulemaking that would, if enacted, provide certain banks and their holding companies with the option to elect out of complying with the Basel III Capital Rules. Under the proposal, a qualifying community banking organization would be eligible to elect the community bank leverage ratio framework if it has a community bank leverage ratio, or CBLR, greater than 9% at the time of election.</w:t>
      </w:r>
    </w:p>
    <w:p>
      <w:pPr>
        <w:spacing w:after="0" w:line="7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 qualifying community banking organization, or QCBO, is defined as a bank, a savings association, a bank holding company or a savings and loan holding company with:</w:t>
      </w:r>
    </w:p>
    <w:p>
      <w:pPr>
        <w:spacing w:after="0" w:line="62" w:lineRule="exact"/>
        <w:rPr>
          <w:sz w:val="20"/>
          <w:szCs w:val="20"/>
          <w:color w:val="auto"/>
        </w:rPr>
      </w:pPr>
    </w:p>
    <w:p>
      <w:pPr>
        <w:ind w:left="700" w:hanging="34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consolidated assets of less than $10 billion;</w:t>
      </w:r>
    </w:p>
    <w:p>
      <w:pPr>
        <w:spacing w:after="0" w:line="117" w:lineRule="exact"/>
        <w:rPr>
          <w:rFonts w:ascii="Arial" w:cs="Arial" w:eastAsia="Arial" w:hAnsi="Arial"/>
          <w:sz w:val="18"/>
          <w:szCs w:val="18"/>
          <w:color w:val="auto"/>
        </w:rPr>
      </w:pPr>
    </w:p>
    <w:p>
      <w:pPr>
        <w:ind w:left="700" w:right="480" w:hanging="344"/>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off-balance sheet exposures (excluding derivatives other than credit derivatives and unconditionally cancelable commitments) of 25% or less of total consolidated assets;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trading assets and trading liabilities of 5% or less of total consolidated assets;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MSAs of 25% or less of CBLR tangible equity;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temporary difference DTAs of 25% or less of CBLR tangible equity.</w:t>
      </w:r>
    </w:p>
    <w:p>
      <w:pPr>
        <w:spacing w:after="0" w:line="117" w:lineRule="exact"/>
        <w:rPr>
          <w:sz w:val="20"/>
          <w:szCs w:val="20"/>
          <w:color w:val="auto"/>
        </w:rPr>
      </w:pPr>
    </w:p>
    <w:p>
      <w:pPr>
        <w:jc w:val="both"/>
        <w:ind w:right="280" w:firstLine="360"/>
        <w:spacing w:after="0" w:line="259" w:lineRule="auto"/>
        <w:rPr>
          <w:sz w:val="20"/>
          <w:szCs w:val="20"/>
          <w:color w:val="auto"/>
        </w:rPr>
      </w:pPr>
      <w:r>
        <w:rPr>
          <w:rFonts w:ascii="Arial" w:cs="Arial" w:eastAsia="Arial" w:hAnsi="Arial"/>
          <w:sz w:val="18"/>
          <w:szCs w:val="18"/>
          <w:color w:val="auto"/>
        </w:rPr>
        <w:t>A QCBO may elect out of complying with the Basel III Capital Rules if, at the time of the election, the QCBO has a CBLR above 9%. The numerator of the CBLR is referred to as “CBLR tangible equity” and is calculated as the QCBO’s total capital as reported in compliance with Call Report and FR Y-9C instructions, or Reporting Instructions (prior to including non-controlling interests in consolidated subsidiaries) less:</w:t>
      </w:r>
    </w:p>
    <w:p>
      <w:pPr>
        <w:spacing w:after="0" w:line="79" w:lineRule="exact"/>
        <w:rPr>
          <w:sz w:val="20"/>
          <w:szCs w:val="20"/>
          <w:color w:val="auto"/>
        </w:rPr>
      </w:pPr>
    </w:p>
    <w:p>
      <w:pPr>
        <w:ind w:left="700" w:hanging="344"/>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Accumulated other comprehensive income (referred to in the industry as AOCI);</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Intangible assets, calculated in accordance with Reporting Instructions, other than mortgage servicing assets; and</w:t>
      </w:r>
    </w:p>
    <w:p>
      <w:pPr>
        <w:spacing w:after="0" w:line="128" w:lineRule="exact"/>
        <w:rPr>
          <w:rFonts w:ascii="Arial" w:cs="Arial" w:eastAsia="Arial" w:hAnsi="Arial"/>
          <w:sz w:val="17"/>
          <w:szCs w:val="17"/>
          <w:color w:val="auto"/>
        </w:rPr>
      </w:pPr>
    </w:p>
    <w:p>
      <w:pPr>
        <w:ind w:left="700" w:right="840" w:hanging="344"/>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Deferred tax assets that arise from net operating loss and tax credit carry forwards net of any related valuations allowances.</w:t>
      </w:r>
    </w:p>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denominator of the CBLR is the QCBO’s average assets, calculated in accordance with Reporting Instructions and less intangible assets and deferred tax assets deducted from CBLR tangible equity.</w:t>
      </w:r>
    </w:p>
    <w:p>
      <w:pPr>
        <w:spacing w:after="0" w:line="62"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The Company will continue to monitor this rulemaking. If and when the rulemaking goes into effect, the Company and the Bank will consider whether it would be possible and advantageous at that time to elect to comply with the community bank leverage ratio framework.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Prompt Corrective Action</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Federal Deposit Insurance Act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 regulations have been amended to incorporate the increased capital requirements required by the Basel III 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60" w:firstLine="360"/>
        <w:spacing w:after="0" w:line="286" w:lineRule="auto"/>
        <w:rPr>
          <w:sz w:val="20"/>
          <w:szCs w:val="20"/>
          <w:color w:val="auto"/>
        </w:rPr>
      </w:pPr>
      <w:r>
        <w:rPr>
          <w:rFonts w:ascii="Arial" w:cs="Arial" w:eastAsia="Arial" w:hAnsi="Arial"/>
          <w:sz w:val="16"/>
          <w:szCs w:val="16"/>
          <w:color w:val="auto"/>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spacing w:after="0" w:line="83"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auto"/>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spacing w:after="0" w:line="68"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spacing w:after="0" w:line="79"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As of December 31, 2018, the Bank met the requirements for being deemed “well-capitalized” for purposes of the prompt corrective action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Powers of Federal and State Banking Agencies</w:t>
      </w:r>
    </w:p>
    <w:p>
      <w:pPr>
        <w:spacing w:after="0" w:line="121"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As a bank holding company, the Company is subject to regulation and supervision by the Federal Reserve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Holding Company Act of 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79"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b w:val="1"/>
          <w:bCs w:val="1"/>
          <w:i w:val="1"/>
          <w:iCs w:val="1"/>
          <w:color w:val="auto"/>
        </w:rPr>
        <w:t>Acquisitions, Activities and Change in Control</w:t>
      </w:r>
      <w:r>
        <w:rPr>
          <w:rFonts w:ascii="Arial" w:cs="Arial" w:eastAsia="Arial" w:hAnsi="Arial"/>
          <w:sz w:val="17"/>
          <w:szCs w:val="17"/>
          <w:color w:val="auto"/>
        </w:rPr>
        <w:t>. The BHCA generally requires the prior approval by the Federal Reserve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merger involving a bank holding company or a bank holding company’s acquisition of more than 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CRA and the effectiveness of all organizations involved in the merger or acquisition in combating money laundering activities. In addition, failure to implement or maintain adequate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compliance programs could cause bank regulators not to approve an acquisition where regulatory approval is required or to prohibit an acquisition even if approval is not required.</w:t>
      </w:r>
    </w:p>
    <w:p>
      <w:pPr>
        <w:spacing w:after="0" w:line="6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Subject to certain conditions (including deposit concentration limits established by the BHCA and the Dodd-Frank Act), the Federal Reserve may allow a bank holding company to acquire banks located in any state of the United States.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spacing w:after="0" w:line="7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5.00% and 24.99% ownership.</w:t>
      </w:r>
    </w:p>
    <w:p>
      <w:pPr>
        <w:spacing w:after="0" w:line="7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i w:val="1"/>
          <w:iCs w:val="1"/>
          <w:color w:val="auto"/>
        </w:rPr>
        <w:t>Permitted Activities</w:t>
      </w:r>
      <w:r>
        <w:rPr>
          <w:rFonts w:ascii="Arial" w:cs="Arial" w:eastAsia="Arial" w:hAnsi="Arial"/>
          <w:sz w:val="17"/>
          <w:szCs w:val="17"/>
          <w:color w:val="auto"/>
        </w:rPr>
        <w:t>. The BHCA generally prohibits the Company from controlling or engaging in any business other than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spacing w:after="0" w:line="7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57"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If the Company should elect to become a financial holding company, the Company and the Bank must be well-capitalized, well-managed, and have a least a satisfactory CRA rating. If the Company were to become a financial holding company and the Federal Reserve subsequently determined that the Company, as a financial holding company, is not well-capitalized or well-managed, the Company would have a period of time during which to achieve compliance, but during the period of noncompliance, the Federal Reserve may place any limitations on the Company that the Federal Reserve believes to be appropriate. Furthermore, if the Company became a financial holding company and the Federal Reserve subsequently determined that the Bank, as a financial holding company subsidiary, has not received a satisfactory CRA rating, the Company would not be able to commence any new financial activities or acquire a company that engages in such activities.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b w:val="1"/>
          <w:bCs w:val="1"/>
          <w:i w:val="1"/>
          <w:iCs w:val="1"/>
          <w:color w:val="auto"/>
        </w:rPr>
        <w:t>Source of Strength</w:t>
      </w:r>
      <w:r>
        <w:rPr>
          <w:rFonts w:ascii="Arial" w:cs="Arial" w:eastAsia="Arial" w:hAnsi="Arial"/>
          <w:sz w:val="16"/>
          <w:szCs w:val="16"/>
          <w:color w:val="auto"/>
        </w:rPr>
        <w:t>. Federal Reserve policy historically required bank holding companies to act as a source of financial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managerial strength to their 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spacing w:after="0" w:line="60"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b w:val="1"/>
          <w:bCs w:val="1"/>
          <w:i w:val="1"/>
          <w:iCs w:val="1"/>
          <w:color w:val="auto"/>
        </w:rPr>
        <w:t>Safe and Sound Banking Practices</w:t>
      </w:r>
      <w:r>
        <w:rPr>
          <w:rFonts w:ascii="Arial" w:cs="Arial" w:eastAsia="Arial" w:hAnsi="Arial"/>
          <w:sz w:val="17"/>
          <w:szCs w:val="17"/>
          <w:color w:val="auto"/>
        </w:rPr>
        <w:t>. Bank holding companies and their non-banking subsidiaries are prohibited from engaging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69"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b w:val="1"/>
          <w:bCs w:val="1"/>
          <w:i w:val="1"/>
          <w:iCs w:val="1"/>
          <w:color w:val="auto"/>
        </w:rPr>
        <w:t>Tie in Arrangements</w:t>
      </w:r>
      <w:r>
        <w:rPr>
          <w:rFonts w:ascii="Arial" w:cs="Arial" w:eastAsia="Arial" w:hAnsi="Arial"/>
          <w:sz w:val="18"/>
          <w:szCs w:val="18"/>
          <w:color w:val="auto"/>
        </w:rPr>
        <w:t>. Federal law prohibits bank holding companies and any subsidiary banks from engaging in certain tie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in connection with 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spacing w:after="0" w:line="87"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b w:val="1"/>
          <w:bCs w:val="1"/>
          <w:i w:val="1"/>
          <w:iCs w:val="1"/>
          <w:color w:val="auto"/>
        </w:rPr>
        <w:t>Dividend Payments, Stock Redemptions and Repurchases</w:t>
      </w:r>
      <w:r>
        <w:rPr>
          <w:rFonts w:ascii="Arial" w:cs="Arial" w:eastAsia="Arial" w:hAnsi="Arial"/>
          <w:sz w:val="17"/>
          <w:szCs w:val="17"/>
          <w:color w:val="auto"/>
        </w:rPr>
        <w:t>. The Company’s ability to pay dividends to its shareholders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affected by both general corporate law 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w:t>
      </w:r>
    </w:p>
    <w:p>
      <w:pPr>
        <w:spacing w:after="0" w:line="69"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bank holding companies are unable to repurchase shares equal to 10% or more of its net worth if it would not be well-capitalized (as defined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w:t>
      </w:r>
    </w:p>
    <w:p>
      <w:pPr>
        <w:spacing w:after="0" w:line="12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The Bank is a Texas banking association and is subject to supervision and regulation by the TDB and the FDIC.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is also subject to certain regulations of the CFPB. As a Texas banking association, the Bank is subject to the examination, supervision and regulation by the TDB, the chartering authority for Texas banks, and by the FDIC.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pacing w:after="0" w:line="88"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b w:val="1"/>
          <w:bCs w:val="1"/>
          <w:i w:val="1"/>
          <w:iCs w:val="1"/>
          <w:color w:val="auto"/>
        </w:rPr>
        <w:t>Depositor Preference</w:t>
      </w:r>
      <w:r>
        <w:rPr>
          <w:rFonts w:ascii="Arial" w:cs="Arial" w:eastAsia="Arial" w:hAnsi="Arial"/>
          <w:sz w:val="18"/>
          <w:szCs w:val="18"/>
          <w:color w:val="auto"/>
        </w:rPr>
        <w:t>. In the event of the “liquidation or other resolution” of an insured depository institution, the claims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8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b w:val="1"/>
          <w:bCs w:val="1"/>
          <w:i w:val="1"/>
          <w:iCs w:val="1"/>
          <w:color w:val="auto"/>
        </w:rPr>
        <w:t>Brokered Deposit Restrictions</w:t>
      </w:r>
      <w:r>
        <w:rPr>
          <w:rFonts w:ascii="Arial" w:cs="Arial" w:eastAsia="Arial" w:hAnsi="Arial"/>
          <w:sz w:val="18"/>
          <w:szCs w:val="18"/>
          <w:color w:val="auto"/>
        </w:rPr>
        <w:t>. Well-capitalized institutions are not subject to limitations on brokered deposits,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adequately 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As of December 31, 2018, the Bank was eligible to accept brokered deposits without a waiver from the FDIC.</w:t>
      </w:r>
    </w:p>
    <w:p>
      <w:pPr>
        <w:spacing w:after="0" w:line="80" w:lineRule="exact"/>
        <w:rPr>
          <w:sz w:val="20"/>
          <w:szCs w:val="20"/>
          <w:color w:val="auto"/>
        </w:rPr>
      </w:pPr>
    </w:p>
    <w:p>
      <w:pPr>
        <w:ind w:right="140" w:firstLine="360"/>
        <w:spacing w:after="0" w:line="253" w:lineRule="auto"/>
        <w:rPr>
          <w:sz w:val="20"/>
          <w:szCs w:val="20"/>
          <w:color w:val="auto"/>
        </w:rPr>
      </w:pPr>
      <w:r>
        <w:rPr>
          <w:rFonts w:ascii="Arial" w:cs="Arial" w:eastAsia="Arial" w:hAnsi="Arial"/>
          <w:sz w:val="18"/>
          <w:szCs w:val="18"/>
          <w:b w:val="1"/>
          <w:bCs w:val="1"/>
          <w:i w:val="1"/>
          <w:iCs w:val="1"/>
          <w:color w:val="auto"/>
        </w:rPr>
        <w:t>Deposit Insurance</w:t>
      </w:r>
      <w:r>
        <w:rPr>
          <w:rFonts w:ascii="Arial" w:cs="Arial" w:eastAsia="Arial" w:hAnsi="Arial"/>
          <w:sz w:val="18"/>
          <w:szCs w:val="18"/>
          <w:color w:val="auto"/>
        </w:rPr>
        <w:t>. As an FDIC-insured institution, the Bank is required to pay deposit insurance premiums to the FDIC.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FDIC has 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Federal Deposit Insurance Act revised the assessment base so that it is calculated using average consolidated total assets minus average tangible equity.</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Additionally, the Dodd-Frank Act altered the minimum designated reserve ratio of the DIF, increasing the minimum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1.15% to 1.35% of the estimated amount of total insured deposits, and eliminating the requirement that the FDIC pay dividends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depository institutions when the reserve ratio exceeds certain thresholds. The FDIC had until September 3, 2020 to meet the 1.35%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 ratio target, but it announced in November 2018 that the DIF had reached 1.36%, exceeding the 1.35% reserve ratio target.</w:t>
      </w:r>
    </w:p>
    <w:p>
      <w:pPr>
        <w:spacing w:after="0" w:line="126"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2018, the Bank paid $1.0 million in FDIC deposit insurance premiums.</w:t>
      </w:r>
    </w:p>
    <w:p>
      <w:pPr>
        <w:spacing w:after="0" w:line="79" w:lineRule="exact"/>
        <w:rPr>
          <w:sz w:val="20"/>
          <w:szCs w:val="20"/>
          <w:color w:val="auto"/>
        </w:rPr>
      </w:pPr>
    </w:p>
    <w:p>
      <w:pPr>
        <w:ind w:firstLine="360"/>
        <w:spacing w:after="0" w:line="296" w:lineRule="auto"/>
        <w:rPr>
          <w:sz w:val="20"/>
          <w:szCs w:val="20"/>
          <w:color w:val="auto"/>
        </w:rPr>
      </w:pPr>
      <w:r>
        <w:rPr>
          <w:rFonts w:ascii="Arial" w:cs="Arial" w:eastAsia="Arial" w:hAnsi="Arial"/>
          <w:sz w:val="16"/>
          <w:szCs w:val="16"/>
          <w:b w:val="1"/>
          <w:bCs w:val="1"/>
          <w:i w:val="1"/>
          <w:iCs w:val="1"/>
          <w:color w:val="auto"/>
        </w:rPr>
        <w:t>Audit Reports</w:t>
      </w:r>
      <w:r>
        <w:rPr>
          <w:rFonts w:ascii="Arial" w:cs="Arial" w:eastAsia="Arial" w:hAnsi="Arial"/>
          <w:sz w:val="16"/>
          <w:szCs w:val="16"/>
          <w:color w:val="auto"/>
        </w:rPr>
        <w:t>. For insured institutions with total assets of $1.0 billion or more, financial statements prepared in accordance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FDICIA requires that the Bank have an independent audit committee, consisting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outside directors only, or that we have an audit 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spacing w:after="0" w:line="5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i w:val="1"/>
          <w:iCs w:val="1"/>
          <w:color w:val="auto"/>
        </w:rPr>
        <w:t>FICO Assessments</w:t>
      </w:r>
      <w:r>
        <w:rPr>
          <w:rFonts w:ascii="Arial" w:cs="Arial" w:eastAsia="Arial" w:hAnsi="Arial"/>
          <w:sz w:val="17"/>
          <w:szCs w:val="17"/>
          <w:color w:val="auto"/>
        </w:rPr>
        <w:t>. In addition to paying basic deposit insurance assessments, insured depository institutions must pay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Financing Corporation, or FICO, assessments. FICO is a mixed-ownership governmental corporation chartered by the former Federal Home Loan Bank Board to recapitalize the former Federal Savings and Loan Insurance Corporation. FICO issued 30-year non-callable bonds of approximately $8.1 billion that mature in 2017 through 2019. Since 1996, federal legislation requires that all FDIC-insured depository institutions pay assessments to cover interest payments on FICO’s outstanding obligations. During the year ended December 31, 2018, the Bank paid $70,000 in FICO assessments.</w:t>
      </w:r>
    </w:p>
    <w:p>
      <w:pPr>
        <w:spacing w:after="0" w:line="70"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b w:val="1"/>
          <w:bCs w:val="1"/>
          <w:i w:val="1"/>
          <w:iCs w:val="1"/>
          <w:color w:val="auto"/>
        </w:rPr>
        <w:t>Examination Assessments</w:t>
      </w:r>
      <w:r>
        <w:rPr>
          <w:rFonts w:ascii="Arial" w:cs="Arial" w:eastAsia="Arial" w:hAnsi="Arial"/>
          <w:sz w:val="17"/>
          <w:szCs w:val="17"/>
          <w:color w:val="auto"/>
        </w:rPr>
        <w:t>. Texas-chartered banks are required to pay an annual assessment fee to the TDB to fund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The fee is based on the amount of the bank’s assets at rates established by the Finance Commission of Texas. During the year ended December 31, 2018, the Bank paid examination assessments to the TDB totaling $230,000.</w:t>
      </w:r>
    </w:p>
    <w:p>
      <w:pPr>
        <w:spacing w:after="0" w:line="57"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b w:val="1"/>
          <w:bCs w:val="1"/>
          <w:i w:val="1"/>
          <w:iCs w:val="1"/>
          <w:color w:val="auto"/>
        </w:rPr>
        <w:t>Capital Requirements</w:t>
      </w:r>
      <w:r>
        <w:rPr>
          <w:rFonts w:ascii="Arial" w:cs="Arial" w:eastAsia="Arial" w:hAnsi="Arial"/>
          <w:sz w:val="18"/>
          <w:szCs w:val="18"/>
          <w:color w:val="auto"/>
        </w:rPr>
        <w:t>. Banks are generally required to maintain minimum capital ratios. For a discussion of the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applicable to the Bank, see “Regulatory Capital Requirements” above.</w:t>
      </w:r>
    </w:p>
    <w:p>
      <w:pPr>
        <w:spacing w:after="0" w:line="62"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b w:val="1"/>
          <w:bCs w:val="1"/>
          <w:i w:val="1"/>
          <w:iCs w:val="1"/>
          <w:color w:val="auto"/>
        </w:rPr>
        <w:t>Bank Reserves</w:t>
      </w:r>
      <w:r>
        <w:rPr>
          <w:rFonts w:ascii="Arial" w:cs="Arial" w:eastAsia="Arial" w:hAnsi="Arial"/>
          <w:sz w:val="17"/>
          <w:szCs w:val="17"/>
          <w:color w:val="auto"/>
        </w:rPr>
        <w:t>. The Federal Reserve requires all depository institutions to maintain reserves against some transaction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spacing w:after="0" w:line="63"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b w:val="1"/>
          <w:bCs w:val="1"/>
          <w:i w:val="1"/>
          <w:iCs w:val="1"/>
          <w:color w:val="auto"/>
        </w:rPr>
        <w:t>Liquidity Requirements</w:t>
      </w:r>
      <w:r>
        <w:rPr>
          <w:rFonts w:ascii="Arial" w:cs="Arial" w:eastAsia="Arial" w:hAnsi="Arial"/>
          <w:sz w:val="17"/>
          <w:szCs w:val="17"/>
          <w:color w:val="auto"/>
        </w:rPr>
        <w:t>. Historically, regulation and monitoring of bank and bank holding company liquidity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addressed as a supervisory matter, 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spacing w:after="0" w:line="70" w:lineRule="exact"/>
        <w:rPr>
          <w:sz w:val="20"/>
          <w:szCs w:val="20"/>
          <w:color w:val="auto"/>
        </w:rPr>
      </w:pPr>
    </w:p>
    <w:p>
      <w:pPr>
        <w:ind w:right="540" w:firstLine="360"/>
        <w:spacing w:after="0" w:line="263" w:lineRule="auto"/>
        <w:rPr>
          <w:sz w:val="20"/>
          <w:szCs w:val="20"/>
          <w:color w:val="auto"/>
        </w:rPr>
      </w:pPr>
      <w:r>
        <w:rPr>
          <w:rFonts w:ascii="Arial" w:cs="Arial" w:eastAsia="Arial" w:hAnsi="Arial"/>
          <w:sz w:val="18"/>
          <w:szCs w:val="18"/>
          <w:color w:val="auto"/>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spacing w:after="0" w:line="76"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b w:val="1"/>
          <w:bCs w:val="1"/>
          <w:i w:val="1"/>
          <w:iCs w:val="1"/>
          <w:color w:val="auto"/>
        </w:rPr>
        <w:t>Dividend Payments</w:t>
      </w:r>
      <w:r>
        <w:rPr>
          <w:rFonts w:ascii="Arial" w:cs="Arial" w:eastAsia="Arial" w:hAnsi="Arial"/>
          <w:sz w:val="16"/>
          <w:szCs w:val="16"/>
          <w:color w:val="auto"/>
        </w:rPr>
        <w:t>. The primary source of funds for the Company is dividends from the Bank. Unless the approval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FDIC is obtained, the Bank may not 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spacing w:after="0" w:line="5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b w:val="1"/>
          <w:bCs w:val="1"/>
          <w:i w:val="1"/>
          <w:iCs w:val="1"/>
          <w:color w:val="auto"/>
        </w:rPr>
        <w:t>Transactions with Affiliates</w:t>
      </w:r>
      <w:r>
        <w:rPr>
          <w:rFonts w:ascii="Arial" w:cs="Arial" w:eastAsia="Arial" w:hAnsi="Arial"/>
          <w:sz w:val="17"/>
          <w:szCs w:val="17"/>
          <w:color w:val="auto"/>
        </w:rPr>
        <w:t>. The Bank is subject to sections 23A and 23B of the Federal Reserve Act, or the Affiliates 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Federal Reserve’s 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 individually, 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spacing w:after="0" w:line="76" w:lineRule="exact"/>
        <w:rPr>
          <w:sz w:val="20"/>
          <w:szCs w:val="20"/>
          <w:color w:val="auto"/>
        </w:rPr>
      </w:pPr>
    </w:p>
    <w:p>
      <w:pPr>
        <w:ind w:right="160" w:firstLine="360"/>
        <w:spacing w:after="0" w:line="271" w:lineRule="auto"/>
        <w:rPr>
          <w:sz w:val="20"/>
          <w:szCs w:val="20"/>
          <w:color w:val="auto"/>
        </w:rPr>
      </w:pPr>
      <w:r>
        <w:rPr>
          <w:rFonts w:ascii="Arial" w:cs="Arial" w:eastAsia="Arial" w:hAnsi="Arial"/>
          <w:sz w:val="17"/>
          <w:szCs w:val="17"/>
          <w:b w:val="1"/>
          <w:bCs w:val="1"/>
          <w:i w:val="1"/>
          <w:iCs w:val="1"/>
          <w:color w:val="auto"/>
        </w:rPr>
        <w:t>Financial Subsidiaries</w:t>
      </w:r>
      <w:r>
        <w:rPr>
          <w:rFonts w:ascii="Arial" w:cs="Arial" w:eastAsia="Arial" w:hAnsi="Arial"/>
          <w:sz w:val="17"/>
          <w:szCs w:val="17"/>
          <w:color w:val="auto"/>
        </w:rPr>
        <w:t>. Under the GLBA, subject to certain conditions imposed by their respective banking regulators,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national 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2018, the Bank did not have any financial subsidiaries.</w:t>
      </w:r>
    </w:p>
    <w:p>
      <w:pPr>
        <w:spacing w:after="0" w:line="70"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i w:val="1"/>
          <w:iCs w:val="1"/>
          <w:color w:val="auto"/>
        </w:rPr>
        <w:t>Loans to Directors, Executive Officers and Principal Shareholders</w:t>
      </w:r>
      <w:r>
        <w:rPr>
          <w:rFonts w:ascii="Arial" w:cs="Arial" w:eastAsia="Arial" w:hAnsi="Arial"/>
          <w:sz w:val="17"/>
          <w:szCs w:val="17"/>
          <w:color w:val="auto"/>
        </w:rPr>
        <w:t>. The authority of the Bank to extend credit to its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officers and principal 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the loans must be made on substantially the same terms, including interest rates and collateral, as prevailing at the time for comparable transactions with persons not affiliated with the Company or the Bank, that the Bank must follow credit underwriting procedures at least as stringent as those applicable to comparable transactions with persons who are not affiliated with the Company or the Bank and that the loans must not involve a greater than normal risk of non-payment or include other features not favorable to the Bank. Furthermore, the Bank must periodically report all loans made to directors and other insiders to the bank regulators. As of December 31, 2018, the Bank’s total amount of lines of credit for loans to insiders and loans outstanding to insiders was $10.0 million.</w:t>
      </w:r>
    </w:p>
    <w:p>
      <w:pPr>
        <w:spacing w:after="0" w:line="74"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b w:val="1"/>
          <w:bCs w:val="1"/>
          <w:i w:val="1"/>
          <w:iCs w:val="1"/>
          <w:color w:val="auto"/>
        </w:rPr>
        <w:t>Limits on Loans to One Borrower</w:t>
      </w:r>
      <w:r>
        <w:rPr>
          <w:rFonts w:ascii="Arial" w:cs="Arial" w:eastAsia="Arial" w:hAnsi="Arial"/>
          <w:sz w:val="18"/>
          <w:szCs w:val="18"/>
          <w:color w:val="auto"/>
        </w:rPr>
        <w:t>. As a Texas banking association, the Bank is subject to limits on the amount of loans it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to one borrower. With 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United States. Certain types of loans are exempted from the lending limits, including loans secured by segregated deposits held by the Bank. The Bank’s legal lending limit to any one borrower was approximately $67.8 million as of December 31, 2018.</w:t>
      </w:r>
    </w:p>
    <w:p>
      <w:pPr>
        <w:spacing w:after="0" w:line="87" w:lineRule="exact"/>
        <w:rPr>
          <w:sz w:val="20"/>
          <w:szCs w:val="20"/>
          <w:color w:val="auto"/>
        </w:rPr>
      </w:pPr>
    </w:p>
    <w:p>
      <w:pPr>
        <w:ind w:right="380" w:firstLine="360"/>
        <w:spacing w:after="0" w:line="327" w:lineRule="auto"/>
        <w:rPr>
          <w:sz w:val="20"/>
          <w:szCs w:val="20"/>
          <w:color w:val="auto"/>
        </w:rPr>
      </w:pPr>
      <w:r>
        <w:rPr>
          <w:rFonts w:ascii="Arial" w:cs="Arial" w:eastAsia="Arial" w:hAnsi="Arial"/>
          <w:sz w:val="15"/>
          <w:szCs w:val="15"/>
          <w:b w:val="1"/>
          <w:bCs w:val="1"/>
          <w:i w:val="1"/>
          <w:iCs w:val="1"/>
          <w:color w:val="auto"/>
        </w:rPr>
        <w:t>Safety and Soundness Standards / Risk Management</w:t>
      </w:r>
      <w:r>
        <w:rPr>
          <w:rFonts w:ascii="Arial" w:cs="Arial" w:eastAsia="Arial" w:hAnsi="Arial"/>
          <w:sz w:val="15"/>
          <w:szCs w:val="15"/>
          <w:color w:val="auto"/>
        </w:rPr>
        <w:t>. The federal banking agencies have adopted guidelines establishing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32"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70"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64" w:lineRule="exact"/>
        <w:rPr>
          <w:sz w:val="20"/>
          <w:szCs w:val="20"/>
          <w:color w:val="auto"/>
        </w:rPr>
      </w:pPr>
    </w:p>
    <w:p>
      <w:pPr>
        <w:ind w:right="180" w:firstLine="360"/>
        <w:spacing w:after="0" w:line="254" w:lineRule="auto"/>
        <w:rPr>
          <w:sz w:val="20"/>
          <w:szCs w:val="20"/>
          <w:color w:val="auto"/>
        </w:rPr>
      </w:pPr>
      <w:r>
        <w:rPr>
          <w:rFonts w:ascii="Arial" w:cs="Arial" w:eastAsia="Arial" w:hAnsi="Arial"/>
          <w:sz w:val="18"/>
          <w:szCs w:val="18"/>
          <w:b w:val="1"/>
          <w:bCs w:val="1"/>
          <w:i w:val="1"/>
          <w:iCs w:val="1"/>
          <w:color w:val="auto"/>
        </w:rPr>
        <w:t>Branching Authority</w:t>
      </w:r>
      <w:r>
        <w:rPr>
          <w:rFonts w:ascii="Arial" w:cs="Arial" w:eastAsia="Arial" w:hAnsi="Arial"/>
          <w:sz w:val="18"/>
          <w:szCs w:val="18"/>
          <w:color w:val="auto"/>
        </w:rPr>
        <w:t>. Deposit-taking banking offices must be approved by the FDIC and, if such office is established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Texas, the TDB, which consider a 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Finally, the Company may also establish banking offices in other states by merging with banks or by purchasing banking offices of other banks in other states, subject to certain restrictions.</w:t>
      </w:r>
    </w:p>
    <w:p>
      <w:pPr>
        <w:spacing w:after="0" w:line="87" w:lineRule="exact"/>
        <w:rPr>
          <w:sz w:val="20"/>
          <w:szCs w:val="20"/>
          <w:color w:val="auto"/>
        </w:rPr>
      </w:pPr>
    </w:p>
    <w:p>
      <w:pPr>
        <w:ind w:right="220" w:firstLine="360"/>
        <w:spacing w:after="0" w:line="263" w:lineRule="auto"/>
        <w:rPr>
          <w:sz w:val="20"/>
          <w:szCs w:val="20"/>
          <w:color w:val="auto"/>
        </w:rPr>
      </w:pPr>
      <w:r>
        <w:rPr>
          <w:rFonts w:ascii="Arial" w:cs="Arial" w:eastAsia="Arial" w:hAnsi="Arial"/>
          <w:sz w:val="18"/>
          <w:szCs w:val="18"/>
          <w:b w:val="1"/>
          <w:bCs w:val="1"/>
          <w:i w:val="1"/>
          <w:iCs w:val="1"/>
          <w:color w:val="auto"/>
        </w:rPr>
        <w:t>Interstate Deposit Restrictions</w:t>
      </w:r>
      <w:r>
        <w:rPr>
          <w:rFonts w:ascii="Arial" w:cs="Arial" w:eastAsia="Arial" w:hAnsi="Arial"/>
          <w:sz w:val="18"/>
          <w:szCs w:val="18"/>
          <w:color w:val="auto"/>
        </w:rPr>
        <w:t>. The Interstate Act, together with the Dodd-Frank Act, relaxed prior branching restrictions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federal law by permitting, subject to regulatory approval, banks to establish branches in states where the laws permit banks chartered in such states to establish branches.</w:t>
      </w:r>
    </w:p>
    <w:p>
      <w:pPr>
        <w:spacing w:after="0" w:line="76"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spacing w:after="0" w:line="5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For purposes of Section 109, the Bank’s home state is Texas and the Bank operates branches in one host state: New Mexico. The most recently published host state loan-to-deposit ratio using data as of June 30, 2017 reflects a statewide loan-to-deposit ratio in New Mexico of 62%. As of December 31, 2018, the Bank’s statewide loan-to-deposit ratio in New Mexico was 34%. Accordingly, management believes that the Bank is in compliance with Section 109 in New Mexico after application of the first step of the two-step test.</w:t>
      </w:r>
    </w:p>
    <w:p>
      <w:pPr>
        <w:spacing w:after="0" w:line="8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b w:val="1"/>
          <w:bCs w:val="1"/>
          <w:i w:val="1"/>
          <w:iCs w:val="1"/>
          <w:color w:val="auto"/>
        </w:rPr>
        <w:t>Community Reinvestment Act</w:t>
      </w:r>
      <w:r>
        <w:rPr>
          <w:rFonts w:ascii="Arial" w:cs="Arial" w:eastAsia="Arial" w:hAnsi="Arial"/>
          <w:sz w:val="18"/>
          <w:szCs w:val="18"/>
          <w:color w:val="auto"/>
        </w:rPr>
        <w:t>. The CRA is intended to encourage insured depository institutions, while operating safely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76"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auto"/>
        </w:rPr>
        <w:t>The federal banking agencies have adopted regulations which measure a bank’s compliance with its CRA obligations on a performance 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68"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b w:val="1"/>
          <w:bCs w:val="1"/>
          <w:i w:val="1"/>
          <w:iCs w:val="1"/>
          <w:color w:val="auto"/>
        </w:rPr>
        <w:t>Anti-Money Laundering and the Office of Foreign Assets Control Regulation</w:t>
      </w:r>
      <w:r>
        <w:rPr>
          <w:rFonts w:ascii="Arial" w:cs="Arial" w:eastAsia="Arial" w:hAnsi="Arial"/>
          <w:sz w:val="17"/>
          <w:szCs w:val="17"/>
          <w:color w:val="auto"/>
        </w:rPr>
        <w:t>. The USA PATRIOT Act is designed to deny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terrorists and criminals the ability to obtain access to the U.S. financial system and has significant implications for depository institutions, brokers, dealers and other businesses involved in the transfer of money. The USA PATRIOT Act substantially broadened the scope of United States AML laws and regulations by imposing significant compliance and due diligence obligations, created new crimes and penalties and expanded the extra territorial jurisdiction of the United States.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spacing w:after="0" w:line="74"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Among other requirements, the USA PATRIOT Act and implementing regulations require banks to establish AML programs that include, at a minimum:</w:t>
      </w:r>
    </w:p>
    <w:p>
      <w:pPr>
        <w:spacing w:after="0" w:line="62" w:lineRule="exact"/>
        <w:rPr>
          <w:sz w:val="20"/>
          <w:szCs w:val="20"/>
          <w:color w:val="auto"/>
        </w:rPr>
      </w:pPr>
    </w:p>
    <w:p>
      <w:pPr>
        <w:ind w:left="700" w:right="500" w:hanging="344"/>
        <w:spacing w:after="0" w:line="277"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internal policies, procedures and controls designed to implement and maintain the bank’s compliance with all of the requirements of the USA PATRIOT Act, the BSA and related laws and regulations;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systems and procedures for monitoring and reporting suspicious transactions and activities;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designated compliance officer;</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employee training;</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independent audit function to test the AML program;</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procedures to verify the identity of each customer upon the opening of accounts;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heightened due diligence policies, procedures and controls applicable to certain foreign accounts and relationships.</w:t>
      </w:r>
    </w:p>
    <w:p>
      <w:pPr>
        <w:spacing w:after="0" w:line="129"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Additionally, the USA PATRIOT Act requires each financial institution to develop a customer identification program, or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 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Likewise,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blocking accounts of, and transactions with, such targets and countries, prohibiting unlicensed trade and financial transactions with them and reporting blocked transactions after their occurrence.</w:t>
      </w:r>
    </w:p>
    <w:p>
      <w:pPr>
        <w:spacing w:after="0" w:line="8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Failure of a financial institution to maintain and implement adequate AML and OFAC programs, or to comply with all of the relevant laws or regulations, could have serious legal and reputational consequences for the institution.</w:t>
      </w:r>
    </w:p>
    <w:p>
      <w:pPr>
        <w:spacing w:after="0" w:line="62"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b w:val="1"/>
          <w:bCs w:val="1"/>
          <w:i w:val="1"/>
          <w:iCs w:val="1"/>
          <w:color w:val="auto"/>
        </w:rPr>
        <w:t>Concentrations in Commercial Real Estate</w:t>
      </w:r>
      <w:r>
        <w:rPr>
          <w:rFonts w:ascii="Arial" w:cs="Arial" w:eastAsia="Arial" w:hAnsi="Arial"/>
          <w:sz w:val="16"/>
          <w:szCs w:val="16"/>
          <w:color w:val="auto"/>
        </w:rPr>
        <w:t>. The federal banking agencies have promulgated guidance governing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institutions with concentrations in 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 the federal banking agencies jointly issued a “statement on prudent risk management for commercial real estate lending”. As of December 31, 2018, the Company did not exceed the levels to be considered to have a concentration in commercial real estate lending and believes its credit administration to be consistent with the recently published policy statement.</w:t>
      </w:r>
    </w:p>
    <w:p>
      <w:pPr>
        <w:spacing w:after="0" w:line="66" w:lineRule="exact"/>
        <w:rPr>
          <w:sz w:val="20"/>
          <w:szCs w:val="20"/>
          <w:color w:val="auto"/>
        </w:rPr>
      </w:pPr>
    </w:p>
    <w:p>
      <w:pPr>
        <w:ind w:right="380" w:firstLine="360"/>
        <w:spacing w:after="0" w:line="301" w:lineRule="auto"/>
        <w:rPr>
          <w:sz w:val="20"/>
          <w:szCs w:val="20"/>
          <w:color w:val="auto"/>
        </w:rPr>
      </w:pPr>
      <w:r>
        <w:rPr>
          <w:rFonts w:ascii="Arial" w:cs="Arial" w:eastAsia="Arial" w:hAnsi="Arial"/>
          <w:sz w:val="16"/>
          <w:szCs w:val="16"/>
          <w:color w:val="auto"/>
        </w:rPr>
        <w:t>The Basel III Capital Rules also require loans categorized as “high-volatility commercial real estate,” or HVCRE, to be assigned a 150% risk weighting and require additional capital support. However, the EGRRCPA, signed into law in May 2018, prohibits federal banking regulators from imposing higher capital standards on HVCRE exposures unless they are for ADC and clarifying ADC status. As of December 31, 2018, we had $221.7 million in ADC loans and $4.7 million in HVCRE loans.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Financial Services</w:t>
      </w:r>
    </w:p>
    <w:p>
      <w:pPr>
        <w:spacing w:after="0" w:line="121"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We are subject to a number of federal and state consumer protection laws that extensively govern our relationship with our customers. These laws include ECOA, the Fair Credit Reporting Act, the Truth in Lending Act, the Truth in Savings Act, the Electronic Fund Transfer Act, the Expedited Funds Availability Act, the Home Mortgage Disclosure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spacing w:after="0" w:line="74"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Rulemaking authority for most federal consumer protection laws was transferred from the prudential regulators to the CFPB on July 21, 2011. In some cases, regulators such as the Federal Trade Commission and the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spacing w:after="0" w:line="56"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w:t>
      </w:r>
    </w:p>
    <w:p>
      <w:pPr>
        <w:spacing w:after="0" w:line="76"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16"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i w:val="1"/>
          <w:iCs w:val="1"/>
          <w:color w:val="auto"/>
        </w:rPr>
        <w:t>Mortgage and Mortgage-Related Products, Generally</w:t>
      </w:r>
      <w:r>
        <w:rPr>
          <w:rFonts w:ascii="Arial" w:cs="Arial" w:eastAsia="Arial" w:hAnsi="Arial"/>
          <w:sz w:val="17"/>
          <w:szCs w:val="17"/>
          <w:color w:val="auto"/>
        </w:rPr>
        <w:t>. Because abuses in connection with home mortgages were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factor contributing to the 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spacing w:after="0" w:line="74"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i w:val="1"/>
          <w:iCs w:val="1"/>
          <w:color w:val="auto"/>
        </w:rPr>
        <w:t>Ability-to-Repay Requirement and Qualified Mortgage Rule</w:t>
      </w:r>
      <w:r>
        <w:rPr>
          <w:rFonts w:ascii="Arial" w:cs="Arial" w:eastAsia="Arial" w:hAnsi="Arial"/>
          <w:sz w:val="17"/>
          <w:szCs w:val="17"/>
          <w:color w:val="auto"/>
        </w:rPr>
        <w:t>. In January 2013, the CFPB issued a final rule implementing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Dodd-Frank Act’s 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 (iv) monthly payment on any simultaneous loan; (v) monthly payment for all mortgage-related obligations; (vi) current debt obligations, alimony, and child support; (vii) monthly debt-to-income ratio or residual income; and (viii) 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Guidance</w:t>
      </w:r>
    </w:p>
    <w:p>
      <w:pPr>
        <w:spacing w:after="0" w:line="121"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 Although the federal bank regulatory agencies proposed additional rules in 2016 related to incentive compensation for all banks with more than $1.0 billion in assets, those rules have not yet been finalized. The scope and content of the U.S. banking regulators’ policies on executive compensation are continuing to develop and are likely to continue evolving in the near future.</w:t>
      </w:r>
    </w:p>
    <w:p>
      <w:pPr>
        <w:spacing w:after="0" w:line="74"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Although we will be exempt from these requirements while we are an emerging growth company,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 In addition, the Dodd-Frank Act requires the SEC to adopt rules requiring all exchange-traded companies to adopt claw-back policies for incentive compensation paid to executive officers in the event of accounting restatements based on material non-compliance with financial reporting requirements. Those rules, however, have not yet been finalized. The scope and content of the U.S. banking regulators’ policies on executive compensation are continuing to develop and are likely to continue evolving in the near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Privacy</w:t>
      </w:r>
    </w:p>
    <w:p>
      <w:pPr>
        <w:spacing w:after="0" w:line="121"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Monetary Policy</w:t>
      </w:r>
    </w:p>
    <w:p>
      <w:pPr>
        <w:spacing w:after="0" w:line="121" w:lineRule="exact"/>
        <w:rPr>
          <w:sz w:val="20"/>
          <w:szCs w:val="20"/>
          <w:color w:val="auto"/>
        </w:rPr>
      </w:pPr>
    </w:p>
    <w:p>
      <w:pPr>
        <w:ind w:right="340" w:firstLine="360"/>
        <w:spacing w:after="0" w:line="296" w:lineRule="auto"/>
        <w:rPr>
          <w:sz w:val="20"/>
          <w:szCs w:val="20"/>
          <w:color w:val="auto"/>
        </w:rPr>
      </w:pPr>
      <w:r>
        <w:rPr>
          <w:rFonts w:ascii="Arial" w:cs="Arial" w:eastAsia="Arial" w:hAnsi="Arial"/>
          <w:sz w:val="16"/>
          <w:szCs w:val="16"/>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Banking Reform Legislation</w:t>
      </w:r>
    </w:p>
    <w:p>
      <w:pPr>
        <w:spacing w:after="0" w:line="121"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color w:val="auto"/>
        </w:rPr>
        <w:t>The EGRRCPA directs the federal banking agencies to develop a specified Community Bank Leverage Ratio (i.e., the ratio of a bank’s equity capital to its consolidated assets) of not less than 8% and not more than 10%. Banks and bank holding companies with less than $10 billion in total assets that maintain capital in excess of this ratio will be deemed to be in compliance with all other capital and leverage requirements. Federal banking agencies may consider a company’s risk profile when evaluating whether it qualifies as a community bank for purposes of the Community Bank Leverage Ratio.</w:t>
      </w:r>
    </w:p>
    <w:p>
      <w:pPr>
        <w:spacing w:after="0" w:line="68"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Other key provisions of the EGRRCPA as it relates to community banks and bank holding companies include, but are not limited to: (i) designating mortgages held in portfolio as “qualified mortgages” for banks with less than $10 billion in assets, subject to certain documentation and product limitations; (ii) exempting banks with less than $10 billion in assets (and total trading assets and trading liabilities of 5% or less of total assets) from Volcker Rule requirements relating to proprietary trading; (iii) simplifying capital calculations for banks with less than $10 billion in assets by requiring federal banking agencies to establish a community bank leverage ratio of tangible equity to average consolidated assets of not less than 8% or more than 10%, and provide that banks that maintain tangible equity in excess of such ratio will be deemed to be in compliance with risk-based capital and leverage requirements; (iv) assisting smaller banks with obtaining stable funding by providing an exception for reciprocal deposits from FDIC restrictions on acceptance of brokered deposits; (v) raising the eligibility for use of short-form Call Reports from $1 billion to $5 billion in assets; (vi) clarifying definitions pertaining to HVCRE, which require higher capital allocations, so that only loans with increased risk are subject to higher risk weightings; and (vii) changing the eligibility for use of the small bank holding company policy statement from institutions with under $1 billion in assets to institutions with under $3 billion in assets.</w:t>
      </w:r>
    </w:p>
    <w:p>
      <w:pPr>
        <w:spacing w:after="0" w:line="60"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At this time, it is difficult to anticipate the continued impact this expansive legislation will have on the Company, its customers and the financial industry generally. To the extent the Dodd-Frank Act remains in place or is not further amended, it is likely to continue to increase the Company’s cost of doing business, limit the Bank’s permissible activities, and affect the competitive balance within the industry and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Pending and Proposed Legislation</w:t>
      </w:r>
    </w:p>
    <w:p>
      <w:pPr>
        <w:spacing w:after="0" w:line="121"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6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Although the majority of the Dodd-Frank Act’s rulemaking requirements have been met with finalized rules, approximately one-fifth of the rulemaking requirements are either still in the proposal stage or have not yet been proposed. On February 2, 2017, the President signed an executive order calling for the administration to review various U.S. financial laws and regulations. The full scope of the current administration’s legislative and regulatory agenda is not yet fully known, but it may include further deregulatory measures for the banking industry, including the structure and powers of the CFPB and other areas under the Dodd-Frank Act.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80" w:firstLine="360"/>
        <w:spacing w:after="0" w:line="329" w:lineRule="auto"/>
        <w:rPr>
          <w:sz w:val="20"/>
          <w:szCs w:val="20"/>
          <w:color w:val="auto"/>
        </w:rPr>
      </w:pPr>
      <w:r>
        <w:rPr>
          <w:rFonts w:ascii="Arial" w:cs="Arial" w:eastAsia="Arial" w:hAnsi="Arial"/>
          <w:sz w:val="16"/>
          <w:szCs w:val="16"/>
          <w:color w:val="auto"/>
        </w:rPr>
        <w:t>The table below provides information about our executive officers and directors. Our board of directors is divided into three classes, the terms of which expire at our annual shareholders’ meeting in 2020, 2021, and 2022. Ages are as of December 31, 2018.</w:t>
      </w: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r>
      <w:tr>
        <w:trPr>
          <w:trHeight w:val="162"/>
        </w:trPr>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r>
      <w:tr>
        <w:trPr>
          <w:trHeight w:val="162"/>
        </w:trPr>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Until /</w:t>
            </w:r>
          </w:p>
        </w:tc>
      </w:tr>
      <w:tr>
        <w:trPr>
          <w:trHeight w:val="171"/>
        </w:trPr>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40" w:type="dxa"/>
            <w:vAlign w:val="bottom"/>
          </w:tcPr>
          <w:p>
            <w:pPr>
              <w:spacing w:after="0"/>
              <w:rPr>
                <w:sz w:val="14"/>
                <w:szCs w:val="14"/>
                <w:color w:val="auto"/>
              </w:rPr>
            </w:pPr>
          </w:p>
        </w:tc>
        <w:tc>
          <w:tcPr>
            <w:tcW w:w="29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Position with the Company</w:t>
            </w:r>
          </w:p>
        </w:tc>
        <w:tc>
          <w:tcPr>
            <w:tcW w:w="20" w:type="dxa"/>
            <w:vAlign w:val="bottom"/>
          </w:tcPr>
          <w:p>
            <w:pPr>
              <w:spacing w:after="0"/>
              <w:rPr>
                <w:sz w:val="14"/>
                <w:szCs w:val="14"/>
                <w:color w:val="auto"/>
              </w:rPr>
            </w:pPr>
          </w:p>
        </w:tc>
        <w:tc>
          <w:tcPr>
            <w:tcW w:w="27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Position with the Bank</w:t>
            </w:r>
          </w:p>
        </w:tc>
        <w:tc>
          <w:tcPr>
            <w:tcW w:w="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Since</w:t>
            </w:r>
          </w:p>
        </w:tc>
        <w:tc>
          <w:tcPr>
            <w:tcW w:w="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Curtis C. Griffith</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66</w:t>
            </w:r>
          </w:p>
        </w:tc>
        <w:tc>
          <w:tcPr>
            <w:tcW w:w="4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Chairman of the Board; Chief</w:t>
            </w:r>
          </w:p>
        </w:tc>
        <w:tc>
          <w:tcPr>
            <w:tcW w:w="2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1972</w:t>
            </w:r>
          </w:p>
        </w:tc>
        <w:tc>
          <w:tcPr>
            <w:tcW w:w="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2022 / III</w:t>
            </w:r>
          </w:p>
        </w:tc>
      </w:tr>
      <w:tr>
        <w:trPr>
          <w:trHeight w:val="230"/>
        </w:trPr>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Executive Officer</w:t>
            </w:r>
          </w:p>
        </w:tc>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1820" w:type="dxa"/>
            <w:vAlign w:val="bottom"/>
          </w:tcPr>
          <w:p>
            <w:pPr>
              <w:spacing w:after="0"/>
              <w:rPr>
                <w:sz w:val="20"/>
                <w:szCs w:val="20"/>
                <w:color w:val="auto"/>
              </w:rPr>
            </w:pPr>
            <w:r>
              <w:rPr>
                <w:rFonts w:ascii="Arial" w:cs="Arial" w:eastAsia="Arial" w:hAnsi="Arial"/>
                <w:sz w:val="18"/>
                <w:szCs w:val="18"/>
                <w:color w:val="auto"/>
              </w:rPr>
              <w:t>Cory T. Newsom</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51</w:t>
            </w:r>
          </w:p>
        </w:tc>
        <w:tc>
          <w:tcPr>
            <w:tcW w:w="4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Director; President</w:t>
            </w:r>
          </w:p>
        </w:tc>
        <w:tc>
          <w:tcPr>
            <w:tcW w:w="2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 President; Chief</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2008</w:t>
            </w:r>
          </w:p>
        </w:tc>
        <w:tc>
          <w:tcPr>
            <w:tcW w:w="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2021 / II</w:t>
            </w:r>
          </w:p>
        </w:tc>
      </w:tr>
      <w:tr>
        <w:trPr>
          <w:trHeight w:val="230"/>
        </w:trPr>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Executive Officer</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Steven B. Crockett</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c>
          <w:tcPr>
            <w:tcW w:w="4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Chief Financial Officer; Treasurer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Kevin R. Bass</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52</w:t>
            </w:r>
          </w:p>
        </w:tc>
        <w:tc>
          <w:tcPr>
            <w:tcW w:w="4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Chief Credit Officer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 Chief Credit Officer</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Mikella D. Newsom</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44</w:t>
            </w:r>
          </w:p>
        </w:tc>
        <w:tc>
          <w:tcPr>
            <w:tcW w:w="4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Chief Risk Officer; Secretary</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Chief Risk Officer</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1820" w:type="dxa"/>
            <w:vAlign w:val="bottom"/>
          </w:tcPr>
          <w:p>
            <w:pPr>
              <w:spacing w:after="0"/>
              <w:rPr>
                <w:sz w:val="20"/>
                <w:szCs w:val="20"/>
                <w:color w:val="auto"/>
              </w:rPr>
            </w:pPr>
            <w:r>
              <w:rPr>
                <w:rFonts w:ascii="Arial" w:cs="Arial" w:eastAsia="Arial" w:hAnsi="Arial"/>
                <w:sz w:val="18"/>
                <w:szCs w:val="18"/>
                <w:color w:val="auto"/>
              </w:rPr>
              <w:t>Kelly L. Deterding</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Senior Vice President, Insurance</w:t>
            </w: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Richard D. Campbell</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2011</w:t>
            </w:r>
          </w:p>
        </w:tc>
        <w:tc>
          <w:tcPr>
            <w:tcW w:w="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2020 / I</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Cynthia B. Keith</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2020 / I</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Allison S. Navitskas</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43</w:t>
            </w:r>
          </w:p>
        </w:tc>
        <w:tc>
          <w:tcPr>
            <w:tcW w:w="4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2021 / II</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Noe G. Valles</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52</w:t>
            </w:r>
          </w:p>
        </w:tc>
        <w:tc>
          <w:tcPr>
            <w:tcW w:w="4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2019</w:t>
            </w:r>
          </w:p>
        </w:tc>
        <w:tc>
          <w:tcPr>
            <w:tcW w:w="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2021 / II</w:t>
            </w:r>
          </w:p>
        </w:tc>
      </w:t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Kyle R. Wargo</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89"/>
              </w:rPr>
              <w:t>58</w:t>
            </w:r>
          </w:p>
        </w:tc>
        <w:tc>
          <w:tcPr>
            <w:tcW w:w="40" w:type="dxa"/>
            <w:vAlign w:val="bottom"/>
          </w:tcPr>
          <w:p>
            <w:pPr>
              <w:spacing w:after="0"/>
              <w:rPr>
                <w:sz w:val="21"/>
                <w:szCs w:val="21"/>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2016</w:t>
            </w:r>
          </w:p>
        </w:tc>
        <w:tc>
          <w:tcPr>
            <w:tcW w:w="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2022 / III</w:t>
            </w:r>
          </w:p>
        </w:tc>
      </w:tr>
    </w:tbl>
    <w:p>
      <w:pPr>
        <w:spacing w:after="0" w:line="107"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The following is a brief discussion of the business and banking background and experience of our directors and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i w:val="1"/>
          <w:iCs w:val="1"/>
          <w:color w:val="auto"/>
        </w:rPr>
        <w:t>Curtis C. Griffith – Chairman and Chief Executive Officer</w:t>
      </w:r>
      <w:r>
        <w:rPr>
          <w:rFonts w:ascii="Arial" w:cs="Arial" w:eastAsia="Arial" w:hAnsi="Arial"/>
          <w:sz w:val="16"/>
          <w:szCs w:val="16"/>
          <w:color w:val="auto"/>
        </w:rPr>
        <w:t>. Mr. Griffith has been with the Company since its inception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worked with the Bank and its predecessor institutions for over 47 years. Mr. Griffith became our Chairman and President in 1993, with his title shifting to Chairman and Chief Executive Officer earlier this year in connection with a general update of our executive team's titles. Mr. Griffith has also served as Chairman of the Bank since 1984. In 1972, he was elected to the board of directors of First State Bank of Morton, Texas, a predecessor institution to the Bank, and continues to serve on the board of directors of the Bank. Mr. Griffith also served as Vice President of the Bank beginning in 1979.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Texas Tech University Foundation, Lubbock Symphony Orchestra, Texas Tech Cotton Economics Advisory Committee, and the Bayer Museum of Agriculture. He currently serves on the Board of Managers of University Medical Center in Lubbock.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spacing w:after="0" w:line="63"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i w:val="1"/>
          <w:iCs w:val="1"/>
          <w:color w:val="auto"/>
        </w:rPr>
        <w:t>Cory T. Newsom – Director and President</w:t>
      </w:r>
      <w:r>
        <w:rPr>
          <w:rFonts w:ascii="Arial" w:cs="Arial" w:eastAsia="Arial" w:hAnsi="Arial"/>
          <w:sz w:val="16"/>
          <w:szCs w:val="16"/>
          <w:color w:val="auto"/>
        </w:rPr>
        <w:t>. Mr. Newsom was named President of the Company earlier this year and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36-year career in banking by progressing through the retail and operations areas. He currently serves on the board of directors of IBAT, Lubbock Children’s Home Foundation and the University Medical Center Foundation and has previously served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 of directors.</w:t>
      </w:r>
    </w:p>
    <w:p>
      <w:pPr>
        <w:spacing w:after="0" w:line="79"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i w:val="1"/>
          <w:iCs w:val="1"/>
          <w:color w:val="auto"/>
        </w:rPr>
        <w:t>Steven B. Crockett – Chief Financial Officer and Treasurer</w:t>
      </w:r>
      <w:r>
        <w:rPr>
          <w:rFonts w:ascii="Arial" w:cs="Arial" w:eastAsia="Arial" w:hAnsi="Arial"/>
          <w:sz w:val="17"/>
          <w:szCs w:val="17"/>
          <w:color w:val="auto"/>
        </w:rPr>
        <w:t>. Mr. Crockett has served as Chief Financial Officer and Treasurer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and as Chief Financial Officer of the Bank since 2015. He served as Senior Vice President and Controller of the Company from 2010 to 2014 and as Controller of the Bank from 2001 to 2014. Mr. Crockett began his career in public accounting in 1994, working for seven years with the Lubbock accounting firm Robinson Burdette Martin &amp; Cowan, LLP, which previously functioned as a practicing office of PricewaterhouseCoopers, LLP. As Controller of the Company and the Bank, he was responsible for financial and regulatory reporting, coordinating financial statement audits, budgeting, capital forecasting, and financial projections. He currently serves on the Board of Trustees for Lubbock Christian University. Mr. Crockett earned a degree in accounting from Abilene Christian University and is a licensed Certified Public Accountant.</w:t>
      </w:r>
    </w:p>
    <w:p>
      <w:pPr>
        <w:spacing w:after="0" w:line="70"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i w:val="1"/>
          <w:iCs w:val="1"/>
          <w:color w:val="auto"/>
        </w:rPr>
        <w:t>Kevin R. Bass – Chief Credit Officer</w:t>
      </w:r>
      <w:r>
        <w:rPr>
          <w:rFonts w:ascii="Arial" w:cs="Arial" w:eastAsia="Arial" w:hAnsi="Arial"/>
          <w:sz w:val="16"/>
          <w:szCs w:val="16"/>
          <w:color w:val="auto"/>
        </w:rPr>
        <w:t>. Mr. Bass was named Chief Credit Officer of the Company earlier this year and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Chief Credit Officer of the Bank since 2012. He has also served on the board of directors of the Bank since 2006 and served on the board of directors of the Company from 2010 to 2019. Mr. Bass began his 31-year career in banking as a credit analyst with American Bank of Haltom City before serving as a bank regulator with the Texas Department of Banking for four years. He started his career at the Bank in 1995 as an asset review officer. Mr. Bass earned his degree in finance from McMurry University in 1988, and he currently serves as a board member for the Johnson School of Business at McMurry University.</w:t>
      </w:r>
    </w:p>
    <w:p>
      <w:pPr>
        <w:spacing w:after="0" w:line="56" w:lineRule="exact"/>
        <w:rPr>
          <w:sz w:val="20"/>
          <w:szCs w:val="20"/>
          <w:color w:val="auto"/>
        </w:rPr>
      </w:pPr>
    </w:p>
    <w:p>
      <w:pPr>
        <w:ind w:right="180" w:firstLine="360"/>
        <w:spacing w:after="0" w:line="290" w:lineRule="auto"/>
        <w:rPr>
          <w:sz w:val="20"/>
          <w:szCs w:val="20"/>
          <w:color w:val="auto"/>
        </w:rPr>
      </w:pPr>
      <w:r>
        <w:rPr>
          <w:rFonts w:ascii="Arial" w:cs="Arial" w:eastAsia="Arial" w:hAnsi="Arial"/>
          <w:sz w:val="16"/>
          <w:szCs w:val="16"/>
          <w:i w:val="1"/>
          <w:iCs w:val="1"/>
          <w:color w:val="auto"/>
        </w:rPr>
        <w:t>Mikella D. Newsom – Chief Risk Officer and Secretary</w:t>
      </w:r>
      <w:r>
        <w:rPr>
          <w:rFonts w:ascii="Arial" w:cs="Arial" w:eastAsia="Arial" w:hAnsi="Arial"/>
          <w:sz w:val="16"/>
          <w:szCs w:val="16"/>
          <w:color w:val="auto"/>
        </w:rPr>
        <w:t>. Ms. Newsom was named Chief Risk Officer of the Company earlier</w:t>
      </w:r>
      <w:r>
        <w:rPr>
          <w:rFonts w:ascii="Arial" w:cs="Arial" w:eastAsia="Arial" w:hAnsi="Arial"/>
          <w:sz w:val="16"/>
          <w:szCs w:val="16"/>
          <w:i w:val="1"/>
          <w:iCs w:val="1"/>
          <w:color w:val="auto"/>
        </w:rPr>
        <w:t xml:space="preserve"> </w:t>
      </w:r>
      <w:r>
        <w:rPr>
          <w:rFonts w:ascii="Arial" w:cs="Arial" w:eastAsia="Arial" w:hAnsi="Arial"/>
          <w:sz w:val="16"/>
          <w:szCs w:val="16"/>
          <w:color w:val="auto"/>
        </w:rPr>
        <w:t>this year and has served as Secretary of the Company since 2013. She previously served in a number of other capacities at the Company since 2013, including Senior Vice President, Chief Financial Officer, and Treasurer through 2015. She has a 23-year banking career and has served as Chief Risk Officer of the Bank since 2015 and previously held the positions of Senior Vice President and Chief Financial Officer of the Bank. She is a member of the Risk Management Association and the Texas Bankers Association where she serves on the Chief Risk Officer steering committee. She currently serves on the Board of Trustees for Frenship Independent School District and the board of directors of the Frenship Foundation for Leadership. Ms. Newsom earned a Bachelor of Science degree in agricultural economics from Texas Tech University in 1996.</w:t>
      </w:r>
    </w:p>
    <w:p>
      <w:pPr>
        <w:spacing w:after="0" w:line="5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Kelly L. Deterding – President of Windmark Insurance and Senior Vice President, Insurance Development of City Bank</w:t>
      </w:r>
      <w:r>
        <w:rPr>
          <w:rFonts w:ascii="Arial" w:cs="Arial" w:eastAsia="Arial" w:hAnsi="Arial"/>
          <w:sz w:val="17"/>
          <w:szCs w:val="17"/>
          <w:color w:val="auto"/>
        </w:rPr>
        <w:t>. Mr.</w:t>
      </w:r>
      <w:r>
        <w:rPr>
          <w:rFonts w:ascii="Arial" w:cs="Arial" w:eastAsia="Arial" w:hAnsi="Arial"/>
          <w:sz w:val="17"/>
          <w:szCs w:val="17"/>
          <w:i w:val="1"/>
          <w:iCs w:val="1"/>
          <w:color w:val="auto"/>
        </w:rPr>
        <w:t xml:space="preserve"> </w:t>
      </w:r>
      <w:r>
        <w:rPr>
          <w:rFonts w:ascii="Arial" w:cs="Arial" w:eastAsia="Arial" w:hAnsi="Arial"/>
          <w:sz w:val="17"/>
          <w:szCs w:val="17"/>
          <w:color w:val="auto"/>
        </w:rPr>
        <w:t>Deterding has served as President of Windmark Insurance and as Senior Vice President of Insurance Development at the Bank since he joined us in 2003. He has been involved in the crop insurance industry since 1996, serving as an adjuster, a claims supervisor and a marketing representative for American Agrisurance until 2002. Mr. Deterding has served on the board of directors of several civic, church and charitable organizations including the Calvary Lutheran Church, Chief Creek Chapter Ducks Unlimited, the Wray Recreational Activities Center, Eastern Yuma County Historical Society, the Colorado Football Officials Association and the Big 12 Football Officials Association. Mr. Deterding is also involved in several U.S. industry trade associations that provide experienced representation of its members, advising on federal legislation and regulatory issues impacting the private sector crop insurance industry. Those associations include the Crop Insurance Professionals of America and the American Association of Crop Insurers, or AACI. He currently serves on the board of directors for AACI and as the Chairman of the Agent Division of AACI. Mr. Deterding earned a Bachelor of Arts degree from Hastings College in 1980.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i w:val="1"/>
          <w:iCs w:val="1"/>
          <w:color w:val="auto"/>
        </w:rPr>
        <w:t>Richard “Danny” Campbell</w:t>
      </w:r>
      <w:r>
        <w:rPr>
          <w:rFonts w:ascii="Arial" w:cs="Arial" w:eastAsia="Arial" w:hAnsi="Arial"/>
          <w:sz w:val="17"/>
          <w:szCs w:val="17"/>
          <w:color w:val="auto"/>
        </w:rPr>
        <w:t>. Mr. Campbell serves as the Lead Independent Director on the board of directors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served on the board of directors of each of the Company and the 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He served as Executive Vice President and as a member of the board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60"/>
        <w:spacing w:after="0" w:line="293" w:lineRule="auto"/>
        <w:rPr>
          <w:sz w:val="20"/>
          <w:szCs w:val="20"/>
          <w:color w:val="auto"/>
        </w:rPr>
      </w:pPr>
      <w:r>
        <w:rPr>
          <w:rFonts w:ascii="Arial" w:cs="Arial" w:eastAsia="Arial" w:hAnsi="Arial"/>
          <w:sz w:val="16"/>
          <w:szCs w:val="16"/>
          <w:color w:val="auto"/>
        </w:rPr>
        <w:t>directors of Community National Bank in 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of directors.</w:t>
      </w:r>
    </w:p>
    <w:p>
      <w:pPr>
        <w:spacing w:after="0" w:line="56"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i w:val="1"/>
          <w:iCs w:val="1"/>
          <w:color w:val="auto"/>
        </w:rPr>
        <w:t xml:space="preserve">Cynthia B. “Cindi” Keith. </w:t>
      </w:r>
      <w:r>
        <w:rPr>
          <w:rFonts w:ascii="Arial" w:cs="Arial" w:eastAsia="Arial" w:hAnsi="Arial"/>
          <w:sz w:val="17"/>
          <w:szCs w:val="17"/>
          <w:color w:val="auto"/>
        </w:rPr>
        <w:t>Ms. Keith joined the board of directors of the Company earlier this year and has served on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of the Bank since 2016. She enjoyed a 25 year career with PricewaterhouseCoopers, LLP, the world's largest multinational professional services firm. She joined the firm in 1989 and became a partner in 2000. Throughout her career, she specialized in audits of and consulting with technology and communications clients, including global public companies focused on mergers and acquisitions as well as companies in various stages of growth. From 2010 to her retirement in 2014, Ms. Keith served as Operations Leader for the National Professional Services Group of PricewaterhouseCoopers, LLP, and she previously served as North Texas Technology Team Leader from 2002 to 2010. Since early 2018, she has served on the board of directors and audit committee of PCTEL, Inc., a publicly traded company that provides technology solutions to the wireless industry. Ms. Keith holds a degree from the University of Texas at Dallas, is a Certified Public Accountant and has served on the Entrepreneurs for North Texas Board, University of Texas at Dallas Jindal School of Management Advisory Council, the Greater Dallas Chamber Board and the Metroplex Technology Business Council Board of Directors. The depth and breadth of Ms. Keith's 25 years of experience as a CPA serving various companies, as well as her leadership positions with PricewaterhouseCoopers, LLP, qualify her to serve on the our board of directors.</w:t>
      </w:r>
    </w:p>
    <w:p>
      <w:pPr>
        <w:spacing w:after="0" w:line="78"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i w:val="1"/>
          <w:iCs w:val="1"/>
          <w:color w:val="auto"/>
        </w:rPr>
        <w:t>Allison S. Navitskas</w:t>
      </w:r>
      <w:r>
        <w:rPr>
          <w:rFonts w:ascii="Arial" w:cs="Arial" w:eastAsia="Arial" w:hAnsi="Arial"/>
          <w:sz w:val="17"/>
          <w:szCs w:val="17"/>
          <w:color w:val="auto"/>
        </w:rPr>
        <w:t>. Ms. Navitskas joined the board of directors of each of the Company and the Bank earlier this year. She</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served as Managing Director, Global Business Development and Strategy, for Lone Star Funds, or Lone Star, a global private equity fund investing in debt and equity, a position she held until 2018. Ms. Navitskas continues to provide consulting services to Hudson Advisors L.P., or Hudson, an affiliate of Lone Star. Ms. Navitskas was a Managing Director with Hudson serving in a variety of roles including Head of Asset Management for LStar Capital, a corporate direct lending platform. During her time at Hudson, which began in 2012, Ms. Navitskas provided services in both business and legal capacities, which included negotiating and closing numerous acquisitions, asset sales and lending transactions as an in-house attorney, as well as heading the asset management and workout practice for LStar Capital. Ms. Navitskas has served on the board of directors for several of Lone Star’s private portfolio companies in the past and currently serves on the board of directors of two public companies controlled by Lone Star, Forterra, Inc. (Nasdaq: FRTA) and Foundation Building Materials, Inc. (NYSE: FBM). Prior to joining Hudson, Ms. Navitskas was Vice President/Associate General Counsel at FelCor Lodging Trust Incorporated (NYSE: FCH), a real estate investment trust in the hospitality sector. Ms. Navitskas was engaged in the private practice of law with Jenkens &amp; Gilchrist P.C. and later at Hunton &amp; Williams LLP, specializing in financial institutions, mergers and acquisitions, corporate finance, and securities law. She is a graduate of Columbia College. She earned a juris doctor degree from the University of Michigan Law School and an MBA from the University of Michigan’s Ross School of Business. Ms. Navitskas holds the Chartered Financial Analyst designation. Her public company experience and prior service on multiple public boards of directors, together with her financial knowledge and experience, qualify Ms. Navitskas to serve on our board of directors.</w:t>
      </w:r>
    </w:p>
    <w:p>
      <w:pPr>
        <w:spacing w:after="0" w:line="83"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i w:val="1"/>
          <w:iCs w:val="1"/>
          <w:color w:val="auto"/>
        </w:rPr>
        <w:t>Noe G. Valles</w:t>
      </w:r>
      <w:r>
        <w:rPr>
          <w:rFonts w:ascii="Arial" w:cs="Arial" w:eastAsia="Arial" w:hAnsi="Arial"/>
          <w:sz w:val="17"/>
          <w:szCs w:val="17"/>
          <w:color w:val="auto"/>
        </w:rPr>
        <w:t>. Mr. Valles joined the board of directors of the Company earlier this year and has served on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24 years. He is licensed to practice law in Texas and New Mexico state courts as well as the U.S. District Court for the Northern and Eastern Districts of Texas. Mr. Valles has served on the Board of Managers of University Medical Center in Lubbock for 11 years. He is a current member of the South Plains Trial Lawyers association and the Texas Trial Lawyers association. In 2018, he was awarded the Community Leader of the Year by the Lubbock League of Latin American Citizens. Mr. Valles earned a Bachelor of Arts degree from Wayland Baptist University in 1988 and was awarded the Distinguished Alumni Award from the University in 2018. He also earned a law degree from Texas Tech University in 1993. Mr. Valles is qualified to serve on our board of directors because of his vast legal expertise and his intimate knowledge of the Texas and New Mexico communities that we serve.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i w:val="1"/>
          <w:iCs w:val="1"/>
          <w:color w:val="auto"/>
        </w:rPr>
        <w:t>Kyle R. Wargo</w:t>
      </w:r>
      <w:r>
        <w:rPr>
          <w:rFonts w:ascii="Arial" w:cs="Arial" w:eastAsia="Arial" w:hAnsi="Arial"/>
          <w:sz w:val="17"/>
          <w:szCs w:val="17"/>
          <w:color w:val="auto"/>
        </w:rPr>
        <w:t>. Dr. Wargo has served on the board of directors of the Company since 2016 and on the board of directors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 since 2013. He also served as an advisory director to the Bank since 2002.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and treasurer of the Science Spectrum Museum in Lubbock and since 2008, he has served as a member of the board of directors of Workforce Solutions South Plains. He earned Bachelor of Science degree from Baylor University in 1982, a Masters of Education from the University of Houston in 1984, and a Doctorate in Education from the University of Houston in 1995. Dr. Wargo’s experience in administration and leadership, as well as his understanding of state and local government, qualify him to serve on our board of directors.</w:t>
      </w:r>
    </w:p>
    <w:p>
      <w:pPr>
        <w:spacing w:after="0" w:line="74"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b w:val="1"/>
          <w:bCs w:val="1"/>
          <w:i w:val="1"/>
          <w:iCs w:val="1"/>
          <w:color w:val="auto"/>
        </w:rPr>
        <w:t>Board Composition</w:t>
      </w:r>
      <w:r>
        <w:rPr>
          <w:rFonts w:ascii="Arial" w:cs="Arial" w:eastAsia="Arial" w:hAnsi="Arial"/>
          <w:sz w:val="18"/>
          <w:szCs w:val="18"/>
          <w:color w:val="auto"/>
        </w:rPr>
        <w:t>. Our board of directors has seven members, divided into three classes, Class I, Class II and Class III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62" w:lineRule="exact"/>
        <w:rPr>
          <w:sz w:val="20"/>
          <w:szCs w:val="20"/>
          <w:color w:val="auto"/>
        </w:rPr>
      </w:pPr>
    </w:p>
    <w:p>
      <w:pPr>
        <w:ind w:left="700" w:right="180" w:hanging="344"/>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Class I directors are Richard D. Campbell and Cynthia B. Keith, and their term will expire at the annual meeting of shareholders expected to be held in 2020;</w:t>
      </w:r>
    </w:p>
    <w:p>
      <w:pPr>
        <w:spacing w:after="0" w:line="62" w:lineRule="exact"/>
        <w:rPr>
          <w:rFonts w:ascii="Arial" w:cs="Arial" w:eastAsia="Arial" w:hAnsi="Arial"/>
          <w:sz w:val="18"/>
          <w:szCs w:val="18"/>
          <w:color w:val="auto"/>
        </w:rPr>
      </w:pPr>
    </w:p>
    <w:p>
      <w:pPr>
        <w:ind w:left="700" w:right="420" w:hanging="344"/>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Class II directors are Cory T. Newsom, Allison S. Navitskas and Noe G. Valles, and their term will expire at the annual meeting of shareholders expected to be held in 2021; and</w:t>
      </w:r>
    </w:p>
    <w:p>
      <w:pPr>
        <w:spacing w:after="0" w:line="62" w:lineRule="exact"/>
        <w:rPr>
          <w:rFonts w:ascii="Arial" w:cs="Arial" w:eastAsia="Arial" w:hAnsi="Arial"/>
          <w:sz w:val="18"/>
          <w:szCs w:val="18"/>
          <w:color w:val="auto"/>
        </w:rPr>
      </w:pPr>
    </w:p>
    <w:p>
      <w:pPr>
        <w:ind w:left="700" w:right="500" w:hanging="344"/>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Class III directors are Curtis C. Griffith and Kyle R. Wargo, and their term will expire at the annual meeting of shareholders expected to be held in 2022.</w:t>
      </w:r>
    </w:p>
    <w:p>
      <w:pPr>
        <w:spacing w:after="0" w:line="62"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The number of directors constituting our board of directors will be fixed from time to time by resolution of our board of directors. Directors are elected for a term of three years, with approximately one-third of the directors elected annually. Mr. Campbell was originally appointed as a director pursuant to the terms of a Stock Purchase Agreement between the Company and Mr. Henry and his spouse. See “Certain Relationships and Related Party Transactions—Board Representation Agreement” for additional information.</w:t>
      </w:r>
    </w:p>
    <w:p>
      <w:pPr>
        <w:spacing w:after="0" w:line="8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Board Leadership Structure</w:t>
      </w:r>
      <w:r>
        <w:rPr>
          <w:rFonts w:ascii="Arial" w:cs="Arial" w:eastAsia="Arial" w:hAnsi="Arial"/>
          <w:sz w:val="18"/>
          <w:szCs w:val="18"/>
          <w:color w:val="auto"/>
        </w:rPr>
        <w:t>. Our Corporate Governance Guidelines require that at any time the Chairman of the Board is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the independent directors will designate a Lead Independent Director. It is the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w:t>
      </w:r>
    </w:p>
    <w:p>
      <w:pPr>
        <w:spacing w:after="0" w:line="8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Annually, the independent directors elect a director to serve as the Lead Independent Director. The Lead Independent Director serves as a liaison between the Chairman and the independent directors and has the authority to call and chair meetings or executive sessions of the independent directors, which are held periodically as appropriate but at least twice annually. The Lead Independent Director also chairs full board of directors’ meetings in the absence of the Chairman. Our board of directors has designated Richard D. Campbell to serve as Lead Independent Director.</w:t>
      </w:r>
    </w:p>
    <w:p>
      <w:pPr>
        <w:spacing w:after="0" w:line="80"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b w:val="1"/>
          <w:bCs w:val="1"/>
          <w:i w:val="1"/>
          <w:iCs w:val="1"/>
          <w:color w:val="auto"/>
        </w:rPr>
        <w:t>Director Independence</w:t>
      </w:r>
      <w:r>
        <w:rPr>
          <w:rFonts w:ascii="Arial" w:cs="Arial" w:eastAsia="Arial" w:hAnsi="Arial"/>
          <w:sz w:val="18"/>
          <w:szCs w:val="18"/>
          <w:color w:val="auto"/>
        </w:rPr>
        <w:t>. We have applied to list our common stock on the NASDAQ Global Select Market and,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listing, we will be required to comply with the rules of the NASDAQ Stock Market with respect to the independence of directors who serve on our board of directors and its committees. Under the rules of the NASDAQ Stock Market, independent directors must comprise a majority of our board of directors within a specified period of time after this offering. The rules of the NASDAQ Stock Market, as well as those of the SEC, also impose several other requirements with respect to the independence of our directors.</w:t>
      </w:r>
    </w:p>
    <w:p>
      <w:pPr>
        <w:spacing w:after="0" w:line="8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board of directors has evaluated the independence of its members based upon the rules of the NASDAQ Stock Market and the SEC and has considered the relationships that each director has with the Company, including the transactions described under the section titled “Certain Relationships and Related Party Transactions.” Applying these standards, our board of directors has affirmatively determined that each of Richard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00"/>
          </w:cols>
          <w:pgMar w:left="1160" w:top="279" w:right="12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 Campbell, Cynthia B. Keith, Allison S. Navitskas, Noe G. Valles, and Kyle R. Wargo is an independent director, as defined under the applicable rules. The board of directors determined that each of Curtis C. Griffith and Cory T. Newsom does not qualify as an independent director because each is an executive officer of the Company.</w:t>
      </w:r>
    </w:p>
    <w:p>
      <w:pPr>
        <w:spacing w:after="0" w:line="76"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b w:val="1"/>
          <w:bCs w:val="1"/>
          <w:i w:val="1"/>
          <w:iCs w:val="1"/>
          <w:color w:val="auto"/>
        </w:rPr>
        <w:t>Director Qualifications</w:t>
      </w:r>
      <w:r>
        <w:rPr>
          <w:rFonts w:ascii="Arial" w:cs="Arial" w:eastAsia="Arial" w:hAnsi="Arial"/>
          <w:sz w:val="17"/>
          <w:szCs w:val="17"/>
          <w:color w:val="auto"/>
        </w:rPr>
        <w:t>. We believe that our directors should have the highest professional and personal ethics and values.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They should have broad experience at the policy-making level in areas relevant to our business. They should be committed to enhancing shareholder value and should have sufficient time to carry out their duties and to provide insight and practical wisdom based on experience. Each director must represent the interests of all shareholders. When considering potential director candidates, our board of directors also considers the candidate’s character, judgment, diversity, skill set, specific business background and experience in the context of our needs and those of the board of directors.</w:t>
      </w:r>
    </w:p>
    <w:p>
      <w:pPr>
        <w:spacing w:after="0" w:line="70"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b w:val="1"/>
          <w:bCs w:val="1"/>
          <w:i w:val="1"/>
          <w:iCs w:val="1"/>
          <w:color w:val="auto"/>
        </w:rPr>
        <w:t>Certain Relationships</w:t>
      </w:r>
      <w:r>
        <w:rPr>
          <w:rFonts w:ascii="Arial" w:cs="Arial" w:eastAsia="Arial" w:hAnsi="Arial"/>
          <w:sz w:val="18"/>
          <w:szCs w:val="18"/>
          <w:color w:val="auto"/>
        </w:rPr>
        <w:t>. There are no family relationships between any of our directors or executive officers, as defined in Item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401 of Regulation S-K.</w:t>
      </w:r>
    </w:p>
    <w:p>
      <w:pPr>
        <w:spacing w:after="0" w:line="62"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b w:val="1"/>
          <w:bCs w:val="1"/>
          <w:i w:val="1"/>
          <w:iCs w:val="1"/>
          <w:color w:val="auto"/>
        </w:rPr>
        <w:t>Risk Management and Oversight</w:t>
      </w:r>
      <w:r>
        <w:rPr>
          <w:rFonts w:ascii="Arial" w:cs="Arial" w:eastAsia="Arial" w:hAnsi="Arial"/>
          <w:sz w:val="17"/>
          <w:szCs w:val="17"/>
          <w:color w:val="auto"/>
        </w:rPr>
        <w:t>. The board of directors has ultimate authority and responsibility for overseeing our risk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The board of directors monitors, reviews and reacts to material enterprise risks identified by management. The board of directors receives specific reports from executive management on credit, interest rate, liquidity, transactional, compliance and legal, strategic, and reputational risks and the degree of exposure to those risks. The board of directors helps ensure that management is properly focused on risk by, among other things, reviewing and discussing the performance of senior management and business line leaders. Committees of the board of directors have responsibility for risk oversight in specific areas. The Audit Committee oversees financial, accounting and internal control risk management policies. The Compensation Committee assesses and monitors risks in our compensation program.</w:t>
      </w:r>
    </w:p>
    <w:p>
      <w:pPr>
        <w:spacing w:after="0" w:line="70"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b w:val="1"/>
          <w:bCs w:val="1"/>
          <w:i w:val="1"/>
          <w:iCs w:val="1"/>
          <w:color w:val="auto"/>
        </w:rPr>
        <w:t>Compensation Committee Interlocks and Insider Participation</w:t>
      </w:r>
      <w:r>
        <w:rPr>
          <w:rFonts w:ascii="Arial" w:cs="Arial" w:eastAsia="Arial" w:hAnsi="Arial"/>
          <w:sz w:val="17"/>
          <w:szCs w:val="17"/>
          <w:color w:val="auto"/>
        </w:rPr>
        <w:t>. Upon completion of this offering, none of the members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will be or will have been one of our officers or employees. None of our executive officers serves or has served as a member of the Compensation Committee or other board committee performing equivalent functions of any entity that has one or more executive officers serving as one of our directors or on our Compensation Committee.</w:t>
      </w:r>
    </w:p>
    <w:p>
      <w:pPr>
        <w:spacing w:after="0" w:line="63"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b w:val="1"/>
          <w:bCs w:val="1"/>
          <w:i w:val="1"/>
          <w:iCs w:val="1"/>
          <w:color w:val="auto"/>
        </w:rPr>
        <w:t>Code of Business Conduct and Ethics</w:t>
      </w:r>
      <w:r>
        <w:rPr>
          <w:rFonts w:ascii="Arial" w:cs="Arial" w:eastAsia="Arial" w:hAnsi="Arial"/>
          <w:sz w:val="16"/>
          <w:szCs w:val="16"/>
          <w:color w:val="auto"/>
        </w:rPr>
        <w:t>. Our board of directors has adopted a Code of Business Conduct and Ethics that applies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all of our directors, officers and employees. The Code of Business Conduct and Ethics sets forth the standard of conduct that we expect all of our directors, officers and employees to follow, including our Chief Executive Officer and Chief Financial Officer. Our Code of Business Conduct and Ethics will be available on our website at www.city.bank upon completion of this offering. We expect that any amendments to the Code of Business Conduct and Ethics, or any waivers of their respective requirements, will be disclosed on our website, as well as any other means required by NASDAQ Global Select Market rules or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board of directors has established standing committees in connection with the discharge of its responsibilities. These committees include the Audit Committee, the Compensation Committee and the Nominating and Corporate Governance Committee. Our board of directors also may establish such other committees as it deems appropriate, in accordance with applicable law and regulations and our amended and restated certificate of formation, or the certificate of formation, and our amended and restated bylaws, or the bylaws.</w:t>
      </w:r>
    </w:p>
    <w:p>
      <w:pPr>
        <w:spacing w:after="0" w:line="80"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Company has a separately designated standing Audit Committee as required by the rules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NASDAQ Stock Market. The Audit Committee charter adopted by the board of directors sets out the responsibilities, authority and specific duties of the Audit Committee. The Audit Committee charter will be available on the Company’s website at www.city.bank under the “Investor Relations” tab upon completion of this offering.</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responsibilities of the Audit Committee include the following:</w:t>
      </w:r>
    </w:p>
    <w:p>
      <w:pPr>
        <w:spacing w:after="0" w:line="117" w:lineRule="exact"/>
        <w:rPr>
          <w:sz w:val="20"/>
          <w:szCs w:val="20"/>
          <w:color w:val="auto"/>
        </w:rPr>
      </w:pPr>
    </w:p>
    <w:p>
      <w:pPr>
        <w:ind w:left="700" w:right="80" w:hanging="344"/>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overseeing the quality and integrity of and the Company’s financial reporting processes, financial statements, and systems of internal accounting and financial controls;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40" w:hanging="344"/>
        <w:spacing w:after="0" w:line="311"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overseeing the annual independent audit of the Company’s financial statements and internal control over the Bank’s financial reporting, the engagement, compensation and retention of the independent registered public accounting firm and the evaluation of the independent registered public accounting firm’s qualifications, independence and performance;</w:t>
      </w:r>
    </w:p>
    <w:p>
      <w:pPr>
        <w:spacing w:after="0" w:line="40" w:lineRule="exact"/>
        <w:rPr>
          <w:rFonts w:ascii="Arial" w:cs="Arial" w:eastAsia="Arial" w:hAnsi="Arial"/>
          <w:sz w:val="16"/>
          <w:szCs w:val="16"/>
          <w:color w:val="auto"/>
        </w:rPr>
      </w:pPr>
    </w:p>
    <w:p>
      <w:pPr>
        <w:ind w:left="700" w:right="320" w:hanging="344"/>
        <w:spacing w:after="0" w:line="279" w:lineRule="auto"/>
        <w:tabs>
          <w:tab w:leader="none" w:pos="7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obtaining from our independent auditor, at least annually, a report regarding our independent auditor’s internal quality control procedures and any material issues raised by the most recent internal quality-control or peer review or by any inquiry or investigations by governmental or professional authorities, and any steps taken to deal with such issues and obtaining and reviewing each inspection report issued by the PCAOB;</w:t>
      </w:r>
    </w:p>
    <w:p>
      <w:pPr>
        <w:spacing w:after="0" w:line="63" w:lineRule="exact"/>
        <w:rPr>
          <w:rFonts w:ascii="Arial" w:cs="Arial" w:eastAsia="Arial" w:hAnsi="Arial"/>
          <w:sz w:val="17"/>
          <w:szCs w:val="17"/>
          <w:color w:val="auto"/>
        </w:rPr>
      </w:pPr>
    </w:p>
    <w:p>
      <w:pPr>
        <w:ind w:left="700" w:hanging="34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resolving any disagreements regarding financial reporting between management and the independent auditor;</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overseeing and evaluating the performance of the internal audit function and review;</w:t>
      </w:r>
    </w:p>
    <w:p>
      <w:pPr>
        <w:spacing w:after="0" w:line="117" w:lineRule="exact"/>
        <w:rPr>
          <w:rFonts w:ascii="Arial" w:cs="Arial" w:eastAsia="Arial" w:hAnsi="Arial"/>
          <w:sz w:val="18"/>
          <w:szCs w:val="18"/>
          <w:color w:val="auto"/>
        </w:rPr>
      </w:pPr>
    </w:p>
    <w:p>
      <w:pPr>
        <w:ind w:left="700" w:right="220" w:hanging="344"/>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meeting with management and the independent auditor to review the effectiveness of our system of internal control and internal audit procedures, and to address any deficiencies in such procedures;</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overseeing all related person transactions in accordance with our policies and procedures;</w:t>
      </w:r>
    </w:p>
    <w:p>
      <w:pPr>
        <w:spacing w:after="0" w:line="117" w:lineRule="exact"/>
        <w:rPr>
          <w:rFonts w:ascii="Arial" w:cs="Arial" w:eastAsia="Arial" w:hAnsi="Arial"/>
          <w:sz w:val="18"/>
          <w:szCs w:val="18"/>
          <w:color w:val="auto"/>
        </w:rPr>
      </w:pPr>
    </w:p>
    <w:p>
      <w:pPr>
        <w:ind w:left="700" w:right="280" w:hanging="344"/>
        <w:spacing w:after="0" w:line="263"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reports and recommendations provided by senior management or third party consultants retained by the committee related to Company’s financial, operational, credit, strategic, market, investment, liquidity, reputational and compliance risks;</w:t>
      </w:r>
    </w:p>
    <w:p>
      <w:pPr>
        <w:spacing w:after="0" w:line="75" w:lineRule="exact"/>
        <w:rPr>
          <w:rFonts w:ascii="Arial" w:cs="Arial" w:eastAsia="Arial" w:hAnsi="Arial"/>
          <w:sz w:val="18"/>
          <w:szCs w:val="18"/>
          <w:color w:val="auto"/>
        </w:rPr>
      </w:pPr>
    </w:p>
    <w:p>
      <w:pPr>
        <w:ind w:left="700" w:right="340" w:hanging="344"/>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significant aggregate risk concentrations and other escalations, and approving significant corrective actions recommended by senior management;</w:t>
      </w:r>
    </w:p>
    <w:p>
      <w:pPr>
        <w:spacing w:after="0" w:line="62" w:lineRule="exact"/>
        <w:rPr>
          <w:rFonts w:ascii="Arial" w:cs="Arial" w:eastAsia="Arial" w:hAnsi="Arial"/>
          <w:sz w:val="18"/>
          <w:szCs w:val="18"/>
          <w:color w:val="auto"/>
        </w:rPr>
      </w:pPr>
    </w:p>
    <w:p>
      <w:pPr>
        <w:ind w:left="700" w:right="760" w:hanging="344"/>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conducting an annual evaluation of the performance of the Audit Committee and the adequacy of its charter and recommending to our board of directors any changes that it deems necessary; and</w:t>
      </w:r>
    </w:p>
    <w:p>
      <w:pPr>
        <w:spacing w:after="0" w:line="62" w:lineRule="exact"/>
        <w:rPr>
          <w:rFonts w:ascii="Arial" w:cs="Arial" w:eastAsia="Arial" w:hAnsi="Arial"/>
          <w:sz w:val="18"/>
          <w:szCs w:val="18"/>
          <w:color w:val="auto"/>
        </w:rPr>
      </w:pPr>
    </w:p>
    <w:p>
      <w:pPr>
        <w:ind w:left="700" w:right="100" w:hanging="344"/>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Audit Committee by our board of directors from time to time.</w:t>
      </w:r>
    </w:p>
    <w:p>
      <w:pPr>
        <w:spacing w:after="0" w:line="62"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The members of the Audit Committee are Kyle R. Wargo (Committee Chairman), Richard D. Campbell, and Cynthia B. Keith. Our board of directors has evaluated the independence of each of the members of our Audit Committee and has affirmatively determined that each of the members of our Audit Committee (1) is an independent director under NASDAQ Stock Market rules,</w:t>
      </w:r>
    </w:p>
    <w:p>
      <w:pPr>
        <w:spacing w:after="0" w:line="2" w:lineRule="exact"/>
        <w:rPr>
          <w:sz w:val="20"/>
          <w:szCs w:val="20"/>
          <w:color w:val="auto"/>
        </w:rPr>
      </w:pPr>
    </w:p>
    <w:p>
      <w:pPr>
        <w:ind w:right="20" w:firstLine="5"/>
        <w:spacing w:after="0" w:line="260"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satisfies the additional independence standards under applicable SEC rules for audit committee service, and (3) has the ability to read and understand fundamental financial statements.</w:t>
      </w:r>
    </w:p>
    <w:p>
      <w:pPr>
        <w:spacing w:after="0" w:line="7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board of directors has determined that each of Richard D. Campbell and Cynthia B. Keith qualifies as an “audit committee financial expert,” as defined by the SEC.</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Company has a separately designated Compensation Committee, which consists entirely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directors as defined by the applicable rules and regulations of the NASDAQ Stock Market. The Compensation Committee charter adopted by the board of directors sets out the responsibilities, authority and specific duties of the Compensation Committee. The Compensation Committee charter will be available on our website at www.city.bank under the “Investor Relations” tab upon completion of this offering.</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has the following responsibilities:</w:t>
      </w:r>
    </w:p>
    <w:p>
      <w:pPr>
        <w:spacing w:after="0" w:line="117" w:lineRule="exact"/>
        <w:rPr>
          <w:sz w:val="20"/>
          <w:szCs w:val="20"/>
          <w:color w:val="auto"/>
        </w:rPr>
      </w:pPr>
    </w:p>
    <w:p>
      <w:pPr>
        <w:ind w:left="700" w:hanging="344"/>
        <w:spacing w:after="0" w:line="342" w:lineRule="auto"/>
        <w:tabs>
          <w:tab w:leader="none" w:pos="7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reviewing, determining, and recommending to the board of directors for its confirmation, the annual compensation, annual incentive opportunities and any other matter relating to the compensation of the Company’s executive officers;</w:t>
      </w:r>
    </w:p>
    <w:p>
      <w:pPr>
        <w:spacing w:after="0" w:line="15" w:lineRule="exact"/>
        <w:rPr>
          <w:rFonts w:ascii="Arial" w:cs="Arial" w:eastAsia="Arial" w:hAnsi="Arial"/>
          <w:sz w:val="16"/>
          <w:szCs w:val="16"/>
          <w:color w:val="auto"/>
        </w:rPr>
      </w:pPr>
    </w:p>
    <w:p>
      <w:pPr>
        <w:ind w:left="700" w:hanging="344"/>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monitoring and evaluating the risks related to the Company’s compensation programs and practices;</w:t>
      </w:r>
    </w:p>
    <w:p>
      <w:pPr>
        <w:spacing w:after="0" w:line="117" w:lineRule="exact"/>
        <w:rPr>
          <w:rFonts w:ascii="Arial" w:cs="Arial" w:eastAsia="Arial" w:hAnsi="Arial"/>
          <w:sz w:val="18"/>
          <w:szCs w:val="18"/>
          <w:color w:val="auto"/>
        </w:rPr>
      </w:pPr>
    </w:p>
    <w:p>
      <w:pPr>
        <w:ind w:left="700" w:right="700" w:hanging="344"/>
        <w:spacing w:after="0" w:line="308" w:lineRule="auto"/>
        <w:tabs>
          <w:tab w:leader="none" w:pos="7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reviewing and comparing compensation practices of any relevant peer group in order to assist in the committee’s evaluation of the appropriateness of the Company’s compensation practices and programs;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20" w:hanging="344"/>
        <w:spacing w:after="0" w:line="263"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approving and administering each of the Company’s non-qualified deferred compensation plans and annual incentive plans, and performing such other duties and responsibilities as may be assigned to the committee under the terms of those plans;</w:t>
      </w:r>
    </w:p>
    <w:p>
      <w:pPr>
        <w:spacing w:after="0" w:line="75" w:lineRule="exact"/>
        <w:rPr>
          <w:rFonts w:ascii="Arial" w:cs="Arial" w:eastAsia="Arial" w:hAnsi="Arial"/>
          <w:sz w:val="18"/>
          <w:szCs w:val="18"/>
          <w:color w:val="auto"/>
        </w:rPr>
      </w:pPr>
    </w:p>
    <w:p>
      <w:pPr>
        <w:ind w:left="700" w:hanging="344"/>
        <w:spacing w:after="0" w:line="286" w:lineRule="auto"/>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annually reviewing and recommending to the board of directors the annual director’s compensation and any additional compensation for services on committees of the board of directors, service as a committee or board chairman, meeting fees or any other benefit payable by virtue of the director’s position as a member of the board of directors;</w:t>
      </w:r>
    </w:p>
    <w:p>
      <w:pPr>
        <w:spacing w:after="0" w:line="57" w:lineRule="exact"/>
        <w:rPr>
          <w:rFonts w:ascii="Arial" w:cs="Arial" w:eastAsia="Arial" w:hAnsi="Arial"/>
          <w:sz w:val="17"/>
          <w:szCs w:val="17"/>
          <w:color w:val="auto"/>
        </w:rPr>
      </w:pPr>
    </w:p>
    <w:p>
      <w:pPr>
        <w:ind w:left="700" w:hanging="344"/>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the performance of the executive officers for each fiscal year;</w:t>
      </w:r>
    </w:p>
    <w:p>
      <w:pPr>
        <w:spacing w:after="0" w:line="117" w:lineRule="exact"/>
        <w:rPr>
          <w:rFonts w:ascii="Arial" w:cs="Arial" w:eastAsia="Arial" w:hAnsi="Arial"/>
          <w:sz w:val="18"/>
          <w:szCs w:val="18"/>
          <w:color w:val="auto"/>
        </w:rPr>
      </w:pPr>
    </w:p>
    <w:p>
      <w:pPr>
        <w:ind w:left="700" w:right="480" w:hanging="344"/>
        <w:spacing w:after="0" w:line="342" w:lineRule="auto"/>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producing the Compensation Committee Report on executive compensation required for inclusion in the Company’s annual meeting proxy statement in compliance with the rules and regulations promulgated by the SEC;</w:t>
      </w:r>
    </w:p>
    <w:p>
      <w:pPr>
        <w:spacing w:after="0" w:line="15" w:lineRule="exact"/>
        <w:rPr>
          <w:rFonts w:ascii="Arial" w:cs="Arial" w:eastAsia="Arial" w:hAnsi="Arial"/>
          <w:sz w:val="16"/>
          <w:szCs w:val="16"/>
          <w:color w:val="auto"/>
        </w:rPr>
      </w:pPr>
    </w:p>
    <w:p>
      <w:pPr>
        <w:ind w:left="700" w:right="120" w:hanging="344"/>
        <w:spacing w:after="0" w:line="259"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and determining, and recommending to the board of directors for its confirmation, the establishment of the performance measures applicable to each performance-based cash incentive and equity incentive award to be made under any plan, and the applicable performance targets for each such performance measure for each such award granted under any plan;</w:t>
      </w:r>
    </w:p>
    <w:p>
      <w:pPr>
        <w:spacing w:after="0" w:line="78" w:lineRule="exact"/>
        <w:rPr>
          <w:rFonts w:ascii="Arial" w:cs="Arial" w:eastAsia="Arial" w:hAnsi="Arial"/>
          <w:sz w:val="18"/>
          <w:szCs w:val="18"/>
          <w:color w:val="auto"/>
        </w:rPr>
      </w:pPr>
    </w:p>
    <w:p>
      <w:pPr>
        <w:ind w:left="700" w:right="220" w:hanging="344"/>
        <w:spacing w:after="0" w:line="279" w:lineRule="auto"/>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overseeing and making recommendations to the board of directors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 and</w:t>
      </w:r>
    </w:p>
    <w:p>
      <w:pPr>
        <w:spacing w:after="0" w:line="63" w:lineRule="exact"/>
        <w:rPr>
          <w:rFonts w:ascii="Arial" w:cs="Arial" w:eastAsia="Arial" w:hAnsi="Arial"/>
          <w:sz w:val="17"/>
          <w:szCs w:val="17"/>
          <w:color w:val="auto"/>
        </w:rPr>
      </w:pPr>
    </w:p>
    <w:p>
      <w:pPr>
        <w:ind w:left="700" w:hanging="344"/>
        <w:spacing w:after="0" w:line="277"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performing any other duties or responsibilities the board of directors may expressly delegate to the committee from time to time on matters relating to the Company’s compensation programs.</w:t>
      </w:r>
    </w:p>
    <w:p>
      <w:pPr>
        <w:spacing w:after="0" w:line="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members of the Compensation Committee are Richard D. Campbell (Committee Chairman), Noe G. Valles, and Allison S. Navitskas. Our board of directors has evaluated the independence of each of the members of our Compensation Committee and has affirmatively determined that each of the members of our Compensation Committee meets the definition of an “independent director” under NASDAQ Stock Market rules.</w:t>
      </w:r>
    </w:p>
    <w:p>
      <w:pPr>
        <w:spacing w:after="0" w:line="79"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Our board of directors has also determined that each of the members of the Compensation Committee qualifies as a “nonemployee director” within the meaning of Rule 16b-3 under the Exchange Act. All compensation, equity awards and transactions subject to Section 16 of the Exchange Act will be approved by a committee or subcommittee of the board of directors that is composed solely of two or more “non-employee directors.”</w:t>
      </w:r>
    </w:p>
    <w:p>
      <w:pPr>
        <w:spacing w:after="0" w:line="79" w:lineRule="exact"/>
        <w:rPr>
          <w:sz w:val="20"/>
          <w:szCs w:val="20"/>
          <w:color w:val="auto"/>
        </w:rPr>
      </w:pPr>
    </w:p>
    <w:p>
      <w:pPr>
        <w:ind w:right="260" w:firstLine="360"/>
        <w:spacing w:after="0" w:line="255"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The Company has separately designated a Nominating and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Governance Committee, which consists entirely of independent directors as defined by the applicable rules and regulations of the NASDAQ Stock Market. The Nominating and Corporate Governance Committee adopted by the board of directors sets out the responsibilities, authority and specific duties of the Nominating and Corporate Governance Committee. The Nominating and Corporate Governance Committee charter will be available on our website at www.city.bank under the “Investor Relations” tab upon completion of this offering.</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Nominating and Corporate Governance Committee has the following responsibilities:</w:t>
      </w:r>
    </w:p>
    <w:p>
      <w:pPr>
        <w:spacing w:after="0" w:line="117" w:lineRule="exact"/>
        <w:rPr>
          <w:sz w:val="20"/>
          <w:szCs w:val="20"/>
          <w:color w:val="auto"/>
        </w:rPr>
      </w:pPr>
    </w:p>
    <w:p>
      <w:pPr>
        <w:ind w:left="700" w:hanging="34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developing policies on the size and composition of our board of directors;</w:t>
      </w:r>
    </w:p>
    <w:p>
      <w:pPr>
        <w:spacing w:after="0" w:line="117" w:lineRule="exact"/>
        <w:rPr>
          <w:rFonts w:ascii="Arial" w:cs="Arial" w:eastAsia="Arial" w:hAnsi="Arial"/>
          <w:sz w:val="18"/>
          <w:szCs w:val="18"/>
          <w:color w:val="auto"/>
        </w:rPr>
      </w:pPr>
    </w:p>
    <w:p>
      <w:pPr>
        <w:ind w:left="700" w:right="60" w:hanging="344"/>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criteria to be considered in identifying and selecting nominees for director;</w:t>
      </w:r>
    </w:p>
    <w:p>
      <w:pPr>
        <w:spacing w:after="0" w:line="62" w:lineRule="exact"/>
        <w:rPr>
          <w:rFonts w:ascii="Arial" w:cs="Arial" w:eastAsia="Arial" w:hAnsi="Arial"/>
          <w:sz w:val="18"/>
          <w:szCs w:val="18"/>
          <w:color w:val="auto"/>
        </w:rPr>
      </w:pPr>
    </w:p>
    <w:p>
      <w:pPr>
        <w:ind w:left="700" w:hanging="34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possible candidates for election to the board of directors;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recommending to the board of directors candidates for election or re-election to our board of directors;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recommending committee structure, composition and assignments;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overseeing an annual performance evaluation of the board of directors and its committees;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480" w:hanging="344"/>
        <w:spacing w:after="0" w:line="27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reviewing the committee’s performance and the adequacy of the Nominating and Corporate Governance Committee charter on an annual basis.</w:t>
      </w:r>
    </w:p>
    <w:p>
      <w:pPr>
        <w:spacing w:after="0" w:line="62" w:lineRule="exact"/>
        <w:rPr>
          <w:sz w:val="20"/>
          <w:szCs w:val="20"/>
          <w:color w:val="auto"/>
        </w:rPr>
      </w:pPr>
    </w:p>
    <w:p>
      <w:pPr>
        <w:ind w:firstLine="360"/>
        <w:spacing w:after="0" w:line="301" w:lineRule="auto"/>
        <w:rPr>
          <w:sz w:val="20"/>
          <w:szCs w:val="20"/>
          <w:color w:val="auto"/>
        </w:rPr>
      </w:pPr>
      <w:r>
        <w:rPr>
          <w:rFonts w:ascii="Arial" w:cs="Arial" w:eastAsia="Arial" w:hAnsi="Arial"/>
          <w:sz w:val="16"/>
          <w:szCs w:val="16"/>
          <w:color w:val="auto"/>
        </w:rPr>
        <w:t>The members of the Nominating and Corporate Governance Committee are Richard D. Campbell (Committee Chairman), Kyle R. Wargo, and Noe G. Valles. Our board of directors has evaluated the independence of each of the members of our Nominating and Corporate Governance Committee and has affirmatively determined that each of the members of our Nominating and Corporate Governance Committee meets the definition of an “independent director” under NASDAQ Stock Market rules.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firstLine="360"/>
        <w:spacing w:after="0" w:line="296" w:lineRule="auto"/>
        <w:rPr>
          <w:sz w:val="20"/>
          <w:szCs w:val="20"/>
          <w:color w:val="auto"/>
        </w:rPr>
      </w:pPr>
      <w:r>
        <w:rPr>
          <w:rFonts w:ascii="Arial" w:cs="Arial" w:eastAsia="Arial" w:hAnsi="Arial"/>
          <w:sz w:val="16"/>
          <w:szCs w:val="16"/>
          <w:color w:val="auto"/>
        </w:rPr>
        <w:t>We are an “emerging growth company” as defined in the JOBS Act. In accordance with such rules, we are required to provide a Summary Compensation Table and an Outstanding Equity Awards at Fiscal Year-End Table, as well as limited narrative compensation disclosure for our fiscal year ended December 31, 2018. Further, our reporting obligations extend to only our named executive officers, who are the individuals who served as our principal executive officer and our next two most highly compensated officers who served as executive officers during the last completed fiscal year. Our named executive officers, or NEOs, 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480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Principal Position</w:t>
            </w: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Curtis C. Griffith</w:t>
            </w:r>
          </w:p>
        </w:tc>
        <w:tc>
          <w:tcPr>
            <w:tcW w:w="100" w:type="dxa"/>
            <w:vAlign w:val="bottom"/>
          </w:tcPr>
          <w:p>
            <w:pPr>
              <w:spacing w:after="0"/>
              <w:rPr>
                <w:sz w:val="20"/>
                <w:szCs w:val="20"/>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Cory T. Newsom</w:t>
            </w:r>
          </w:p>
        </w:tc>
        <w:tc>
          <w:tcPr>
            <w:tcW w:w="100" w:type="dxa"/>
            <w:vAlign w:val="bottom"/>
          </w:tcPr>
          <w:p>
            <w:pPr>
              <w:spacing w:after="0"/>
              <w:rPr>
                <w:sz w:val="21"/>
                <w:szCs w:val="21"/>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243"/>
        </w:trPr>
        <w:tc>
          <w:tcPr>
            <w:tcW w:w="4640" w:type="dxa"/>
            <w:vAlign w:val="bottom"/>
          </w:tcPr>
          <w:p>
            <w:pPr>
              <w:spacing w:after="0"/>
              <w:rPr>
                <w:sz w:val="20"/>
                <w:szCs w:val="20"/>
                <w:color w:val="auto"/>
              </w:rPr>
            </w:pPr>
            <w:r>
              <w:rPr>
                <w:rFonts w:ascii="Arial" w:cs="Arial" w:eastAsia="Arial" w:hAnsi="Arial"/>
                <w:sz w:val="18"/>
                <w:szCs w:val="18"/>
                <w:color w:val="auto"/>
              </w:rPr>
              <w:t>Kelly L. Deterding</w:t>
            </w:r>
          </w:p>
        </w:tc>
        <w:tc>
          <w:tcPr>
            <w:tcW w:w="100" w:type="dxa"/>
            <w:vAlign w:val="bottom"/>
          </w:tcPr>
          <w:p>
            <w:pPr>
              <w:spacing w:after="0"/>
              <w:rPr>
                <w:sz w:val="21"/>
                <w:szCs w:val="21"/>
                <w:color w:val="auto"/>
              </w:rPr>
            </w:pPr>
          </w:p>
        </w:tc>
        <w:tc>
          <w:tcPr>
            <w:tcW w:w="4800" w:type="dxa"/>
            <w:vAlign w:val="bottom"/>
          </w:tcPr>
          <w:p>
            <w:pPr>
              <w:ind w:left="60"/>
              <w:spacing w:after="0"/>
              <w:rPr>
                <w:sz w:val="20"/>
                <w:szCs w:val="20"/>
                <w:color w:val="auto"/>
              </w:rPr>
            </w:pPr>
            <w:r>
              <w:rPr>
                <w:rFonts w:ascii="Arial" w:cs="Arial" w:eastAsia="Arial" w:hAnsi="Arial"/>
                <w:sz w:val="18"/>
                <w:szCs w:val="18"/>
                <w:color w:val="auto"/>
              </w:rPr>
              <w:t>President of Windmark Insurance</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r>
        <w:rPr>
          <w:rFonts w:ascii="Arial" w:cs="Arial" w:eastAsia="Arial" w:hAnsi="Arial"/>
          <w:sz w:val="18"/>
          <w:szCs w:val="18"/>
          <w:b w:val="1"/>
          <w:bCs w:val="1"/>
          <w:u w:val="single" w:color="auto"/>
          <w:color w:val="0000EE"/>
        </w:rPr>
        <w: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compensation that was earned by our NEOs for the fiscal year ended December 31, 2018.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4"/>
                <w:szCs w:val="1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Incentive Plan</w:t>
            </w:r>
          </w:p>
        </w:tc>
        <w:tc>
          <w:tcPr>
            <w:tcW w:w="2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r>
      <w:tr>
        <w:trPr>
          <w:trHeight w:val="145"/>
        </w:trPr>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5"/>
              </w:rPr>
              <w:t>Salary</w:t>
            </w:r>
          </w:p>
        </w:tc>
        <w:tc>
          <w:tcPr>
            <w:tcW w:w="140" w:type="dxa"/>
            <w:vAlign w:val="bottom"/>
          </w:tcPr>
          <w:p>
            <w:pPr>
              <w:spacing w:after="0"/>
              <w:rPr>
                <w:sz w:val="12"/>
                <w:szCs w:val="12"/>
                <w:color w:val="auto"/>
              </w:rPr>
            </w:pPr>
          </w:p>
        </w:tc>
        <w:tc>
          <w:tcPr>
            <w:tcW w:w="8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7"/>
              </w:rPr>
              <w:t>Bonus</w:t>
            </w:r>
          </w:p>
        </w:tc>
        <w:tc>
          <w:tcPr>
            <w:tcW w:w="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12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22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Compensation</w:t>
            </w:r>
          </w:p>
        </w:tc>
      </w:tr>
      <w:tr>
        <w:trPr>
          <w:trHeight w:val="195"/>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124"/>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(1)</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1"/>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44"/>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(4)</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r>
      <w:tr>
        <w:trPr>
          <w:trHeight w:val="198"/>
        </w:trPr>
        <w:tc>
          <w:tcPr>
            <w:tcW w:w="2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Curtis C. Griffith</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402,796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47,790</w:t>
            </w:r>
          </w:p>
        </w:tc>
        <w:tc>
          <w:tcPr>
            <w:tcW w:w="560" w:type="dxa"/>
            <w:vAlign w:val="bottom"/>
            <w:shd w:val="clear" w:color="auto" w:fill="CCEEFF"/>
          </w:tcPr>
          <w:p>
            <w:pPr>
              <w:jc w:val="right"/>
              <w:ind w:right="385"/>
              <w:spacing w:after="0"/>
              <w:rPr>
                <w:sz w:val="20"/>
                <w:szCs w:val="20"/>
                <w:color w:val="auto"/>
              </w:rPr>
            </w:pPr>
            <w:r>
              <w:rPr>
                <w:rFonts w:ascii="Arial" w:cs="Arial" w:eastAsia="Arial" w:hAnsi="Arial"/>
                <w:sz w:val="17"/>
                <w:szCs w:val="17"/>
                <w:color w:val="auto"/>
                <w:w w:val="84"/>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60,391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510,997</w:t>
            </w:r>
          </w:p>
        </w:tc>
      </w:tr>
      <w:tr>
        <w:trPr>
          <w:trHeight w:val="203"/>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Chairman of the Board and</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Chief Executive Officer</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400" w:type="dxa"/>
            <w:vAlign w:val="bottom"/>
            <w:gridSpan w:val="2"/>
          </w:tcPr>
          <w:p>
            <w:pPr>
              <w:spacing w:after="0"/>
              <w:rPr>
                <w:sz w:val="20"/>
                <w:szCs w:val="20"/>
                <w:color w:val="auto"/>
              </w:rPr>
            </w:pPr>
            <w:r>
              <w:rPr>
                <w:rFonts w:ascii="Arial" w:cs="Arial" w:eastAsia="Arial" w:hAnsi="Arial"/>
                <w:sz w:val="17"/>
                <w:szCs w:val="17"/>
                <w:b w:val="1"/>
                <w:bCs w:val="1"/>
                <w:color w:val="auto"/>
              </w:rPr>
              <w:t>Cory T. Newsom</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2018</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766,956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w w:val="94"/>
              </w:rPr>
              <w:t>104,215</w:t>
            </w:r>
          </w:p>
        </w:tc>
        <w:tc>
          <w:tcPr>
            <w:tcW w:w="560" w:type="dxa"/>
            <w:vAlign w:val="bottom"/>
          </w:tcPr>
          <w:p>
            <w:pPr>
              <w:jc w:val="right"/>
              <w:ind w:right="385"/>
              <w:spacing w:after="0"/>
              <w:rPr>
                <w:sz w:val="20"/>
                <w:szCs w:val="20"/>
                <w:color w:val="auto"/>
              </w:rPr>
            </w:pPr>
            <w:r>
              <w:rPr>
                <w:rFonts w:ascii="Arial" w:cs="Arial" w:eastAsia="Arial" w:hAnsi="Arial"/>
                <w:sz w:val="17"/>
                <w:szCs w:val="17"/>
                <w:color w:val="auto"/>
                <w:w w:val="84"/>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jc w:val="right"/>
              <w:ind w:right="38"/>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62,022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933,193</w:t>
            </w:r>
          </w:p>
        </w:tc>
      </w:tr>
      <w:tr>
        <w:trPr>
          <w:trHeight w:val="225"/>
        </w:trPr>
        <w:tc>
          <w:tcPr>
            <w:tcW w:w="2400" w:type="dxa"/>
            <w:vAlign w:val="bottom"/>
            <w:gridSpan w:val="2"/>
          </w:tcPr>
          <w:p>
            <w:pPr>
              <w:ind w:left="180"/>
              <w:spacing w:after="0"/>
              <w:rPr>
                <w:sz w:val="20"/>
                <w:szCs w:val="20"/>
                <w:color w:val="auto"/>
              </w:rPr>
            </w:pPr>
            <w:r>
              <w:rPr>
                <w:rFonts w:ascii="Arial" w:cs="Arial" w:eastAsia="Arial" w:hAnsi="Arial"/>
                <w:sz w:val="17"/>
                <w:szCs w:val="17"/>
                <w:color w:val="auto"/>
              </w:rPr>
              <w:t>President</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2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Kelly L. Deterding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110,893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12,370</w:t>
            </w:r>
          </w:p>
        </w:tc>
        <w:tc>
          <w:tcPr>
            <w:tcW w:w="560" w:type="dxa"/>
            <w:vAlign w:val="bottom"/>
            <w:shd w:val="clear" w:color="auto" w:fill="CCEEFF"/>
          </w:tcPr>
          <w:p>
            <w:pPr>
              <w:jc w:val="right"/>
              <w:ind w:right="385"/>
              <w:spacing w:after="0"/>
              <w:rPr>
                <w:sz w:val="20"/>
                <w:szCs w:val="20"/>
                <w:color w:val="auto"/>
              </w:rPr>
            </w:pPr>
            <w:r>
              <w:rPr>
                <w:rFonts w:ascii="Arial" w:cs="Arial" w:eastAsia="Arial" w:hAnsi="Arial"/>
                <w:sz w:val="17"/>
                <w:szCs w:val="17"/>
                <w:color w:val="auto"/>
                <w:w w:val="84"/>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507,298</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11,791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642,352</w:t>
            </w:r>
          </w:p>
        </w:tc>
      </w:tr>
      <w:tr>
        <w:trPr>
          <w:trHeight w:val="203"/>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President of Windmark</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Insurance</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60" w:right="60" w:hanging="355"/>
        <w:spacing w:after="0" w:line="273" w:lineRule="auto"/>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shown represent the payment of annual bonuses for 2018. For a description of annual bonuses for 2018, see “ Annual Cash Incentive Compensation” below.</w:t>
      </w:r>
    </w:p>
    <w:p>
      <w:pPr>
        <w:spacing w:after="0" w:line="65" w:lineRule="exact"/>
        <w:rPr>
          <w:rFonts w:ascii="Arial" w:cs="Arial" w:eastAsia="Arial" w:hAnsi="Arial"/>
          <w:sz w:val="14"/>
          <w:szCs w:val="14"/>
          <w:color w:val="auto"/>
        </w:rPr>
      </w:pPr>
    </w:p>
    <w:p>
      <w:pPr>
        <w:jc w:val="both"/>
        <w:ind w:left="360" w:right="140" w:hanging="355"/>
        <w:spacing w:after="0" w:line="269" w:lineRule="auto"/>
        <w:tabs>
          <w:tab w:leader="none" w:pos="3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the grant date fair value of the cash-settled stock appreciation rights calculated for financial reporting purposes in accordance with ASC 718. The fair value of the cash-settled stock appreciation rights was estimated using a Black-Scholes pricing model with the following assumptions: expected volatility</w:t>
      </w:r>
    </w:p>
    <w:p>
      <w:pPr>
        <w:spacing w:after="0" w:line="1" w:lineRule="exact"/>
        <w:rPr>
          <w:sz w:val="20"/>
          <w:szCs w:val="20"/>
          <w:color w:val="auto"/>
        </w:rPr>
      </w:pPr>
    </w:p>
    <w:p>
      <w:pPr>
        <w:ind w:left="360"/>
        <w:spacing w:after="0"/>
        <w:tabs>
          <w:tab w:leader="none" w:pos="820" w:val="left"/>
          <w:tab w:leader="none" w:pos="2600" w:val="left"/>
          <w:tab w:leader="none" w:pos="4740" w:val="left"/>
          <w:tab w:leader="none" w:pos="6420" w:val="left"/>
        </w:tabs>
        <w:rPr>
          <w:sz w:val="20"/>
          <w:szCs w:val="20"/>
          <w:color w:val="auto"/>
        </w:rPr>
      </w:pPr>
      <w:r>
        <w:rPr>
          <w:rFonts w:ascii="Arial" w:cs="Arial" w:eastAsia="Arial" w:hAnsi="Arial"/>
          <w:sz w:val="14"/>
          <w:szCs w:val="14"/>
          <w:color w:val="auto"/>
        </w:rPr>
        <w:t>of</w:t>
      </w:r>
      <w:r>
        <w:rPr>
          <w:sz w:val="20"/>
          <w:szCs w:val="20"/>
          <w:color w:val="auto"/>
        </w:rPr>
        <w:tab/>
      </w:r>
      <w:r>
        <w:rPr>
          <w:rFonts w:ascii="Arial" w:cs="Arial" w:eastAsia="Arial" w:hAnsi="Arial"/>
          <w:sz w:val="14"/>
          <w:szCs w:val="14"/>
          <w:color w:val="auto"/>
        </w:rPr>
        <w:t>; risk free interest rate of</w:t>
      </w:r>
      <w:r>
        <w:rPr>
          <w:sz w:val="20"/>
          <w:szCs w:val="20"/>
          <w:color w:val="auto"/>
        </w:rPr>
        <w:tab/>
      </w:r>
      <w:r>
        <w:rPr>
          <w:rFonts w:ascii="Arial" w:cs="Arial" w:eastAsia="Arial" w:hAnsi="Arial"/>
          <w:sz w:val="14"/>
          <w:szCs w:val="14"/>
          <w:color w:val="auto"/>
        </w:rPr>
        <w:t>; an expected dividend yield of</w:t>
      </w:r>
      <w:r>
        <w:rPr>
          <w:sz w:val="20"/>
          <w:szCs w:val="20"/>
          <w:color w:val="auto"/>
        </w:rPr>
        <w:tab/>
      </w:r>
      <w:r>
        <w:rPr>
          <w:rFonts w:ascii="Arial" w:cs="Arial" w:eastAsia="Arial" w:hAnsi="Arial"/>
          <w:sz w:val="14"/>
          <w:szCs w:val="14"/>
          <w:color w:val="auto"/>
        </w:rPr>
        <w:t>%; and an expected life of</w:t>
      </w:r>
      <w:r>
        <w:rPr>
          <w:sz w:val="20"/>
          <w:szCs w:val="20"/>
          <w:color w:val="auto"/>
        </w:rPr>
        <w:tab/>
      </w:r>
      <w:r>
        <w:rPr>
          <w:rFonts w:ascii="Arial" w:cs="Arial" w:eastAsia="Arial" w:hAnsi="Arial"/>
          <w:sz w:val="12"/>
          <w:szCs w:val="12"/>
          <w:color w:val="auto"/>
        </w:rPr>
        <w:t>years.</w:t>
      </w:r>
    </w:p>
    <w:p>
      <w:pPr>
        <w:spacing w:after="0" w:line="97" w:lineRule="exact"/>
        <w:rPr>
          <w:sz w:val="20"/>
          <w:szCs w:val="20"/>
          <w:color w:val="auto"/>
        </w:rPr>
      </w:pPr>
    </w:p>
    <w:p>
      <w:pPr>
        <w:ind w:left="360" w:hanging="355"/>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amounts represent Mr. Deterding’s annual commission as described in “Annual Cash Incentive Compensation” below.</w:t>
      </w:r>
    </w:p>
    <w:p>
      <w:pPr>
        <w:spacing w:after="0" w:line="109" w:lineRule="exact"/>
        <w:rPr>
          <w:rFonts w:ascii="Arial" w:cs="Arial" w:eastAsia="Arial" w:hAnsi="Arial"/>
          <w:sz w:val="14"/>
          <w:szCs w:val="14"/>
          <w:color w:val="auto"/>
        </w:rPr>
      </w:pPr>
    </w:p>
    <w:p>
      <w:pPr>
        <w:ind w:left="360" w:right="220" w:hanging="355"/>
        <w:spacing w:after="0" w:line="273" w:lineRule="auto"/>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provide our NEOs with other benefits that we believe are reasonable, competitive and consistent with our overall executive compensation structure. The amounts in this column for fiscal year 2018 include:</w:t>
      </w:r>
    </w:p>
    <w:p>
      <w:pPr>
        <w:spacing w:after="0" w:line="65" w:lineRule="exact"/>
        <w:rPr>
          <w:rFonts w:ascii="Arial" w:cs="Arial" w:eastAsia="Arial" w:hAnsi="Arial"/>
          <w:sz w:val="14"/>
          <w:szCs w:val="14"/>
          <w:color w:val="auto"/>
        </w:rPr>
      </w:pPr>
    </w:p>
    <w:p>
      <w:pPr>
        <w:ind w:left="700" w:right="440" w:hanging="344"/>
        <w:spacing w:after="0" w:line="273" w:lineRule="auto"/>
        <w:tabs>
          <w:tab w:leader="none" w:pos="700" w:val="left"/>
        </w:tabs>
        <w:numPr>
          <w:ilvl w:val="1"/>
          <w:numId w:val="58"/>
        </w:numPr>
        <w:rPr>
          <w:rFonts w:ascii="Arial" w:cs="Arial" w:eastAsia="Arial" w:hAnsi="Arial"/>
          <w:sz w:val="14"/>
          <w:szCs w:val="14"/>
          <w:color w:val="auto"/>
        </w:rPr>
      </w:pPr>
      <w:r>
        <w:rPr>
          <w:rFonts w:ascii="Arial" w:cs="Arial" w:eastAsia="Arial" w:hAnsi="Arial"/>
          <w:sz w:val="14"/>
          <w:szCs w:val="14"/>
          <w:color w:val="auto"/>
        </w:rPr>
        <w:t>For Mr. Griffith: director fees of $28,913, vehicle expenses of $13,663, Company-paid health incentives of $45, a contribution under our ESOP of $14,994, and Company-paid premiums for group insurance of $2,776.</w:t>
      </w:r>
    </w:p>
    <w:p>
      <w:pPr>
        <w:spacing w:after="0" w:line="65" w:lineRule="exact"/>
        <w:rPr>
          <w:rFonts w:ascii="Arial" w:cs="Arial" w:eastAsia="Arial" w:hAnsi="Arial"/>
          <w:sz w:val="14"/>
          <w:szCs w:val="14"/>
          <w:color w:val="auto"/>
        </w:rPr>
      </w:pPr>
    </w:p>
    <w:p>
      <w:pPr>
        <w:ind w:left="700" w:right="160" w:hanging="344"/>
        <w:spacing w:after="0" w:line="273" w:lineRule="auto"/>
        <w:tabs>
          <w:tab w:leader="none" w:pos="700" w:val="left"/>
        </w:tabs>
        <w:numPr>
          <w:ilvl w:val="1"/>
          <w:numId w:val="58"/>
        </w:numPr>
        <w:rPr>
          <w:rFonts w:ascii="Arial" w:cs="Arial" w:eastAsia="Arial" w:hAnsi="Arial"/>
          <w:sz w:val="14"/>
          <w:szCs w:val="14"/>
          <w:color w:val="auto"/>
        </w:rPr>
      </w:pPr>
      <w:r>
        <w:rPr>
          <w:rFonts w:ascii="Arial" w:cs="Arial" w:eastAsia="Arial" w:hAnsi="Arial"/>
          <w:sz w:val="14"/>
          <w:szCs w:val="14"/>
          <w:color w:val="auto"/>
        </w:rPr>
        <w:t>For Mr. Newsom: director fees of $28,913, vehicle expenses of $6,469, a contribution under our ESOP of $14,994, Company-paid premiums for group insurance of $1,256, and home security and country-club dues of $10,389.</w:t>
      </w:r>
    </w:p>
    <w:p>
      <w:pPr>
        <w:spacing w:after="0" w:line="65" w:lineRule="exact"/>
        <w:rPr>
          <w:rFonts w:ascii="Arial" w:cs="Arial" w:eastAsia="Arial" w:hAnsi="Arial"/>
          <w:sz w:val="14"/>
          <w:szCs w:val="14"/>
          <w:color w:val="auto"/>
        </w:rPr>
      </w:pPr>
    </w:p>
    <w:p>
      <w:pPr>
        <w:ind w:left="700" w:right="180" w:hanging="344"/>
        <w:spacing w:after="0" w:line="273" w:lineRule="auto"/>
        <w:tabs>
          <w:tab w:leader="none" w:pos="700" w:val="left"/>
        </w:tabs>
        <w:numPr>
          <w:ilvl w:val="1"/>
          <w:numId w:val="58"/>
        </w:numPr>
        <w:rPr>
          <w:rFonts w:ascii="Arial" w:cs="Arial" w:eastAsia="Arial" w:hAnsi="Arial"/>
          <w:sz w:val="14"/>
          <w:szCs w:val="14"/>
          <w:color w:val="auto"/>
        </w:rPr>
      </w:pPr>
      <w:r>
        <w:rPr>
          <w:rFonts w:ascii="Arial" w:cs="Arial" w:eastAsia="Arial" w:hAnsi="Arial"/>
          <w:sz w:val="14"/>
          <w:szCs w:val="14"/>
          <w:color w:val="auto"/>
        </w:rPr>
        <w:t>For Mr. Deterding: a contribution under our ESOP of $5,779, Company-paid premiums for group insurance of $1,081, and home security and country-club dues of $4,932.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9086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  Certain 2018 compensation data is in the process of being finalized and will be included in a subsequent filing.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right="140" w:firstLine="360"/>
        <w:spacing w:after="0" w:line="263" w:lineRule="auto"/>
        <w:rPr>
          <w:sz w:val="20"/>
          <w:szCs w:val="20"/>
          <w:color w:val="auto"/>
        </w:rPr>
      </w:pPr>
      <w:r>
        <w:rPr>
          <w:rFonts w:ascii="Arial" w:cs="Arial" w:eastAsia="Arial" w:hAnsi="Arial"/>
          <w:sz w:val="18"/>
          <w:szCs w:val="18"/>
          <w:color w:val="auto"/>
        </w:rPr>
        <w:t>The following table summarizes outstanding and cash-settled stock appreciation rights, or SARs, held by our NEOs as of December 31, 2018. See “Converted Stock Appreciation Rights” below for more information on such SARs prior to and following the consummation of this offering.</w:t>
      </w:r>
    </w:p>
    <w:tbl>
      <w:tblPr>
        <w:tblLayout w:type="fixed"/>
        <w:tblInd w:w="0" w:type="dxa"/>
        <w:tblCellMar>
          <w:top w:w="0" w:type="dxa"/>
          <w:left w:w="0" w:type="dxa"/>
          <w:bottom w:w="0" w:type="dxa"/>
          <w:right w:w="0" w:type="dxa"/>
        </w:tblCellMar>
      </w:tblPr>
      <w:tr>
        <w:trPr>
          <w:trHeight w:val="211"/>
        </w:trPr>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1020"/>
              <w:spacing w:after="0" w:line="211" w:lineRule="exact"/>
              <w:rPr>
                <w:sz w:val="20"/>
                <w:szCs w:val="20"/>
                <w:color w:val="auto"/>
              </w:rPr>
            </w:pPr>
            <w:r>
              <w:rPr>
                <w:rFonts w:ascii="Arial" w:cs="Arial" w:eastAsia="Arial" w:hAnsi="Arial"/>
                <w:sz w:val="14"/>
                <w:szCs w:val="14"/>
                <w:b w:val="1"/>
                <w:bCs w:val="1"/>
                <w:color w:val="auto"/>
                <w:w w:val="96"/>
              </w:rPr>
              <w:t>SAR Awards</w:t>
            </w:r>
            <w:r>
              <w:rPr>
                <w:rFonts w:ascii="Arial" w:cs="Arial" w:eastAsia="Arial" w:hAnsi="Arial"/>
                <w:sz w:val="24"/>
                <w:szCs w:val="24"/>
                <w:b w:val="1"/>
                <w:bCs w:val="1"/>
                <w:color w:val="auto"/>
                <w:w w:val="96"/>
                <w:vertAlign w:val="superscript"/>
              </w:rPr>
              <w:t>(1)</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Securities</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Underlying</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SARs,</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SARs,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Exercisable</w:t>
            </w: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Unexercisable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SAR Strike Price ($)</w:t>
            </w:r>
            <w:r>
              <w:rPr>
                <w:rFonts w:ascii="Arial" w:cs="Arial" w:eastAsia="Arial" w:hAnsi="Arial"/>
                <w:sz w:val="24"/>
                <w:szCs w:val="24"/>
                <w:b w:val="1"/>
                <w:bCs w:val="1"/>
                <w:color w:val="auto"/>
                <w:w w:val="92"/>
                <w:vertAlign w:val="superscript"/>
              </w:rPr>
              <w:t>(2)</w:t>
            </w:r>
          </w:p>
        </w:tc>
        <w:tc>
          <w:tcPr>
            <w:tcW w:w="20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gridSpan w:val="2"/>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Expiration Date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Curtis C. Griffith</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9.49</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10.03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12/31/2021</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12.03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12/31/2022</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12/31/2023</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5.88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12/31/2026</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12/31/2027</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10.93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12/31/2028</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12.24</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12/31/2029</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13.88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12/31/2030</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12/31/2031</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19.05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12/31/2032</w:t>
            </w: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gridSpan w:val="3"/>
          </w:tcPr>
          <w:p>
            <w:pPr>
              <w:spacing w:after="0"/>
              <w:rPr>
                <w:sz w:val="20"/>
                <w:szCs w:val="20"/>
                <w:color w:val="auto"/>
              </w:rPr>
            </w:pPr>
            <w:r>
              <w:rPr>
                <w:rFonts w:ascii="Arial" w:cs="Arial" w:eastAsia="Arial" w:hAnsi="Arial"/>
                <w:sz w:val="18"/>
                <w:szCs w:val="18"/>
                <w:color w:val="auto"/>
              </w:rPr>
              <w:t>Cory T. Newsom</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9.49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11.03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12/31/2021</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12/31/2022</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10.33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12/31/2023</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12/31/2026</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8.60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12/31/2027</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12/31/2028</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12.24</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12/31/2029</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12/31/2030</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16.93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12/31/2031</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19.05</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12/31/2032</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123,000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Kelly L. Deterding</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9.49</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10.03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12/31/2021</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12.03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12/31/2022</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12/31/2023</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5.88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12/31/2026</w:t>
            </w:r>
          </w:p>
        </w:tc>
        <w:tc>
          <w:tcPr>
            <w:tcW w:w="0" w:type="dxa"/>
            <w:vAlign w:val="bottom"/>
          </w:tcPr>
          <w:p>
            <w:pPr>
              <w:spacing w:after="0"/>
              <w:rPr>
                <w:sz w:val="1"/>
                <w:szCs w:val="1"/>
                <w:color w:val="auto"/>
              </w:rPr>
            </w:pPr>
          </w:p>
        </w:tc>
      </w:tr>
      <w:tr>
        <w:trPr>
          <w:trHeight w:val="249"/>
        </w:trPr>
        <w:tc>
          <w:tcPr>
            <w:tcW w:w="3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12/31/2027</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10.93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12/31/2028</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12.24</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12/31/2029</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20"/>
                <w:szCs w:val="20"/>
                <w:color w:val="auto"/>
              </w:rPr>
            </w:pPr>
          </w:p>
        </w:tc>
        <w:tc>
          <w:tcPr>
            <w:tcW w:w="12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9086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84" w:lineRule="exact"/>
        <w:rPr>
          <w:sz w:val="20"/>
          <w:szCs w:val="20"/>
          <w:color w:val="auto"/>
        </w:rPr>
      </w:pPr>
    </w:p>
    <w:p>
      <w:pPr>
        <w:ind w:left="360" w:right="40" w:hanging="355"/>
        <w:spacing w:after="0" w:line="273" w:lineRule="auto"/>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Prior to this offering, we expect to convert the value of all outstanding vested and unvested cash-settled SARs, a total of 1,401,000 after giving effect to the 29-for-1 stock dividend, to an equal number of stock options to acquire our common stock under the 2019 Plan.</w:t>
      </w:r>
    </w:p>
    <w:p>
      <w:pPr>
        <w:spacing w:after="0" w:line="65" w:lineRule="exact"/>
        <w:rPr>
          <w:rFonts w:ascii="Arial" w:cs="Arial" w:eastAsia="Arial" w:hAnsi="Arial"/>
          <w:sz w:val="14"/>
          <w:szCs w:val="14"/>
          <w:color w:val="auto"/>
        </w:rPr>
      </w:pPr>
    </w:p>
    <w:p>
      <w:pPr>
        <w:ind w:left="360" w:hanging="355"/>
        <w:spacing w:after="0"/>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SAR strike price reflects the fair market value of our common stock as of the grant date, adjusted to give effect to the 29-for-1 stock dividend.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Base salary is designed to attract and retain experienced executive officers who can manage the Company and the Bank and achieve the Company’s long-term business goals. Base salaries are generally targeted at the top of the competitive market. The base salary for each executive officer is based upon officer experience, expected personal performance, salary levels in effect for comparable positions in the industry, internal base salary comparability considerations and the responsibilities assumed by the executive officer. While an executive officer’s initial salary is determined by an assessment of competitive market levels, the major factor in determining base salary increases is individual performance. Base salaries are reviewed and adjusted annually to reflect changes in personal achievement, changes in role, responsibility and the competitive environment. Insurance benefits and retirement benefits are not taken into account when determining base salary.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Company has historically granted an annual cash bonus tied to Company performance. The annual cash bonus is expressed as a percentage of the executive’s base salary. The amount is determined based on how the Company’s actual results compare to the annual budget. The annual cash bonus is usually paid in December. Mr. Newsom’s annual cash bonus is governed by his employment agreement. In addition to the annual cash bonus, Mr. Deterding is eligible to earn an annual commission of 20% of the net income of Windmark Insurance, which is usually paid in January of the following year. Our annual cash incentive compensation programs are designed to supplement base salary and align the executive’s interest with those of our shareholders by linking the Company’s performance to the bonus.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Plains Financial, Inc. 2019 Equity Incentive Plan</w:t>
      </w:r>
    </w:p>
    <w:p>
      <w:pPr>
        <w:spacing w:after="0" w:line="117"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Our board of directors has adopted the South Plains Financial, Inc. 2019 Equity Incentive Plan for the purpose of attracting and retaining employees by providing them with additional incentives, and to promote the success of our company’s business.</w:t>
      </w:r>
    </w:p>
    <w:p>
      <w:pPr>
        <w:spacing w:after="0" w:line="16"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 Our board of directors or one or more committees appointed by our board of directors will administer the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The Compensation Committee has been appointed by our board of directors to administer the 2019 Plan.</w:t>
      </w:r>
    </w:p>
    <w:p>
      <w:pPr>
        <w:spacing w:after="0" w:line="38"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Persons eligible to receive awards under the 2019 Plan include our officers, employees, consultants and members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Our board of directors or one or more committees appointed by our board of directors will determine from time to time the participants to whom awards will be granted.</w:t>
      </w:r>
    </w:p>
    <w:p>
      <w:pPr>
        <w:spacing w:after="0" w:line="76"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Authorized Shares; Limits on Awards</w:t>
      </w:r>
      <w:r>
        <w:rPr>
          <w:rFonts w:ascii="Arial" w:cs="Arial" w:eastAsia="Arial" w:hAnsi="Arial"/>
          <w:sz w:val="18"/>
          <w:szCs w:val="18"/>
          <w:color w:val="auto"/>
        </w:rPr>
        <w:t>. The maximum number of common shares that may be issued or transferred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under the 2019 Plan equals 2,300,000, all of which may be subject to incentive stock option treatment. The maximum aggregate number of common shares that may be issued pursuant to all awards under the 2019 Plan shall increase annually on the first day of each fiscal year following the adoption of the 2019 Plan by the number of common shares equal to the lesser of (i) 3% of the total issued and outstanding common shares on the first day of such fiscal year, and (ii) such lesser amount determined by our board of directors.</w:t>
      </w:r>
    </w:p>
    <w:p>
      <w:pPr>
        <w:spacing w:after="0" w:line="84" w:lineRule="exact"/>
        <w:rPr>
          <w:sz w:val="20"/>
          <w:szCs w:val="20"/>
          <w:color w:val="auto"/>
        </w:rPr>
      </w:pPr>
    </w:p>
    <w:p>
      <w:pPr>
        <w:ind w:right="20" w:firstLine="360"/>
        <w:spacing w:after="0" w:line="296" w:lineRule="auto"/>
        <w:rPr>
          <w:sz w:val="20"/>
          <w:szCs w:val="20"/>
          <w:color w:val="auto"/>
        </w:rPr>
      </w:pPr>
      <w:r>
        <w:rPr>
          <w:rFonts w:ascii="Arial" w:cs="Arial" w:eastAsia="Arial" w:hAnsi="Arial"/>
          <w:sz w:val="16"/>
          <w:szCs w:val="16"/>
          <w:b w:val="1"/>
          <w:bCs w:val="1"/>
          <w:i w:val="1"/>
          <w:iCs w:val="1"/>
          <w:color w:val="auto"/>
        </w:rPr>
        <w:t>Adjustments or Changes in Capitalization</w:t>
      </w:r>
      <w:r>
        <w:rPr>
          <w:rFonts w:ascii="Arial" w:cs="Arial" w:eastAsia="Arial" w:hAnsi="Arial"/>
          <w:sz w:val="16"/>
          <w:szCs w:val="16"/>
          <w:color w:val="auto"/>
        </w:rPr>
        <w:t>. In the event of any change in the outstanding common shares by reason of a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split, stock dividend or other non-recurring dividends or distributions, recapitalization, merger, consolidation, spin-off, combination, repurchase or exchange of stock, reorganization, liquidation, dissolution or other similar corporate transaction that affects our common stock, the aggregate number of shares of common stock available under the 2019 Plan or subject to outstanding awards (including the exercise price of any awards) shall be adjusted as our board of directors deems necessary or appropriate.</w:t>
      </w:r>
    </w:p>
    <w:p>
      <w:pPr>
        <w:spacing w:after="0" w:line="53"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b w:val="1"/>
          <w:bCs w:val="1"/>
          <w:i w:val="1"/>
          <w:iCs w:val="1"/>
          <w:color w:val="auto"/>
        </w:rPr>
        <w:t>Incentive Awards</w:t>
      </w:r>
      <w:r>
        <w:rPr>
          <w:rFonts w:ascii="Arial" w:cs="Arial" w:eastAsia="Arial" w:hAnsi="Arial"/>
          <w:sz w:val="18"/>
          <w:szCs w:val="18"/>
          <w:color w:val="auto"/>
        </w:rPr>
        <w:t>. The 2019 Plan authorizes stock options, SARs, restricted stock, restricted stock units, performance-based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as well as other awards (described in the 2019 Plan) that are responsive to changing developments in management compensation. The 2019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w:t>
      </w:r>
    </w:p>
    <w:p>
      <w:pPr>
        <w:spacing w:after="0" w:line="80" w:lineRule="exact"/>
        <w:rPr>
          <w:sz w:val="20"/>
          <w:szCs w:val="20"/>
          <w:color w:val="auto"/>
        </w:rPr>
      </w:pPr>
    </w:p>
    <w:p>
      <w:pPr>
        <w:ind w:left="700" w:right="600" w:hanging="344"/>
        <w:spacing w:after="0" w:line="277"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A stock option is the right to purchase common shares at a future date at a specified price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equal to, but no less than, the fair market value of a share on the date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40"/>
        <w:spacing w:after="0" w:line="257" w:lineRule="auto"/>
        <w:rPr>
          <w:sz w:val="20"/>
          <w:szCs w:val="20"/>
          <w:color w:val="auto"/>
        </w:rPr>
      </w:pPr>
      <w:r>
        <w:rPr>
          <w:rFonts w:ascii="Arial" w:cs="Arial" w:eastAsia="Arial" w:hAnsi="Arial"/>
          <w:sz w:val="18"/>
          <w:szCs w:val="18"/>
          <w:color w:val="auto"/>
        </w:rPr>
        <w:t>grant. An option may either be an Incentive Stock Option, or ISO, or a nonstatutory stock option, or NSO. ISO benefits are taxed differently from NSOs, as described under “Federal Income Tax Treatment of Awards under the 2019 Plan,” below. ISOs also are subject to more restrictive terms and are limited in amount by the Code and the 2019 Plan. Full payment for shares purchased on the exercise of any option must be made at the time of such exercise in a manner approved by our board of directors.</w:t>
      </w:r>
    </w:p>
    <w:p>
      <w:pPr>
        <w:spacing w:after="0" w:line="80" w:lineRule="exact"/>
        <w:rPr>
          <w:sz w:val="20"/>
          <w:szCs w:val="20"/>
          <w:color w:val="auto"/>
        </w:rPr>
      </w:pPr>
    </w:p>
    <w:p>
      <w:pPr>
        <w:ind w:left="700" w:right="80" w:hanging="344"/>
        <w:spacing w:after="0" w:line="259" w:lineRule="auto"/>
        <w:tabs>
          <w:tab w:leader="none" w:pos="70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A SAR is the right to receive payment of an amount equal to the excess of the fair market value of a common share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of exercise of the SAR over the base price of the SAR. The base price will be established by our board of directors at the time of grant of the SAR but will not be less than the fair market value of a share on the date of grant. SARs may be granted in connection with other awards or independently.</w:t>
      </w:r>
    </w:p>
    <w:p>
      <w:pPr>
        <w:spacing w:after="0" w:line="78" w:lineRule="exact"/>
        <w:rPr>
          <w:rFonts w:ascii="Arial" w:cs="Arial" w:eastAsia="Arial" w:hAnsi="Arial"/>
          <w:sz w:val="18"/>
          <w:szCs w:val="18"/>
          <w:color w:val="auto"/>
        </w:rPr>
      </w:pPr>
    </w:p>
    <w:p>
      <w:pPr>
        <w:ind w:left="700" w:right="260" w:hanging="344"/>
        <w:spacing w:after="0" w:line="291" w:lineRule="auto"/>
        <w:tabs>
          <w:tab w:leader="none" w:pos="700" w:val="left"/>
        </w:tabs>
        <w:numPr>
          <w:ilvl w:val="1"/>
          <w:numId w:val="61"/>
        </w:numPr>
        <w:rPr>
          <w:rFonts w:ascii="Arial" w:cs="Arial" w:eastAsia="Arial" w:hAnsi="Arial"/>
          <w:sz w:val="16"/>
          <w:szCs w:val="16"/>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restricted stock award is typically for a fixed number of common shares subject to restrictions.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specifies the price, if any, the participant must pay for such shares and the restrictions (which may include, for example, continued service and/or performance standards) imposed on such shares. A stock bonus may be granted by our board of directors to any eligible person to reward exceptional or special services, contributions or achievements in the manner and on such terms and conditions (including any restrictions on such shares) as determined from time to time by our board of directors. The number of shares so awarded shall be determined by our board of directors and may be granted independently or in lieu of a cash bonus.</w:t>
      </w:r>
    </w:p>
    <w:p>
      <w:pPr>
        <w:spacing w:after="0" w:line="58" w:lineRule="exact"/>
        <w:rPr>
          <w:rFonts w:ascii="Arial" w:cs="Arial" w:eastAsia="Arial" w:hAnsi="Arial"/>
          <w:sz w:val="16"/>
          <w:szCs w:val="16"/>
          <w:color w:val="auto"/>
        </w:rPr>
      </w:pPr>
    </w:p>
    <w:p>
      <w:pPr>
        <w:ind w:left="700" w:right="120" w:hanging="344"/>
        <w:spacing w:after="0" w:line="277" w:lineRule="auto"/>
        <w:tabs>
          <w:tab w:leader="none" w:pos="70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A restricted stock unit is similar to a SAR except that it entitles the recipient to receive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fair market value of a common share.</w:t>
      </w:r>
    </w:p>
    <w:p>
      <w:pPr>
        <w:spacing w:after="0" w:line="62" w:lineRule="exact"/>
        <w:rPr>
          <w:rFonts w:ascii="Arial" w:cs="Arial" w:eastAsia="Arial" w:hAnsi="Arial"/>
          <w:sz w:val="18"/>
          <w:szCs w:val="18"/>
          <w:color w:val="auto"/>
        </w:rPr>
      </w:pPr>
    </w:p>
    <w:p>
      <w:pPr>
        <w:ind w:left="360" w:hanging="355"/>
        <w:spacing w:after="0" w:line="284" w:lineRule="auto"/>
        <w:tabs>
          <w:tab w:leader="none" w:pos="3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Our board of directors may designate any award, the exercisability or settlement of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achievement of performance conditions, as a performance-based award. The performance goals set forth in the 2019 Plan are such goals as established by our board of directors or a committee of the board of directors in connection with an award and will based upon one or more criteria. Our board of directors may select any number of performance goals from this list of performance goals when establishing the performance measures of a performance-based award. The 2019 Plan allows performance goals to be described in terms of objectives that are related to an individual participant or goals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 The performance goals set forth in the 2019 Plan are: interest income and expense; net earnings or net income; net interest margin; efficiency ratio; reduction in non-accrual loans and non-interest expense; growth in non-interest income and ratios to earning assets; net revenue growth and ratio to earning assets; capital ratios; asset or liability interest rate sensitivity and gap; effective tax rate; deposit growth and composition; liquidity management; securities portfolio (value, yield, spread, maturity, or duration); asset growth and composition (loans, securities); non-interest income (e.g., fees, premiums and commissions, loans, wealth management, treasury management, insurance, funds management) and expense; overhead ratios, productivity ratios; credit quality measures; return on assets; return on equity; economic value of equity; compliance and CAMELS or other regulatory ratings; internal controls; enterprise risk measures (e.g., interest rate, loan concentrations, portfolio composition, credit quality, operational measures, compliance ratings, balance sheet, liquidity, insurance); volume in production or loans; non-performing asset or non-performing loan levels or ratios or loan delinquency levels; provision for loan losses or net charge-offs; cash flow; cost; revenues; sales; ratio of debt to debt plus equity; net borrowing, credit quality or debt ratings; profit before tax; economic profit; earnings before interest and taxes; earnings before interest, taxes, depreciation and amortization; gross margin; profit margin; earnings per share; operating earnings; capital expenditures; expenses or expense levels; economic value added; ratio of operating earnings to capital spending or any other operating ratios; free cash flow; net profit; net sales; net asset value per share; the accomplishment of mergers, acquisitions, dispositions, public offerings or similar extraordinary business transactions; sales growth; price of the Company’s Shares; return on investment; equity or shareholder’ equity; market share; inventory levels, inventory turn or shrinkage; customer satisfaction; or total shareholder return.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96" w:lineRule="auto"/>
        <w:rPr>
          <w:sz w:val="20"/>
          <w:szCs w:val="20"/>
          <w:color w:val="auto"/>
        </w:rPr>
      </w:pPr>
      <w:r>
        <w:rPr>
          <w:rFonts w:ascii="Arial" w:cs="Arial" w:eastAsia="Arial" w:hAnsi="Arial"/>
          <w:sz w:val="16"/>
          <w:szCs w:val="16"/>
          <w:b w:val="1"/>
          <w:bCs w:val="1"/>
          <w:i w:val="1"/>
          <w:iCs w:val="1"/>
          <w:color w:val="auto"/>
        </w:rPr>
        <w:t>Acceleration of Awards; Possible Early Termination of Awards</w:t>
      </w:r>
      <w:r>
        <w:rPr>
          <w:rFonts w:ascii="Arial" w:cs="Arial" w:eastAsia="Arial" w:hAnsi="Arial"/>
          <w:sz w:val="16"/>
          <w:szCs w:val="16"/>
          <w:color w:val="auto"/>
        </w:rPr>
        <w:t>. Upon a change in control of our Company,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2019 Plan will be assumed or substituted on the same terms. However, if the successor corporation does not assume or substitute the outstanding awards, then vesting of these awards will fully accelerate, and in the case of options or SARs, will become immediately exercisable. For this purpose a change in control is defined to include certain changes in the majority of our board, the sale of all or substantially all of our Company’s assets, and the consummation of certain mergers or consolidations.</w:t>
      </w:r>
    </w:p>
    <w:p>
      <w:pPr>
        <w:spacing w:after="0" w:line="53"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color w:val="auto"/>
        </w:rPr>
        <w:t>. Subject to certain exceptions, awards under the 2019 Plan are not transferable by the recipient other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will or the laws of descent and distribution and are generally exercisable, during the recipient’s lifetime, only by him or her.</w:t>
      </w:r>
    </w:p>
    <w:p>
      <w:pPr>
        <w:spacing w:after="0" w:line="16"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b w:val="1"/>
          <w:bCs w:val="1"/>
          <w:i w:val="1"/>
          <w:iCs w:val="1"/>
          <w:color w:val="auto"/>
        </w:rPr>
        <w:t>Termination of or Changes to the 2019 Plan</w:t>
      </w:r>
      <w:r>
        <w:rPr>
          <w:rFonts w:ascii="Arial" w:cs="Arial" w:eastAsia="Arial" w:hAnsi="Arial"/>
          <w:sz w:val="18"/>
          <w:szCs w:val="18"/>
          <w:color w:val="auto"/>
        </w:rPr>
        <w:t>. Our board of directors may amend or terminate the 2019 Plan at any time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manner. Unless required by applicable law or listing agency rule, stockholder approval for any amendment will not be required. Unless previously terminated by our board of directors, the 2019 Plan will terminate on January 16, 2029. Generally speaking, outstanding awards may be amended, subject, however, to the consent of the holder if the amendment materially and adversely affects the holder.</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Federal Income Tax Treatment of Awards under the 2019 Plan</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Federal income tax consequences (subject to change) relating to awards under the 2019 Plan are summarized in the following discussion. This summary is not intended to be exhaustive and, among other considerations, does not describe the deferred compensation provisions of Section 409A of the Code to the extent an award is subject to and does not satisfy those rules, nor does it describe state, local, or international tax consequences.</w:t>
      </w:r>
    </w:p>
    <w:p>
      <w:pPr>
        <w:spacing w:after="0" w:line="79"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For NSOs, the Company is generally entitled to deduct (and the optionee recognizes taxable income in) an amount equal to the difference between the option exercise price and the fair market value of the shares at the time of exercise. For ISOs, our Company is generally not entitled to a deduction nor does the participant recognize income at the time of exercise. The current federal income tax consequences of other awards authorized under the 2019 Plan generally are as follows: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and performance share awards are generally subject to tax at the time of payment; cash-based awards are generally subject to tax at the time of payment; and compensation otherwise effectively deferred is taxed when paid. Our Company will generally have a corresponding deduction at the time the participant recognizes income. However, for ,ISOs our Company would generally have no corresponding compensation deduction.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Converted Stock Appreciation Rights</w:t>
      </w:r>
    </w:p>
    <w:p>
      <w:pPr>
        <w:spacing w:after="0" w:line="121"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Historically, we granted SARs on January 1 of each year to our NEOs. The SARs are settled in cash in an amount equal to the spread between the fair market value of our common stock on the date of grant and the fair market value of our common stock on the date the award is settled. The awards typically had a 5-year cliff vesting schedule.</w:t>
      </w:r>
    </w:p>
    <w:p>
      <w:pPr>
        <w:spacing w:after="0" w:line="5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We believe that management should have a significant financial stake in our Company in order to align their interests with the interests of our long-term shareholders. Therefore, prior to this offering, we expect to convert the value of all outstanding vested and unvested cash-settled SARs, a total of 1,401,000 after giving effect to the 29-for-1 stock dividend, to an equal number of stock options to acquire our common stock under the 2019 Plan. Each stock option will be economically equivalent to the cash-settled SAR that it is replacing and will generally have the same terms and conditions as the cash-settled SAR, including vesting conditions and strike price, provided that in certain cases the period within which the stock option may be exercised is shortened. The stock options are compliant with Section 409A of the Code and are settled only in our common stock upon the earliest of the following events: (i) the optionee’s death, (ii) the optionee’s disability, (iii) a change in control of our Company, (iv) the optionee’s termination of employment with our Company, and (v) the expiration of the stock options. The number of stock options that each NEO is expected to be granted pursuant to the conversion is: (i) 66,000 stock options for Mr. Griffith, (ii) 123,000 stock options for Mr. Newsom, and (iii) 15,000 stock options for Mr. Deterding.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ESOP</w:t>
      </w:r>
    </w:p>
    <w:p>
      <w:pPr>
        <w:spacing w:after="0" w:line="117"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The Company has established an employee stock ownership and 401(k) plan for the benefit of all employees who meet the eligibility requirements of the ESOP (the plan generally covers all employees who have completed one month of service). Prior to this offering, the Company contributed cash annually into the ESOP portion of the plan, which was used to buy new shares of common stock of South Plains Financial or to service ESOP debt (which the ESOP does not currently have outstanding). The Company’s contributions in excess of debt service requirements were completely discretionary. Shares in the ESOP were allocated to individual employee accounts. Employees are fully vested in amounts contributed by the Company on their behalf after six years. When employment is terminated, employees are eligible to receive cash or, effective as of May 31, 2018, a distribution of stock, based on the value of their ESOP account.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17" w:lineRule="exact"/>
        <w:rPr>
          <w:sz w:val="20"/>
          <w:szCs w:val="20"/>
          <w:color w:val="auto"/>
        </w:rPr>
      </w:pPr>
    </w:p>
    <w:p>
      <w:pPr>
        <w:ind w:firstLine="360"/>
        <w:spacing w:after="0" w:line="275" w:lineRule="auto"/>
        <w:rPr>
          <w:sz w:val="20"/>
          <w:szCs w:val="20"/>
          <w:color w:val="auto"/>
        </w:rPr>
      </w:pPr>
      <w:r>
        <w:rPr>
          <w:rFonts w:ascii="Arial" w:cs="Arial" w:eastAsia="Arial" w:hAnsi="Arial"/>
          <w:sz w:val="17"/>
          <w:szCs w:val="17"/>
          <w:b w:val="1"/>
          <w:bCs w:val="1"/>
          <w:i w:val="1"/>
          <w:iCs w:val="1"/>
          <w:color w:val="auto"/>
        </w:rPr>
        <w:t>Nonqualified Deferred Compensation Plan</w:t>
      </w:r>
      <w:r>
        <w:rPr>
          <w:rFonts w:ascii="Arial" w:cs="Arial" w:eastAsia="Arial" w:hAnsi="Arial"/>
          <w:sz w:val="17"/>
          <w:szCs w:val="17"/>
          <w:color w:val="auto"/>
        </w:rPr>
        <w:t>. We sponsor a non-qualified, non-contributory deferred compensation plan,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Deferred Compensation Plan, for the benefit of certain employees of the Company. The primary purpose of the Deferred Compensation Plan is to provide additional compensation to participants upon termination of employment with the Company, death, or attainment of retirement age. The amount, timing, and form of payment is specified in the adoption agreement executed by the Company and the participant. The Deferred Compensation Plan is unfunded.</w:t>
      </w:r>
    </w:p>
    <w:p>
      <w:pPr>
        <w:spacing w:after="0" w:line="6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Effective April 9, 2008, the Company entered into an agreement under the Deferred Compensation Plan with Mr. Newsom. Mr. Newsom is 100% vested in his benefit and his benefit will be paid in cash only. Mr. Newsom's agreement provides that he will receive an annual benefit of $150,000 on the earlier to occur of (i) achievement of retirement age (defined as age 58) and (ii) separation from service within two years following a change in control (as defined in the Deferred Compensation Plan). If Mr. Newsom experiences a separation from service or becomes disabled while employed, in each case, prior to reaching retirement age, he will be entitled to a lump sum benefit equal to his benefit liability balance as set forth in Deferred Compensation Plan. In the event Mr. Newsom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73"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b w:val="1"/>
          <w:bCs w:val="1"/>
          <w:i w:val="1"/>
          <w:iCs w:val="1"/>
          <w:color w:val="auto"/>
        </w:rPr>
        <w:t>Split Dollar Life Insurance Benefits</w:t>
      </w:r>
      <w:r>
        <w:rPr>
          <w:rFonts w:ascii="Arial" w:cs="Arial" w:eastAsia="Arial" w:hAnsi="Arial"/>
          <w:sz w:val="17"/>
          <w:szCs w:val="17"/>
          <w:color w:val="auto"/>
        </w:rPr>
        <w:t>. The Company has purchased life insurance policies on Mr. Newsom and has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Joint Beneficial Designation Agreements with him regarding such policies. The agreements provide certain death benefits to Mr. Newsom’s beneficiaries upon his death. If Mr. Newsom’s death occurs: (i) while employed by the Company; (ii) after retirement with the Company; (iii) after a change in control (as defined in the life insurance policy documents); or (iv) or after a determination of disability, he is entitled to a certain percentage of the value of the policies less the cash value of the policies. Mr. Newsom is 100% vested in his benefits under the agreements. At December 31, 2018, the value of the split dollar life insurance benefits for Mr. Newsom’s beneficiaries would have been approximately $2,831,000.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Cory T. Newsom</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On March , 2019, the Company and the Bank entered into an employment agreement with Mr. Newsom. The key terms of the agreement are set forth below.</w:t>
      </w:r>
    </w:p>
    <w:p>
      <w:pPr>
        <w:spacing w:after="0" w:line="6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employment agreement has an initial three-year term and will automatically renew for additional three-year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we or Mr. Newsom provides 90-days’ advance notice of non-renewal.</w:t>
      </w:r>
    </w:p>
    <w:p>
      <w:pPr>
        <w:spacing w:after="0" w:line="62" w:lineRule="exact"/>
        <w:rPr>
          <w:sz w:val="20"/>
          <w:szCs w:val="20"/>
          <w:color w:val="auto"/>
        </w:rPr>
      </w:pPr>
    </w:p>
    <w:p>
      <w:pPr>
        <w:ind w:right="20" w:firstLine="360"/>
        <w:spacing w:after="0" w:line="311" w:lineRule="auto"/>
        <w:rPr>
          <w:sz w:val="20"/>
          <w:szCs w:val="20"/>
          <w:color w:val="auto"/>
        </w:rPr>
      </w:pPr>
      <w:r>
        <w:rPr>
          <w:rFonts w:ascii="Arial" w:cs="Arial" w:eastAsia="Arial" w:hAnsi="Arial"/>
          <w:sz w:val="16"/>
          <w:szCs w:val="16"/>
          <w:i w:val="1"/>
          <w:iCs w:val="1"/>
          <w:color w:val="auto"/>
        </w:rPr>
        <w:t>Service on the Board</w:t>
      </w:r>
      <w:r>
        <w:rPr>
          <w:rFonts w:ascii="Arial" w:cs="Arial" w:eastAsia="Arial" w:hAnsi="Arial"/>
          <w:sz w:val="16"/>
          <w:szCs w:val="16"/>
          <w:color w:val="auto"/>
        </w:rPr>
        <w:t>. Pursuant to the employment agreement, our board of directors will nominate Mr. Newsom for re-election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a member of our board of directors at the expiration of each then-current term and the board of directors of the Bank will nominate Mr. Newsom for re-election as a member of its board of directors at the expiration of each then-current term.</w:t>
      </w:r>
    </w:p>
    <w:p>
      <w:pPr>
        <w:spacing w:after="0" w:line="41" w:lineRule="exact"/>
        <w:rPr>
          <w:sz w:val="20"/>
          <w:szCs w:val="20"/>
          <w:color w:val="auto"/>
        </w:rPr>
      </w:pPr>
    </w:p>
    <w:p>
      <w:pPr>
        <w:ind w:right="460" w:firstLine="360"/>
        <w:spacing w:after="0" w:line="342" w:lineRule="auto"/>
        <w:rPr>
          <w:sz w:val="20"/>
          <w:szCs w:val="20"/>
          <w:color w:val="auto"/>
        </w:rPr>
      </w:pPr>
      <w:r>
        <w:rPr>
          <w:rFonts w:ascii="Arial" w:cs="Arial" w:eastAsia="Arial" w:hAnsi="Arial"/>
          <w:sz w:val="16"/>
          <w:szCs w:val="16"/>
          <w:i w:val="1"/>
          <w:iCs w:val="1"/>
          <w:color w:val="auto"/>
        </w:rPr>
        <w:t>Cash Compensation</w:t>
      </w:r>
      <w:r>
        <w:rPr>
          <w:rFonts w:ascii="Arial" w:cs="Arial" w:eastAsia="Arial" w:hAnsi="Arial"/>
          <w:sz w:val="16"/>
          <w:szCs w:val="16"/>
          <w:color w:val="auto"/>
        </w:rPr>
        <w:t>. Mr. Newsom’s base salary will be not less than $630,000 annually. He is eligible for an annual cash</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bonus with a target amount equal to 50% of his base salary, and a maximum not to exceed 75% of his base salary.</w:t>
      </w:r>
    </w:p>
    <w:p>
      <w:pPr>
        <w:spacing w:after="0" w:line="16"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Mr. Newsom is eligible to receive benefits that are substantially similar to those of our other senior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the extent Mr. Newsom is not able to fully participate in contributions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Company to the ESOP due to IRS-imposed top-heavy testing limitations, then the Bank will pay Mr. Newsom a cash bonus equal to the value of the lost contribution. With respect to other benefits, the Bank will (i) pay or reimburse Mr. Newsom for all of his country club membership dues and expenses; and (ii) provide Mr. Newsom with an automobile. The Bank will pay all of the reasonable professional fees and expenses incurred by Mr. Newsom in negotiation and preparation of the employment agreement and related agreements. The employment agreement also contains certain standard non-competition, non-solicitation, and confidentiality provisions.</w:t>
      </w:r>
    </w:p>
    <w:p>
      <w:pPr>
        <w:spacing w:after="0" w:line="84" w:lineRule="exact"/>
        <w:rPr>
          <w:sz w:val="20"/>
          <w:szCs w:val="20"/>
          <w:color w:val="auto"/>
        </w:rPr>
      </w:pPr>
    </w:p>
    <w:p>
      <w:pPr>
        <w:ind w:right="60" w:firstLine="360"/>
        <w:spacing w:after="0" w:line="301" w:lineRule="auto"/>
        <w:rPr>
          <w:sz w:val="20"/>
          <w:szCs w:val="20"/>
          <w:color w:val="auto"/>
        </w:rPr>
      </w:pPr>
      <w:r>
        <w:rPr>
          <w:rFonts w:ascii="Arial" w:cs="Arial" w:eastAsia="Arial" w:hAnsi="Arial"/>
          <w:sz w:val="16"/>
          <w:szCs w:val="16"/>
          <w:i w:val="1"/>
          <w:iCs w:val="1"/>
          <w:color w:val="auto"/>
        </w:rPr>
        <w:t>Equity Grants - RSU Award</w:t>
      </w:r>
      <w:r>
        <w:rPr>
          <w:rFonts w:ascii="Arial" w:cs="Arial" w:eastAsia="Arial" w:hAnsi="Arial"/>
          <w:sz w:val="16"/>
          <w:szCs w:val="16"/>
          <w:color w:val="auto"/>
        </w:rPr>
        <w:t>. Mr. Newsom received a stock-settled restricted stock unit award on March 20, 2019, having a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$1,000,000 on the date of grant. The award is subject to a 4-year time-based vesting schedule, with 25% of the award vesting on each anniversary of the grant until fully vested. To the extent the fair market value of a restricted stock unit has increased on each respective vesting date, the Bank will pay Mr. Newsom a full tax-gross up on such positive spread, if any.</w:t>
      </w:r>
    </w:p>
    <w:p>
      <w:pPr>
        <w:spacing w:after="0" w:line="49"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i w:val="1"/>
          <w:iCs w:val="1"/>
          <w:color w:val="auto"/>
        </w:rPr>
        <w:t>Equity Grants - Stock Option Award</w:t>
      </w:r>
      <w:r>
        <w:rPr>
          <w:rFonts w:ascii="Arial" w:cs="Arial" w:eastAsia="Arial" w:hAnsi="Arial"/>
          <w:sz w:val="16"/>
          <w:szCs w:val="16"/>
          <w:color w:val="auto"/>
        </w:rPr>
        <w:t>. Subject to the effectiveness of our registration statement on Form S-1 that is a part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Mr. Newsom will receive an annual grant of incentive stock options to purchase Company common stock, with the grant date fair value of such stock options being approximately equal to 35% of his base salary. This first grant occurred on March 20, 2019, covering common shares with an exercise price equal to $ per share. The options will vest over a 4-year period, with 25% becoming vested on the first anniversary of January 1, 2019, and the remainder vesting pro rata on a monthly basis over the next three years following January 1, 2020. This grant is in lieu of the cash-settled stock appreciation rights that the Company had historically granted to Mr. Newsom on January 1st of every year. The initial grant of stock options and the restricted stock units described in the foregoing paragraph will vest in full upon the earlier of: (i) Mr. Newsom’s “disability” (as defined in the employment agreement), (ii) Mr. Newsom’s death, (iii) immediately prior to a “change in control” (as defined in the 2019 Plan), (iv) Mr. Newsom terminating his service with the Bank for “good reason” (as defined in the employment agreement), or (v) the Company terminating Mr. Newsom’s employment with “cause” (as defined in the employment agreement).</w:t>
      </w:r>
    </w:p>
    <w:p>
      <w:pPr>
        <w:spacing w:after="0" w:line="64"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Mr. Newsom’s employment agreement provides that, in the event his employment is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by us without “cause” (as defined in his employment agreement), the Company elects not to renew the employment agreement, or Mr. Newsom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Newsom’s employment is terminated by us without cause, the Company elects not to renew the employment agreement, or Mr. Newsom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For the first five years after the effective date of the employment agreement, if any change in control payment Mr. Newsom receives is deemed to be subject to excise taxes under Section 280G of the Code, then Mr. Newsom is entitled to an excise tax “gross-up.” However, with respect to a change in control that occurs after the fifth anniversary of the effective date of the employment agreement, if payments to Mr. Newsom would constitute “parachute payments” within the meaning of Section 280G of the Code, the parachute payments will be reduced so as not to trigger the excise tax imposed by Section 4999 of the Code if it would leave Mr. Newsom in a better after-tax position.</w:t>
      </w:r>
    </w:p>
    <w:p>
      <w:pPr>
        <w:spacing w:after="0" w:line="74"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Upon a termination of Mr. Newsom’s employment due to “disability” (as defined in the employment agreement),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monthly premiums to continue existing healthcare coverage under COBRA, grossed-up for any applicable taxes. Any amounts payable pursuant to subsection (i) of the foregoing sentence shall be reduced on a dollar-for-dollar basis by the amount Mr. Newsom is entitled to under any disability insurance plan sponsored by the Company or the Bank. Upon a termination of Mr. Newsom's employment due to death, he will be entitled to receive: (i) full vesting of equity and phantom equity awards, with performance goals, if applicable, deemed met at target, and (ii) any earned but unpaid bonus.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 upon Termination or Change in Control</w:t>
      </w:r>
    </w:p>
    <w:p>
      <w:pPr>
        <w:spacing w:after="0" w:line="121" w:lineRule="exact"/>
        <w:rPr>
          <w:sz w:val="20"/>
          <w:szCs w:val="20"/>
          <w:color w:val="auto"/>
        </w:rPr>
      </w:pPr>
    </w:p>
    <w:p>
      <w:pPr>
        <w:jc w:val="both"/>
        <w:ind w:right="500" w:firstLine="360"/>
        <w:spacing w:after="0" w:line="263" w:lineRule="auto"/>
        <w:rPr>
          <w:sz w:val="20"/>
          <w:szCs w:val="20"/>
          <w:color w:val="auto"/>
        </w:rPr>
      </w:pPr>
      <w:r>
        <w:rPr>
          <w:rFonts w:ascii="Arial" w:cs="Arial" w:eastAsia="Arial" w:hAnsi="Arial"/>
          <w:sz w:val="18"/>
          <w:szCs w:val="18"/>
          <w:color w:val="auto"/>
        </w:rPr>
        <w:t>Payments to Mr. Newsom in the event of his termination of employment with the Bank or upon a “change in control” (as defined in the employment agreement) are described above in Employment Agreement with Cory T.Newsom” and “Deferred Compensation.”</w:t>
      </w:r>
    </w:p>
    <w:p>
      <w:pPr>
        <w:spacing w:after="0" w:line="76"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In addition, the vesting of all outstanding stock options granted to the NEOs described above in “Converted Stock Appreciation Rights” is accelerated upon a termination due to death or disability, and in some cases, once the NEO reaches the age of 65.</w:t>
      </w:r>
    </w:p>
    <w:p>
      <w:pPr>
        <w:spacing w:after="0" w:line="16"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None of the other NEOs have additional agreements governing payments in connection with a termination of employment or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board of directors reviewed non-employee independent director compensation paid by our peers to establish the appropriate mix and amount of compensation payable to our non-employee directors. In March 2019, our board of directors approved non-employee director compensation consisting of: (i) an annual cash retainer of $20,000, payable on a monthly basis, (ii) an annual cash meeting fee of $10,000 for the lead director, $7,500 for each committee chair, and $2,500 for each committee member, payable on an annual basis, and (iii) an annual restricted stock unit award equal to $25,000 which vests on the first anniversary of the date of grant.</w:t>
      </w:r>
    </w:p>
    <w:p>
      <w:pPr>
        <w:spacing w:after="0" w:line="84" w:lineRule="exact"/>
        <w:rPr>
          <w:sz w:val="20"/>
          <w:szCs w:val="20"/>
          <w:color w:val="auto"/>
        </w:rPr>
      </w:pPr>
    </w:p>
    <w:p>
      <w:pPr>
        <w:ind w:right="60" w:firstLine="360"/>
        <w:spacing w:after="0" w:line="311" w:lineRule="auto"/>
        <w:rPr>
          <w:sz w:val="20"/>
          <w:szCs w:val="20"/>
          <w:color w:val="auto"/>
        </w:rPr>
      </w:pPr>
      <w:r>
        <w:rPr>
          <w:rFonts w:ascii="Arial" w:cs="Arial" w:eastAsia="Arial" w:hAnsi="Arial"/>
          <w:sz w:val="16"/>
          <w:szCs w:val="16"/>
          <w:color w:val="auto"/>
        </w:rPr>
        <w:t>The following table sets forth the compensation earned, awarded or paid during 2018 to each director who served on our board of directors in 2018, other than Mr. Griffith and Mr. Newsom, whose compensation is described in the “Summary Compensation Table” above. The only fees earned or paid in cash to the directors in 2018 were related to their service as directors of the Bank.</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Fees</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Earned or</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Paid in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14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6"/>
                <w:szCs w:val="16"/>
                <w:color w:val="auto"/>
              </w:rPr>
            </w:pPr>
          </w:p>
        </w:tc>
      </w:tr>
      <w:tr>
        <w:trPr>
          <w:trHeight w:val="236"/>
        </w:trPr>
        <w:tc>
          <w:tcPr>
            <w:tcW w:w="546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Kevin R. Bass</w:t>
            </w:r>
            <w:r>
              <w:rPr>
                <w:rFonts w:ascii="Arial" w:cs="Arial" w:eastAsia="Arial" w:hAnsi="Arial"/>
                <w:sz w:val="27"/>
                <w:szCs w:val="27"/>
                <w:color w:val="auto"/>
                <w:vertAlign w:val="superscript"/>
              </w:rPr>
              <w:t>(1)(2)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$19,500</w:t>
            </w:r>
          </w:p>
        </w:tc>
        <w:tc>
          <w:tcPr>
            <w:tcW w:w="15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$9,413</w:t>
            </w:r>
          </w:p>
        </w:tc>
        <w:tc>
          <w:tcPr>
            <w:tcW w:w="14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$28,913</w:t>
            </w:r>
          </w:p>
        </w:tc>
        <w:tc>
          <w:tcPr>
            <w:tcW w:w="100" w:type="dxa"/>
            <w:vAlign w:val="bottom"/>
            <w:shd w:val="clear" w:color="auto" w:fill="CCEEFF"/>
          </w:tcPr>
          <w:p>
            <w:pPr>
              <w:spacing w:after="0"/>
              <w:rPr>
                <w:sz w:val="20"/>
                <w:szCs w:val="20"/>
                <w:color w:val="auto"/>
              </w:rPr>
            </w:pPr>
          </w:p>
        </w:tc>
      </w:tr>
      <w:tr>
        <w:trPr>
          <w:trHeight w:val="243"/>
        </w:trPr>
        <w:tc>
          <w:tcPr>
            <w:tcW w:w="5460" w:type="dxa"/>
            <w:vAlign w:val="bottom"/>
            <w:gridSpan w:val="2"/>
          </w:tcPr>
          <w:p>
            <w:pPr>
              <w:spacing w:after="0" w:line="243" w:lineRule="exact"/>
              <w:rPr>
                <w:sz w:val="20"/>
                <w:szCs w:val="20"/>
                <w:color w:val="auto"/>
              </w:rPr>
            </w:pPr>
            <w:r>
              <w:rPr>
                <w:rFonts w:ascii="Arial" w:cs="Arial" w:eastAsia="Arial" w:hAnsi="Arial"/>
                <w:sz w:val="17"/>
                <w:szCs w:val="17"/>
                <w:color w:val="auto"/>
              </w:rPr>
              <w:t>Larry T. Beseda</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2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$9,413</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$52,913</w:t>
            </w:r>
          </w:p>
        </w:tc>
        <w:tc>
          <w:tcPr>
            <w:tcW w:w="100" w:type="dxa"/>
            <w:vAlign w:val="bottom"/>
          </w:tcPr>
          <w:p>
            <w:pPr>
              <w:spacing w:after="0"/>
              <w:rPr>
                <w:sz w:val="21"/>
                <w:szCs w:val="21"/>
                <w:color w:val="auto"/>
              </w:rPr>
            </w:pPr>
          </w:p>
        </w:tc>
      </w:tr>
      <w:tr>
        <w:trPr>
          <w:trHeight w:val="243"/>
        </w:trPr>
        <w:tc>
          <w:tcPr>
            <w:tcW w:w="5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Richard D. Campbell</w:t>
            </w:r>
            <w:r>
              <w:rPr>
                <w:rFonts w:ascii="Arial" w:cs="Arial" w:eastAsia="Arial" w:hAnsi="Arial"/>
                <w:sz w:val="28"/>
                <w:szCs w:val="28"/>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$9,413</w:t>
            </w:r>
          </w:p>
        </w:tc>
        <w:tc>
          <w:tcPr>
            <w:tcW w:w="14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$52,913</w:t>
            </w:r>
          </w:p>
        </w:tc>
        <w:tc>
          <w:tcPr>
            <w:tcW w:w="100" w:type="dxa"/>
            <w:vAlign w:val="bottom"/>
            <w:shd w:val="clear" w:color="auto" w:fill="CCEEFF"/>
          </w:tcPr>
          <w:p>
            <w:pPr>
              <w:spacing w:after="0"/>
              <w:rPr>
                <w:sz w:val="21"/>
                <w:szCs w:val="21"/>
                <w:color w:val="auto"/>
              </w:rPr>
            </w:pPr>
          </w:p>
        </w:tc>
      </w:tr>
      <w:tr>
        <w:trPr>
          <w:trHeight w:val="243"/>
        </w:trPr>
        <w:tc>
          <w:tcPr>
            <w:tcW w:w="5460" w:type="dxa"/>
            <w:vAlign w:val="bottom"/>
            <w:gridSpan w:val="2"/>
          </w:tcPr>
          <w:p>
            <w:pPr>
              <w:spacing w:after="0" w:line="243" w:lineRule="exact"/>
              <w:rPr>
                <w:sz w:val="20"/>
                <w:szCs w:val="20"/>
                <w:color w:val="auto"/>
              </w:rPr>
            </w:pPr>
            <w:r>
              <w:rPr>
                <w:rFonts w:ascii="Arial" w:cs="Arial" w:eastAsia="Arial" w:hAnsi="Arial"/>
                <w:sz w:val="17"/>
                <w:szCs w:val="17"/>
                <w:color w:val="auto"/>
              </w:rPr>
              <w:t>Lonnie F. Hollingsworth</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2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$9,413</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$52,913</w:t>
            </w:r>
          </w:p>
        </w:tc>
        <w:tc>
          <w:tcPr>
            <w:tcW w:w="100" w:type="dxa"/>
            <w:vAlign w:val="bottom"/>
          </w:tcPr>
          <w:p>
            <w:pPr>
              <w:spacing w:after="0"/>
              <w:rPr>
                <w:sz w:val="21"/>
                <w:szCs w:val="21"/>
                <w:color w:val="auto"/>
              </w:rPr>
            </w:pPr>
          </w:p>
        </w:tc>
      </w:tr>
      <w:tr>
        <w:trPr>
          <w:trHeight w:val="243"/>
        </w:trPr>
        <w:tc>
          <w:tcPr>
            <w:tcW w:w="5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Cynthia B. Keith</w:t>
            </w:r>
            <w:r>
              <w:rPr>
                <w:rFonts w:ascii="Arial" w:cs="Arial" w:eastAsia="Arial" w:hAnsi="Arial"/>
                <w:sz w:val="28"/>
                <w:szCs w:val="28"/>
                <w:color w:val="auto"/>
                <w:vertAlign w:val="superscript"/>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$9,669</w:t>
            </w:r>
          </w:p>
        </w:tc>
        <w:tc>
          <w:tcPr>
            <w:tcW w:w="14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$53,169</w:t>
            </w:r>
          </w:p>
        </w:tc>
        <w:tc>
          <w:tcPr>
            <w:tcW w:w="100" w:type="dxa"/>
            <w:vAlign w:val="bottom"/>
            <w:shd w:val="clear" w:color="auto" w:fill="CCEEFF"/>
          </w:tcPr>
          <w:p>
            <w:pPr>
              <w:spacing w:after="0"/>
              <w:rPr>
                <w:sz w:val="21"/>
                <w:szCs w:val="21"/>
                <w:color w:val="auto"/>
              </w:rPr>
            </w:pPr>
          </w:p>
        </w:tc>
      </w:tr>
      <w:tr>
        <w:trPr>
          <w:trHeight w:val="243"/>
        </w:trPr>
        <w:tc>
          <w:tcPr>
            <w:tcW w:w="5460" w:type="dxa"/>
            <w:vAlign w:val="bottom"/>
            <w:gridSpan w:val="2"/>
          </w:tcPr>
          <w:p>
            <w:pPr>
              <w:spacing w:after="0" w:line="243" w:lineRule="exact"/>
              <w:rPr>
                <w:sz w:val="20"/>
                <w:szCs w:val="20"/>
                <w:color w:val="auto"/>
              </w:rPr>
            </w:pPr>
            <w:r>
              <w:rPr>
                <w:rFonts w:ascii="Arial" w:cs="Arial" w:eastAsia="Arial" w:hAnsi="Arial"/>
                <w:sz w:val="17"/>
                <w:szCs w:val="17"/>
                <w:color w:val="auto"/>
              </w:rPr>
              <w:t>Bobby G. Neal</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2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$9,413</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$52,913</w:t>
            </w:r>
          </w:p>
        </w:tc>
        <w:tc>
          <w:tcPr>
            <w:tcW w:w="100" w:type="dxa"/>
            <w:vAlign w:val="bottom"/>
          </w:tcPr>
          <w:p>
            <w:pPr>
              <w:spacing w:after="0"/>
              <w:rPr>
                <w:sz w:val="21"/>
                <w:szCs w:val="21"/>
                <w:color w:val="auto"/>
              </w:rPr>
            </w:pPr>
          </w:p>
        </w:tc>
      </w:tr>
      <w:tr>
        <w:trPr>
          <w:trHeight w:val="243"/>
        </w:trPr>
        <w:tc>
          <w:tcPr>
            <w:tcW w:w="5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Jodie E. Riley</w:t>
            </w:r>
            <w:r>
              <w:rPr>
                <w:rFonts w:ascii="Arial" w:cs="Arial" w:eastAsia="Arial" w:hAnsi="Arial"/>
                <w:sz w:val="28"/>
                <w:szCs w:val="28"/>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$9,413</w:t>
            </w:r>
          </w:p>
        </w:tc>
        <w:tc>
          <w:tcPr>
            <w:tcW w:w="14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$52,913</w:t>
            </w:r>
          </w:p>
        </w:tc>
        <w:tc>
          <w:tcPr>
            <w:tcW w:w="100" w:type="dxa"/>
            <w:vAlign w:val="bottom"/>
            <w:shd w:val="clear" w:color="auto" w:fill="CCEEFF"/>
          </w:tcPr>
          <w:p>
            <w:pPr>
              <w:spacing w:after="0"/>
              <w:rPr>
                <w:sz w:val="21"/>
                <w:szCs w:val="21"/>
                <w:color w:val="auto"/>
              </w:rPr>
            </w:pPr>
          </w:p>
        </w:tc>
      </w:tr>
      <w:tr>
        <w:trPr>
          <w:trHeight w:val="243"/>
        </w:trPr>
        <w:tc>
          <w:tcPr>
            <w:tcW w:w="5460" w:type="dxa"/>
            <w:vAlign w:val="bottom"/>
            <w:gridSpan w:val="2"/>
          </w:tcPr>
          <w:p>
            <w:pPr>
              <w:spacing w:after="0" w:line="243" w:lineRule="exact"/>
              <w:rPr>
                <w:sz w:val="20"/>
                <w:szCs w:val="20"/>
                <w:color w:val="auto"/>
              </w:rPr>
            </w:pPr>
            <w:r>
              <w:rPr>
                <w:rFonts w:ascii="Arial" w:cs="Arial" w:eastAsia="Arial" w:hAnsi="Arial"/>
                <w:sz w:val="17"/>
                <w:szCs w:val="17"/>
                <w:color w:val="auto"/>
              </w:rPr>
              <w:t>Noe G. Valles</w:t>
            </w:r>
            <w:r>
              <w:rPr>
                <w:rFonts w:ascii="Arial" w:cs="Arial" w:eastAsia="Arial" w:hAnsi="Arial"/>
                <w:sz w:val="28"/>
                <w:szCs w:val="28"/>
                <w:color w:val="auto"/>
                <w:vertAlign w:val="superscript"/>
              </w:rPr>
              <w:t>(2)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$43,500</w:t>
            </w:r>
          </w:p>
        </w:tc>
        <w:tc>
          <w:tcPr>
            <w:tcW w:w="152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$9,413</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$52,913</w:t>
            </w:r>
          </w:p>
        </w:tc>
        <w:tc>
          <w:tcPr>
            <w:tcW w:w="100" w:type="dxa"/>
            <w:vAlign w:val="bottom"/>
          </w:tcPr>
          <w:p>
            <w:pPr>
              <w:spacing w:after="0"/>
              <w:rPr>
                <w:sz w:val="21"/>
                <w:szCs w:val="21"/>
                <w:color w:val="auto"/>
              </w:rPr>
            </w:pPr>
          </w:p>
        </w:tc>
      </w:tr>
      <w:tr>
        <w:trPr>
          <w:trHeight w:val="243"/>
        </w:trPr>
        <w:tc>
          <w:tcPr>
            <w:tcW w:w="54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Kyle R. Wargo</w:t>
            </w:r>
            <w:r>
              <w:rPr>
                <w:rFonts w:ascii="Arial" w:cs="Arial" w:eastAsia="Arial" w:hAnsi="Arial"/>
                <w:sz w:val="28"/>
                <w:szCs w:val="28"/>
                <w:color w:val="auto"/>
                <w:vertAlign w:val="superscript"/>
              </w:rPr>
              <w:t>(2)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$43,500</w:t>
            </w:r>
          </w:p>
        </w:tc>
        <w:tc>
          <w:tcPr>
            <w:tcW w:w="15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$9,413</w:t>
            </w:r>
          </w:p>
        </w:tc>
        <w:tc>
          <w:tcPr>
            <w:tcW w:w="14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$52,913</w:t>
            </w:r>
          </w:p>
        </w:tc>
        <w:tc>
          <w:tcPr>
            <w:tcW w:w="100" w:type="dxa"/>
            <w:vAlign w:val="bottom"/>
            <w:shd w:val="clear" w:color="auto" w:fill="CCEEFF"/>
          </w:tcPr>
          <w:p>
            <w:pPr>
              <w:spacing w:after="0"/>
              <w:rPr>
                <w:sz w:val="21"/>
                <w:szCs w:val="21"/>
                <w:color w:val="auto"/>
              </w:rPr>
            </w:pPr>
          </w:p>
        </w:tc>
      </w:tr>
      <w:tr>
        <w:trPr>
          <w:trHeight w:val="189"/>
        </w:trPr>
        <w:tc>
          <w:tcPr>
            <w:tcW w:w="1440" w:type="dxa"/>
            <w:vAlign w:val="bottom"/>
            <w:tcBorders>
              <w:bottom w:val="single" w:sz="8" w:color="auto"/>
            </w:tcBorders>
          </w:tcPr>
          <w:p>
            <w:pPr>
              <w:spacing w:after="0"/>
              <w:rPr>
                <w:sz w:val="16"/>
                <w:szCs w:val="16"/>
                <w:color w:val="auto"/>
              </w:rPr>
            </w:pPr>
          </w:p>
        </w:tc>
        <w:tc>
          <w:tcPr>
            <w:tcW w:w="4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60" w:right="260" w:hanging="355"/>
        <w:spacing w:after="0" w:line="273" w:lineRule="auto"/>
        <w:tabs>
          <w:tab w:leader="none" w:pos="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 2018, Mr. Bass served as an executive officer of the Company, but not a named executive officer. The amounts above reflect Mr. Bass’ compensation for services as a director only and not his compensation for services as an executive officer.</w:t>
      </w:r>
    </w:p>
    <w:p>
      <w:pPr>
        <w:spacing w:after="0" w:line="65" w:lineRule="exact"/>
        <w:rPr>
          <w:rFonts w:ascii="Arial" w:cs="Arial" w:eastAsia="Arial" w:hAnsi="Arial"/>
          <w:sz w:val="14"/>
          <w:szCs w:val="14"/>
          <w:color w:val="auto"/>
        </w:rPr>
      </w:pPr>
    </w:p>
    <w:p>
      <w:pPr>
        <w:ind w:left="360" w:hanging="355"/>
        <w:spacing w:after="0"/>
        <w:tabs>
          <w:tab w:leader="none" w:pos="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All other compensation includes $7,060 in the form of a gift and $2,353 in tax gross-ups for each respective director.</w:t>
      </w:r>
    </w:p>
    <w:p>
      <w:pPr>
        <w:spacing w:after="0" w:line="109" w:lineRule="exact"/>
        <w:rPr>
          <w:rFonts w:ascii="Arial" w:cs="Arial" w:eastAsia="Arial" w:hAnsi="Arial"/>
          <w:sz w:val="14"/>
          <w:szCs w:val="14"/>
          <w:color w:val="auto"/>
        </w:rPr>
      </w:pPr>
    </w:p>
    <w:p>
      <w:pPr>
        <w:ind w:left="360" w:hanging="355"/>
        <w:spacing w:after="0"/>
        <w:tabs>
          <w:tab w:leader="none" w:pos="3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All other compensation includes $7,252 in the form of a gift and $2,417 in tax gross-ups for Ms. Keith.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121" w:lineRule="exact"/>
        <w:rPr>
          <w:sz w:val="20"/>
          <w:szCs w:val="20"/>
          <w:color w:val="auto"/>
        </w:rPr>
      </w:pPr>
    </w:p>
    <w:p>
      <w:pPr>
        <w:ind w:right="40" w:firstLine="360"/>
        <w:spacing w:after="0" w:line="301" w:lineRule="auto"/>
        <w:rPr>
          <w:sz w:val="20"/>
          <w:szCs w:val="20"/>
          <w:color w:val="auto"/>
        </w:rPr>
      </w:pPr>
      <w:r>
        <w:rPr>
          <w:rFonts w:ascii="Arial" w:cs="Arial" w:eastAsia="Arial" w:hAnsi="Arial"/>
          <w:sz w:val="16"/>
          <w:szCs w:val="16"/>
          <w:color w:val="auto"/>
        </w:rPr>
        <w:t>Transactions by us or the Bank with related persons are subject to regulatory requirements and restrictions. These requirements and restrictions include the Affiliates Act and the Federal Reserve’s Regulation W (which governs certain transactions by the Bank with its affiliates) and the Federal Reserve’s Regulation O (which governs certain loans by the Bank to its executive officers, directors, and principal shareholders). We have adopted policies to comply with these regulatory requirements and restrictions.</w:t>
      </w:r>
    </w:p>
    <w:p>
      <w:pPr>
        <w:spacing w:after="0" w:line="49"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In addition, our board of directors has adopted a written policy governing the approval of related person transactions that complies with all applicable requirements of the SEC and the NASDAQ Global Select Market concerning related person transactions. Related person transactions are transactions in which we are a participant, the amount involved exceeds $120,000 and a related person has or will have a direct or indirect material interest. Related persons of the Company include directors (including nominees for election as directors), executive officers, beneficial holders of more than 5% of our capital stock and the immediate family members of these persons. Our Audit Committee, in consultation with outside counsel, as appropriate, will review potential related person transactions to determine if they are subject to the policy. In determining whether to approve a related person transaction, that Committee will consider, among other factors, the fairness of the proposed transaction, the direct or indirect nature of the related person’s interest in the transaction, the appearance of an improper conflict of interests for any director or executive officer taking into account the size of the transaction and the financial position of the related person, whether the transaction would impair an outside director’s independence, the acceptability of the transaction to our regulators and the potential violations of other corporate policies. Upon completion of the offering, our Related Person Transactions Policy will be available on our website at www.city.bank.</w:t>
      </w:r>
    </w:p>
    <w:p>
      <w:pPr>
        <w:spacing w:after="0" w:line="78"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color w:val="auto"/>
        </w:rPr>
        <w:t>In addition to the compensation arrangements with directors and executive officers described in “Executive Compensation” above, the following is a description of each transaction since January 1, 2016, and each proposed transaction in which:</w:t>
      </w:r>
    </w:p>
    <w:p>
      <w:pPr>
        <w:spacing w:after="0" w:line="16" w:lineRule="exact"/>
        <w:rPr>
          <w:sz w:val="20"/>
          <w:szCs w:val="20"/>
          <w:color w:val="auto"/>
        </w:rPr>
      </w:pPr>
    </w:p>
    <w:p>
      <w:pPr>
        <w:ind w:left="700" w:hanging="344"/>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involved exceeds or will exceed $120,000; and</w:t>
      </w:r>
    </w:p>
    <w:p>
      <w:pPr>
        <w:spacing w:after="0" w:line="117" w:lineRule="exact"/>
        <w:rPr>
          <w:rFonts w:ascii="Arial" w:cs="Arial" w:eastAsia="Arial" w:hAnsi="Arial"/>
          <w:sz w:val="18"/>
          <w:szCs w:val="18"/>
          <w:color w:val="auto"/>
        </w:rPr>
      </w:pPr>
    </w:p>
    <w:p>
      <w:pPr>
        <w:jc w:val="both"/>
        <w:ind w:left="700" w:right="700" w:hanging="344"/>
        <w:spacing w:after="0" w:line="263"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Representation Agreement</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In June 2011, we entered into a Stock Purchase Agreement with James C. Henry, a principal shareholder of the Company, and his spouse in connection with their purchase of approximately $15.0 million of our common stock in a private placement. Pursuant to that Stock Purchase Agreement, the Company agreed to nominate a representative of the Henrys to serve on the board of directors of each of the Company and the Bank. Richard D. Campbell has served as that board representative since 2011. In , 2019, the Company and the Henrys terminated the Stock Purchase Agreement and entered into a Board Representation Agreement that maintained the Henrys’ right to appoint a representative to our board of directors and to the board of directors of the Bank. Pursuant to the Board Representation Agreement, for so long as the Henrys, or a lineal descendant of the Henrys, or an entity formed for their benefit, holds in aggregate 5.0% or more of our outstanding shares of common stock, the Company must nominate their representative to serve on the board of directors of each of the Company and the Bank, subject to any required regulatory and shareholder approvals.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Sales of Subordinated Debt Securities</w:t>
      </w:r>
    </w:p>
    <w:p>
      <w:pPr>
        <w:spacing w:after="0" w:line="121" w:lineRule="exact"/>
        <w:rPr>
          <w:sz w:val="20"/>
          <w:szCs w:val="20"/>
          <w:color w:val="auto"/>
        </w:rPr>
      </w:pPr>
    </w:p>
    <w:p>
      <w:pPr>
        <w:ind w:right="100" w:firstLine="360"/>
        <w:spacing w:after="0" w:line="296" w:lineRule="auto"/>
        <w:rPr>
          <w:sz w:val="20"/>
          <w:szCs w:val="20"/>
          <w:color w:val="auto"/>
        </w:rPr>
      </w:pPr>
      <w:r>
        <w:rPr>
          <w:rFonts w:ascii="Arial" w:cs="Arial" w:eastAsia="Arial" w:hAnsi="Arial"/>
          <w:sz w:val="16"/>
          <w:szCs w:val="16"/>
          <w:color w:val="auto"/>
        </w:rPr>
        <w:t>In December 2018, we conducted an exchange offering pursuant to which we exchanged existing subordinated debt securities, due 2024, for newly issued ten- and twelve-year subordinated debt securities, due 2028 and 2030, respectively, and sold additional newly issued subordinated debt securities. In this offering, Richard D. Campbell, a director, and his spouse exchanged $250,000 in principal amount of existing subordinated debt securities, due 2024, for $250,000 in principal amount of newly issued debt securities, due 2030 on the same terms and conditions as offered to other qualified investors. Certain of our directors also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participated in the exchange offering in principal amounts less than $120,000 and on the same terms and conditions as offered to other qualified investors. See “Management’s Discussion and Analysis of Financial Condition and Results of Operations— Borrowed Funds” for additional description of the subordinated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11" w:lineRule="exact"/>
        <w:rPr>
          <w:sz w:val="20"/>
          <w:szCs w:val="20"/>
          <w:color w:val="auto"/>
        </w:rPr>
      </w:pPr>
    </w:p>
    <w:p>
      <w:pPr>
        <w:ind w:right="40" w:firstLine="360"/>
        <w:spacing w:after="0" w:line="236" w:lineRule="auto"/>
        <w:rPr>
          <w:sz w:val="20"/>
          <w:szCs w:val="20"/>
          <w:color w:val="auto"/>
        </w:rPr>
      </w:pPr>
      <w:r>
        <w:rPr>
          <w:rFonts w:ascii="Arial" w:cs="Arial" w:eastAsia="Arial" w:hAnsi="Arial"/>
          <w:sz w:val="16"/>
          <w:szCs w:val="16"/>
          <w:color w:val="auto"/>
        </w:rPr>
        <w:t>The Company has purchased office furniture, fixtures and equipment for various bank locations from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an entity in which Kim Newsom, the wife of Cory T. Newsom, a director and the President of the Company, has a majority ownership interest. Mr. Newsom also owns a minority interest in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The purchases by the Company totaled approximately $335,000, $631,000, and $446,000 in the years ended December 31, 2018, 2017 and 2016, respectively. All purchases from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Class Solutions received prior approval of the board of directors of the Company, with Mr. Newsom abstaining from the vote. 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Following the completion of the offering, all related party transactions will be reviewed and approved in accordance with our Related Person Transaction Policy.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Banking Relationships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Certain of our officers, directors and principal shareholders, as well as their immediate family members and affiliates, are customers of, or have or have had transactions with us or the Bank in the ordinary course of business. These transactions include deposits, loans, wealth management products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of directors in accordance with the Bank’s regulatory requirements.</w:t>
      </w:r>
    </w:p>
    <w:p>
      <w:pPr>
        <w:spacing w:after="0" w:line="70" w:lineRule="exact"/>
        <w:rPr>
          <w:sz w:val="20"/>
          <w:szCs w:val="20"/>
          <w:color w:val="auto"/>
        </w:rPr>
      </w:pPr>
    </w:p>
    <w:p>
      <w:pPr>
        <w:ind w:left="360" w:right="220"/>
        <w:spacing w:after="0" w:line="361" w:lineRule="auto"/>
        <w:rPr>
          <w:sz w:val="20"/>
          <w:szCs w:val="20"/>
          <w:color w:val="auto"/>
        </w:rPr>
      </w:pPr>
      <w:r>
        <w:rPr>
          <w:rFonts w:ascii="Arial" w:cs="Arial" w:eastAsia="Arial" w:hAnsi="Arial"/>
          <w:sz w:val="16"/>
          <w:szCs w:val="16"/>
          <w:color w:val="auto"/>
        </w:rPr>
        <w:t>Cory T. Newsom, our President, has no familial relationship with Mikella D. Newsom, our Chief Risk Officer and Secretary. As of the date of this prospectus, no related party loans were categorized as nonaccrual, past due, restructured or potential</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problem loans. We expect to continue to enter into transactions in the ordinary course of business on similar terms with our officers, directors and principal shareholders, as well as their immediate family members and affiliates.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360"/>
        <w:spacing w:after="0"/>
        <w:tabs>
          <w:tab w:leader="none" w:pos="7640" w:val="left"/>
        </w:tabs>
        <w:rPr>
          <w:sz w:val="20"/>
          <w:szCs w:val="20"/>
          <w:color w:val="auto"/>
        </w:rPr>
      </w:pPr>
      <w:r>
        <w:rPr>
          <w:rFonts w:ascii="Arial" w:cs="Arial" w:eastAsia="Arial" w:hAnsi="Arial"/>
          <w:sz w:val="18"/>
          <w:szCs w:val="18"/>
          <w:color w:val="auto"/>
        </w:rPr>
        <w:t>At our request, the underwriters have reserved for sale, at the initial public offering price, up to</w:t>
      </w:r>
      <w:r>
        <w:rPr>
          <w:sz w:val="20"/>
          <w:szCs w:val="20"/>
          <w:color w:val="auto"/>
        </w:rPr>
        <w:tab/>
      </w:r>
      <w:r>
        <w:rPr>
          <w:rFonts w:ascii="Arial" w:cs="Arial" w:eastAsia="Arial" w:hAnsi="Arial"/>
          <w:sz w:val="16"/>
          <w:szCs w:val="16"/>
          <w:color w:val="auto"/>
        </w:rPr>
        <w:t>shares offered by this</w:t>
      </w:r>
    </w:p>
    <w:p>
      <w:pPr>
        <w:spacing w:after="0" w:line="2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prospectus for sale to our directors, executive officers, employees and business associates and certain other related persons who have expressed an interest in purchasing our common stock in this offering through a directed share program. See “Underwriting— Directed Share Program” for additional information regarding the directed share program.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SELLING SHAREHOLDERS</w:t>
      </w:r>
    </w:p>
    <w:p>
      <w:pPr>
        <w:spacing w:after="0" w:line="12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March 13, 2019, and as adjusted to reflect the completion of this offering, for:</w:t>
      </w:r>
    </w:p>
    <w:p>
      <w:pPr>
        <w:spacing w:after="0" w:line="62" w:lineRule="exact"/>
        <w:rPr>
          <w:sz w:val="20"/>
          <w:szCs w:val="20"/>
          <w:color w:val="auto"/>
        </w:rPr>
      </w:pPr>
    </w:p>
    <w:p>
      <w:pPr>
        <w:ind w:left="700" w:hanging="344"/>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shareholder who beneficially owns more than 5% of our common stock.</w:t>
      </w:r>
    </w:p>
    <w:p>
      <w:pPr>
        <w:spacing w:after="0" w:line="117" w:lineRule="exact"/>
        <w:rPr>
          <w:sz w:val="20"/>
          <w:szCs w:val="20"/>
          <w:color w:val="auto"/>
        </w:rPr>
      </w:pPr>
    </w:p>
    <w:p>
      <w:pPr>
        <w:ind w:right="80" w:firstLine="360"/>
        <w:spacing w:after="0" w:line="275" w:lineRule="auto"/>
        <w:rPr>
          <w:sz w:val="20"/>
          <w:szCs w:val="20"/>
          <w:color w:val="auto"/>
        </w:rPr>
      </w:pPr>
      <w:r>
        <w:rPr>
          <w:rFonts w:ascii="Arial" w:cs="Arial" w:eastAsia="Arial" w:hAnsi="Arial"/>
          <w:sz w:val="17"/>
          <w:szCs w:val="17"/>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Except as disclosed in the footnotes to this table and subject to applicable community property laws, we believe that each person identified in the table has sole voting and investment power over all of the shares shown opposite such person’s name.</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percentage of beneficial ownership is based on 14,771,520 shares of our common stock outstanding as of March 13, 2019</w:t>
      </w:r>
    </w:p>
    <w:p>
      <w:pPr>
        <w:spacing w:after="0" w:line="4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and shares to be outstanding after the completion of this offering, which assumes that the underwriters do not exercise their option to purchase any additional shares of common stock. The table does not reflect any shares of common stock that may be purchased in this offering by the individuals listed below.</w:t>
      </w:r>
    </w:p>
    <w:p>
      <w:pPr>
        <w:spacing w:after="0" w:line="82"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Except as indicated below, the address for each shareholder listed in the table below is: South Plains Financial, Inc., 5219 City Bank Parkway, Lubbock, Texas 79407.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gridSpan w:val="7"/>
          </w:tcPr>
          <w:p>
            <w:pPr>
              <w:ind w:left="60"/>
              <w:spacing w:after="0"/>
              <w:rPr>
                <w:sz w:val="20"/>
                <w:szCs w:val="20"/>
                <w:color w:val="auto"/>
              </w:rPr>
            </w:pPr>
            <w:r>
              <w:rPr>
                <w:rFonts w:ascii="Arial" w:cs="Arial" w:eastAsia="Arial" w:hAnsi="Arial"/>
                <w:sz w:val="14"/>
                <w:szCs w:val="14"/>
                <w:b w:val="1"/>
                <w:bCs w:val="1"/>
                <w:color w:val="auto"/>
              </w:rPr>
              <w:t>Shares Beneficially Owned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After the Offering</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Shares Beneficially Owned</w:t>
            </w:r>
          </w:p>
        </w:tc>
        <w:tc>
          <w:tcPr>
            <w:tcW w:w="118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rPr>
              <w:t>If Option</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ind w:left="620"/>
              <w:spacing w:after="0"/>
              <w:rPr>
                <w:sz w:val="20"/>
                <w:szCs w:val="20"/>
                <w:color w:val="auto"/>
              </w:rPr>
            </w:pPr>
            <w:r>
              <w:rPr>
                <w:rFonts w:ascii="Arial" w:cs="Arial" w:eastAsia="Arial" w:hAnsi="Arial"/>
                <w:sz w:val="14"/>
                <w:szCs w:val="14"/>
                <w:b w:val="1"/>
                <w:bCs w:val="1"/>
                <w:color w:val="auto"/>
              </w:rPr>
              <w:t>If Option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4"/>
              </w:rPr>
              <w:t>Prior to the Offering</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92"/>
              </w:rPr>
              <w:t>Not Exercised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Exercised in Full</w:t>
            </w:r>
          </w:p>
        </w:tc>
      </w:tr>
      <w:tr>
        <w:trPr>
          <w:trHeight w:val="190"/>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243"/>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r>
              <w:rPr>
                <w:rFonts w:ascii="Arial" w:cs="Arial" w:eastAsia="Arial" w:hAnsi="Arial"/>
                <w:sz w:val="18"/>
                <w:szCs w:val="18"/>
                <w:color w:val="auto"/>
              </w:rPr>
              <w:t>:</w:t>
            </w: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540" w:type="dxa"/>
            <w:vAlign w:val="bottom"/>
            <w:gridSpan w:val="2"/>
          </w:tcPr>
          <w:p>
            <w:pPr>
              <w:spacing w:after="0" w:line="243" w:lineRule="exact"/>
              <w:rPr>
                <w:sz w:val="20"/>
                <w:szCs w:val="20"/>
                <w:color w:val="auto"/>
              </w:rPr>
            </w:pPr>
            <w:r>
              <w:rPr>
                <w:rFonts w:ascii="Arial" w:cs="Arial" w:eastAsia="Arial" w:hAnsi="Arial"/>
                <w:sz w:val="17"/>
                <w:szCs w:val="17"/>
                <w:color w:val="auto"/>
              </w:rPr>
              <w:t>Kevin R. Bass</w:t>
            </w:r>
            <w:r>
              <w:rPr>
                <w:rFonts w:ascii="Arial" w:cs="Arial" w:eastAsia="Arial" w:hAnsi="Arial"/>
                <w:sz w:val="28"/>
                <w:szCs w:val="28"/>
                <w:color w:val="auto"/>
                <w:vertAlign w:val="superscript"/>
              </w:rPr>
              <w:t>(1)</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140,910</w:t>
            </w:r>
          </w:p>
        </w:tc>
        <w:tc>
          <w:tcPr>
            <w:tcW w:w="3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Richard D. Campbell</w:t>
            </w:r>
            <w:r>
              <w:rPr>
                <w:rFonts w:ascii="Arial" w:cs="Arial" w:eastAsia="Arial" w:hAnsi="Arial"/>
                <w:sz w:val="28"/>
                <w:szCs w:val="28"/>
                <w:color w:val="auto"/>
                <w:vertAlign w:val="superscript"/>
              </w:rPr>
              <w:t>(2)</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2,409,540</w:t>
            </w:r>
          </w:p>
        </w:tc>
        <w:tc>
          <w:tcPr>
            <w:tcW w:w="3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16.31%</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gridSpan w:val="2"/>
          </w:tcPr>
          <w:p>
            <w:pPr>
              <w:spacing w:after="0" w:line="243" w:lineRule="exact"/>
              <w:rPr>
                <w:sz w:val="20"/>
                <w:szCs w:val="20"/>
                <w:color w:val="auto"/>
              </w:rPr>
            </w:pPr>
            <w:r>
              <w:rPr>
                <w:rFonts w:ascii="Arial" w:cs="Arial" w:eastAsia="Arial" w:hAnsi="Arial"/>
                <w:sz w:val="17"/>
                <w:szCs w:val="17"/>
                <w:color w:val="auto"/>
              </w:rPr>
              <w:t>Steven B. Crockett</w:t>
            </w:r>
            <w:r>
              <w:rPr>
                <w:rFonts w:ascii="Arial" w:cs="Arial" w:eastAsia="Arial" w:hAnsi="Arial"/>
                <w:sz w:val="28"/>
                <w:szCs w:val="28"/>
                <w:color w:val="auto"/>
                <w:vertAlign w:val="superscript"/>
              </w:rPr>
              <w:t>(3)</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104,700</w:t>
            </w:r>
          </w:p>
        </w:tc>
        <w:tc>
          <w:tcPr>
            <w:tcW w:w="3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Kelly L. Deterding</w:t>
            </w:r>
            <w:r>
              <w:rPr>
                <w:rFonts w:ascii="Arial" w:cs="Arial" w:eastAsia="Arial" w:hAnsi="Arial"/>
                <w:sz w:val="28"/>
                <w:szCs w:val="28"/>
                <w:color w:val="auto"/>
                <w:vertAlign w:val="superscript"/>
              </w:rPr>
              <w:t>(4)</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33,030</w:t>
            </w:r>
          </w:p>
        </w:tc>
        <w:tc>
          <w:tcPr>
            <w:tcW w:w="3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gridSpan w:val="2"/>
          </w:tcPr>
          <w:p>
            <w:pPr>
              <w:spacing w:after="0" w:line="243" w:lineRule="exact"/>
              <w:rPr>
                <w:sz w:val="20"/>
                <w:szCs w:val="20"/>
                <w:color w:val="auto"/>
              </w:rPr>
            </w:pPr>
            <w:r>
              <w:rPr>
                <w:rFonts w:ascii="Arial" w:cs="Arial" w:eastAsia="Arial" w:hAnsi="Arial"/>
                <w:sz w:val="17"/>
                <w:szCs w:val="17"/>
                <w:color w:val="auto"/>
              </w:rPr>
              <w:t>Curtis C. Griffith</w:t>
            </w:r>
            <w:r>
              <w:rPr>
                <w:rFonts w:ascii="Arial" w:cs="Arial" w:eastAsia="Arial" w:hAnsi="Arial"/>
                <w:sz w:val="28"/>
                <w:szCs w:val="28"/>
                <w:color w:val="auto"/>
                <w:vertAlign w:val="superscript"/>
              </w:rPr>
              <w:t>(5)</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2,523,930</w:t>
            </w:r>
          </w:p>
        </w:tc>
        <w:tc>
          <w:tcPr>
            <w:tcW w:w="3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17.01%</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Cynthia B. Keith</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3540" w:type="dxa"/>
            <w:vAlign w:val="bottom"/>
            <w:gridSpan w:val="2"/>
          </w:tcPr>
          <w:p>
            <w:pPr>
              <w:spacing w:after="0"/>
              <w:rPr>
                <w:sz w:val="20"/>
                <w:szCs w:val="20"/>
                <w:color w:val="auto"/>
              </w:rPr>
            </w:pPr>
            <w:r>
              <w:rPr>
                <w:rFonts w:ascii="Arial" w:cs="Arial" w:eastAsia="Arial" w:hAnsi="Arial"/>
                <w:sz w:val="18"/>
                <w:szCs w:val="18"/>
                <w:color w:val="auto"/>
              </w:rPr>
              <w:t>Allison S. Navitskas</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9"/>
        </w:trPr>
        <w:tc>
          <w:tcPr>
            <w:tcW w:w="354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Cory T. Newsom</w:t>
            </w:r>
            <w:r>
              <w:rPr>
                <w:rFonts w:ascii="Arial" w:cs="Arial" w:eastAsia="Arial" w:hAnsi="Arial"/>
                <w:sz w:val="28"/>
                <w:szCs w:val="28"/>
                <w:color w:val="auto"/>
                <w:vertAlign w:val="superscript"/>
              </w:rPr>
              <w:t>(6)</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304,740</w:t>
            </w:r>
          </w:p>
        </w:tc>
        <w:tc>
          <w:tcPr>
            <w:tcW w:w="3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gridSpan w:val="2"/>
          </w:tcPr>
          <w:p>
            <w:pPr>
              <w:spacing w:after="0" w:line="243" w:lineRule="exact"/>
              <w:rPr>
                <w:sz w:val="20"/>
                <w:szCs w:val="20"/>
                <w:color w:val="auto"/>
              </w:rPr>
            </w:pPr>
            <w:r>
              <w:rPr>
                <w:rFonts w:ascii="Arial" w:cs="Arial" w:eastAsia="Arial" w:hAnsi="Arial"/>
                <w:sz w:val="17"/>
                <w:szCs w:val="17"/>
                <w:color w:val="auto"/>
              </w:rPr>
              <w:t>Mikella D. Newsom</w:t>
            </w:r>
            <w:r>
              <w:rPr>
                <w:rFonts w:ascii="Arial" w:cs="Arial" w:eastAsia="Arial" w:hAnsi="Arial"/>
                <w:sz w:val="28"/>
                <w:szCs w:val="28"/>
                <w:color w:val="auto"/>
                <w:vertAlign w:val="superscript"/>
              </w:rPr>
              <w:t>(7)</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42,900</w:t>
            </w:r>
          </w:p>
        </w:tc>
        <w:tc>
          <w:tcPr>
            <w:tcW w:w="3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Noe G. Valles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81,840</w:t>
            </w:r>
          </w:p>
        </w:tc>
        <w:tc>
          <w:tcPr>
            <w:tcW w:w="3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3540" w:type="dxa"/>
            <w:vAlign w:val="bottom"/>
            <w:gridSpan w:val="2"/>
          </w:tcPr>
          <w:p>
            <w:pPr>
              <w:spacing w:after="0"/>
              <w:rPr>
                <w:sz w:val="20"/>
                <w:szCs w:val="20"/>
                <w:color w:val="auto"/>
              </w:rPr>
            </w:pPr>
            <w:r>
              <w:rPr>
                <w:rFonts w:ascii="Arial" w:cs="Arial" w:eastAsia="Arial" w:hAnsi="Arial"/>
                <w:sz w:val="18"/>
                <w:szCs w:val="18"/>
                <w:color w:val="auto"/>
              </w:rPr>
              <w:t>Kyle R. Wargo</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1"/>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Directors &amp; executive officers as a group (11</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individuals)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5,641,590</w:t>
            </w:r>
          </w:p>
        </w:tc>
        <w:tc>
          <w:tcPr>
            <w:tcW w:w="3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37.25%</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9"/>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Principal shareholders: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540" w:type="dxa"/>
            <w:vAlign w:val="bottom"/>
            <w:gridSpan w:val="2"/>
            <w:shd w:val="clear" w:color="auto" w:fill="CCEEFF"/>
          </w:tcPr>
          <w:p>
            <w:pPr>
              <w:spacing w:after="0" w:line="247" w:lineRule="exact"/>
              <w:rPr>
                <w:sz w:val="20"/>
                <w:szCs w:val="20"/>
                <w:color w:val="auto"/>
              </w:rPr>
            </w:pPr>
            <w:r>
              <w:rPr>
                <w:rFonts w:ascii="Arial" w:cs="Arial" w:eastAsia="Arial" w:hAnsi="Arial"/>
                <w:sz w:val="17"/>
                <w:szCs w:val="17"/>
                <w:color w:val="auto"/>
              </w:rPr>
              <w:t>South Plains Financial, Inc. ESOP</w:t>
            </w:r>
            <w:r>
              <w:rPr>
                <w:rFonts w:ascii="Arial" w:cs="Arial" w:eastAsia="Arial" w:hAnsi="Arial"/>
                <w:sz w:val="28"/>
                <w:szCs w:val="28"/>
                <w:color w:val="auto"/>
                <w:vertAlign w:val="superscript"/>
              </w:rPr>
              <w:t>(8)</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2,998,470</w:t>
            </w:r>
          </w:p>
        </w:tc>
        <w:tc>
          <w:tcPr>
            <w:tcW w:w="3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20.30%</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390"/>
        </w:trPr>
        <w:tc>
          <w:tcPr>
            <w:tcW w:w="3540" w:type="dxa"/>
            <w:vAlign w:val="bottom"/>
            <w:gridSpan w:val="2"/>
          </w:tcPr>
          <w:p>
            <w:pPr>
              <w:spacing w:after="0"/>
              <w:rPr>
                <w:sz w:val="20"/>
                <w:szCs w:val="20"/>
                <w:color w:val="auto"/>
              </w:rPr>
            </w:pPr>
            <w:r>
              <w:rPr>
                <w:rFonts w:ascii="Arial" w:cs="Arial" w:eastAsia="Arial" w:hAnsi="Arial"/>
                <w:sz w:val="18"/>
                <w:szCs w:val="18"/>
                <w:color w:val="auto"/>
              </w:rPr>
              <w:t>James C. Henry</w:t>
            </w:r>
            <w:r>
              <w:rPr>
                <w:rFonts w:ascii="Arial" w:cs="Arial" w:eastAsia="Arial" w:hAnsi="Arial"/>
                <w:sz w:val="29"/>
                <w:szCs w:val="29"/>
                <w:color w:val="auto"/>
                <w:vertAlign w:val="superscript"/>
              </w:rPr>
              <w:t>(9)</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1,410,000</w:t>
            </w:r>
          </w:p>
        </w:tc>
        <w:tc>
          <w:tcPr>
            <w:tcW w:w="3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086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25" w:lineRule="exact"/>
        <w:rPr>
          <w:sz w:val="20"/>
          <w:szCs w:val="20"/>
          <w:color w:val="auto"/>
        </w:rPr>
      </w:pPr>
    </w:p>
    <w:p>
      <w:pPr>
        <w:ind w:left="360" w:hanging="355"/>
        <w:spacing w:after="0"/>
        <w:tabs>
          <w:tab w:leader="none" w:pos="3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ownership of less than 1%</w:t>
      </w:r>
    </w:p>
    <w:p>
      <w:pPr>
        <w:spacing w:after="0" w:line="109" w:lineRule="exact"/>
        <w:rPr>
          <w:sz w:val="20"/>
          <w:szCs w:val="20"/>
          <w:color w:val="auto"/>
        </w:rPr>
      </w:pPr>
    </w:p>
    <w:p>
      <w:pPr>
        <w:ind w:left="360" w:right="160" w:hanging="355"/>
        <w:spacing w:after="0" w:line="252" w:lineRule="auto"/>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(i) 24,900 shares held individually by Mr. Bass, (ii) 73,500 shares of common stock underlying vested options received in connection with the conversion of Mr. Bass’s SARs and (iii) 42,510 shares held by the ESOP and allocated to Mr. Bass’s account. Following the completion of this offering, each ESOP participant will have the right to direct the ESOP trustee to vote the shares allocated to his or her account on all matters requiring the vote of our shareholders and as an ESOP participant, Mr. Bass may be deemed the beneficial owner of such shares.</w:t>
      </w:r>
    </w:p>
    <w:p>
      <w:pPr>
        <w:spacing w:after="0" w:line="79" w:lineRule="exact"/>
        <w:rPr>
          <w:rFonts w:ascii="Arial" w:cs="Arial" w:eastAsia="Arial" w:hAnsi="Arial"/>
          <w:sz w:val="14"/>
          <w:szCs w:val="14"/>
          <w:color w:val="auto"/>
        </w:rPr>
      </w:pPr>
    </w:p>
    <w:p>
      <w:pPr>
        <w:ind w:left="360" w:right="140" w:hanging="355"/>
        <w:spacing w:after="0" w:line="273" w:lineRule="auto"/>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(i) 39,540 shares individually held by Mr. Campbell and (ii) 2,370,000 shares owned by James C. Henry and parties related to Mr. Henry but subject to a voting agreement and irrevocable proxy pursuant to which Mr. Campbell exercises voting authority.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0" w:hanging="355"/>
        <w:spacing w:after="0" w:line="252"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10,500 shares held individually by Mr. Crockett, (ii) 67,500 shares of common stock underlying vested options received in connection with the conversion of Mr. Crockett’s SARs and (iii) 26,700 shares held by the ESOP and allocated to Mr. Crockett’s account. Following the completion of this offering, each ESOP participant will have the right to direct the ESOP trustee to vote the shares allocated to his or her account on all matters requiring the vote of our shareholders and as an ESOP participant, Mr. Crockett may be deemed the beneficial owner of such shares.</w:t>
      </w:r>
    </w:p>
    <w:p>
      <w:pPr>
        <w:spacing w:after="0" w:line="79" w:lineRule="exact"/>
        <w:rPr>
          <w:rFonts w:ascii="Arial" w:cs="Arial" w:eastAsia="Arial" w:hAnsi="Arial"/>
          <w:sz w:val="14"/>
          <w:szCs w:val="14"/>
          <w:color w:val="auto"/>
        </w:rPr>
      </w:pPr>
    </w:p>
    <w:p>
      <w:pPr>
        <w:ind w:left="360" w:right="140" w:hanging="355"/>
        <w:spacing w:after="0" w:line="252"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15,000 shares of common stock underlying vested options received in connection with the conversion of Mr. Deterding’s SARs and (ii) 18,030 shares held by the ESOP and allocated to Mr. Deterding’s account. Following the completion of this offering, each ESOP participant will have the right to direct the ESOP trustee to vote the shares allocated to his or her account on all matters requiring the vote of our shareholders and as an ESOP participant, Mr. Deterding may be deemed the beneficial owner of such shares.</w:t>
      </w:r>
    </w:p>
    <w:p>
      <w:pPr>
        <w:spacing w:after="0" w:line="79" w:lineRule="exact"/>
        <w:rPr>
          <w:rFonts w:ascii="Arial" w:cs="Arial" w:eastAsia="Arial" w:hAnsi="Arial"/>
          <w:sz w:val="14"/>
          <w:szCs w:val="14"/>
          <w:color w:val="auto"/>
        </w:rPr>
      </w:pPr>
    </w:p>
    <w:p>
      <w:pPr>
        <w:ind w:left="360" w:right="60" w:hanging="355"/>
        <w:spacing w:after="0" w:line="252"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2,369,790 shares held by Mr. Griffith, (ii) 66,000 shares of common stock underlying vested options received in connection with the conversion of Mr. Griffith’s SARs and (iii) 88,140 shares held by the ESOP and allocated to Mr. Griffith’s account. Following the completion of this offering, each ESOP participant will have the right to direct the ESOP trustee to vote the shares allocated to his or her account on all matters requiring the vote of our shareholders and as an ESOP participant, Mr. Griffith may be deemed the beneficial owner of such shares.</w:t>
      </w:r>
    </w:p>
    <w:p>
      <w:pPr>
        <w:spacing w:after="0" w:line="79" w:lineRule="exact"/>
        <w:rPr>
          <w:rFonts w:ascii="Arial" w:cs="Arial" w:eastAsia="Arial" w:hAnsi="Arial"/>
          <w:sz w:val="14"/>
          <w:szCs w:val="14"/>
          <w:color w:val="auto"/>
        </w:rPr>
      </w:pPr>
    </w:p>
    <w:p>
      <w:pPr>
        <w:ind w:left="360" w:right="20" w:hanging="355"/>
        <w:spacing w:after="0" w:line="249"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109,500 shares held individually by Mr. Newsom, (ii) 750 shares held for the benefit of Mr. Newsom’s minor child, (iii) 123,000 shares of common stock underlying vested options received in connection with the conversion of Mr. Newsom’s SARs, and (iv) 71,490 shares held by the ESOP and allocated to Mr. Newsom’s account. Following the completion of this offering, each ESOP participant will have the right to direct the ESOP trustee to vote the shares allocated to his or her account on all matters requiring the vote of our shareholders and as an ESOP participant, Mr. Newsom may be deemed the beneficial owner of such shares.</w:t>
      </w:r>
    </w:p>
    <w:p>
      <w:pPr>
        <w:spacing w:after="0" w:line="82" w:lineRule="exact"/>
        <w:rPr>
          <w:rFonts w:ascii="Arial" w:cs="Arial" w:eastAsia="Arial" w:hAnsi="Arial"/>
          <w:sz w:val="14"/>
          <w:szCs w:val="14"/>
          <w:color w:val="auto"/>
        </w:rPr>
      </w:pPr>
    </w:p>
    <w:p>
      <w:pPr>
        <w:ind w:left="360" w:right="80" w:hanging="355"/>
        <w:spacing w:after="0" w:line="277" w:lineRule="auto"/>
        <w:tabs>
          <w:tab w:leader="none" w:pos="3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Includes (i) 4,500 shares held individually by Ms. Newsom, (ii) 27,000 shares of common stock underlying vested options received in connection with the conversion of Ms. Newsom’s SARs and (iii) 11,400 shares held by the ESOP and allocated to Ms. Newsom’s account. Following the completion of this offering, each ESOP participant will have the right to direct the ESOP trustee to vote the shares allocated to his or her account on all matters requiring the vote of our shareholders and as an ESOP participant, Ms. Newsom may be deemed the beneficial owner of such shares.</w:t>
      </w:r>
    </w:p>
    <w:p>
      <w:pPr>
        <w:spacing w:after="0" w:line="65" w:lineRule="exact"/>
        <w:rPr>
          <w:rFonts w:ascii="Arial" w:cs="Arial" w:eastAsia="Arial" w:hAnsi="Arial"/>
          <w:sz w:val="13"/>
          <w:szCs w:val="13"/>
          <w:color w:val="auto"/>
        </w:rPr>
      </w:pPr>
    </w:p>
    <w:p>
      <w:pPr>
        <w:ind w:left="360" w:right="20" w:hanging="355"/>
        <w:spacing w:after="0" w:line="249"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Following the completion of this offering, each ESOP participant will have the right to direct the ESOP trustee to vote the shares allocated to his or her account on all matters requiring the vote of our shareholders. In the event that a participant does not direct the ESOP trustee on how to vote his or her allocated shares, the ESOP trustee may determine how such shares are voted or the shares may not be voted. Shares held by the ESOP that are not allocated to the participants’ accounts will be voted in the same proportion as the shares allocated to participants’ accounts. The business address for our ESOP is 5219 City Bank Parkway, Lubbock, Texas 79407.</w:t>
      </w:r>
    </w:p>
    <w:p>
      <w:pPr>
        <w:spacing w:after="0" w:line="82" w:lineRule="exact"/>
        <w:rPr>
          <w:rFonts w:ascii="Arial" w:cs="Arial" w:eastAsia="Arial" w:hAnsi="Arial"/>
          <w:sz w:val="14"/>
          <w:szCs w:val="14"/>
          <w:color w:val="auto"/>
        </w:rPr>
      </w:pPr>
    </w:p>
    <w:p>
      <w:pPr>
        <w:ind w:left="360" w:right="380" w:hanging="355"/>
        <w:spacing w:after="0" w:line="273" w:lineRule="auto"/>
        <w:tabs>
          <w:tab w:leader="none" w:pos="3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(i) 1,208,700 shares of common stock held individually and (ii) 201,300 shares held through Henry TAW LP, all of which are subject to a voting agreement and irrevocable proxy pursuant to which Richard D. Campbell exercises voting authority.</w:t>
      </w:r>
    </w:p>
    <w:p>
      <w:pPr>
        <w:spacing w:after="0" w:line="57"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December 31, 2018, and as adjusted to reflect the completion of this offering, for each of our selling shareholders. The percentage of beneficial ownership is based on 14,771,520 shares of our common stock outstanding as of December 31, 2018 and shares to be outstanding after the completion of this offering.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w w:val="96"/>
              </w:rPr>
              <w:t>After the Offering</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4"/>
          </w:tcPr>
          <w:p>
            <w:pPr>
              <w:jc w:val="right"/>
              <w:ind w:right="380"/>
              <w:spacing w:after="0" w:line="160" w:lineRule="exact"/>
              <w:rPr>
                <w:sz w:val="20"/>
                <w:szCs w:val="20"/>
                <w:color w:val="auto"/>
              </w:rPr>
            </w:pPr>
            <w:r>
              <w:rPr>
                <w:rFonts w:ascii="Arial" w:cs="Arial" w:eastAsia="Arial" w:hAnsi="Arial"/>
                <w:sz w:val="14"/>
                <w:szCs w:val="14"/>
                <w:b w:val="1"/>
                <w:bCs w:val="1"/>
                <w:color w:val="auto"/>
              </w:rPr>
              <w:t>Shares Beneficially Owned</w:t>
            </w: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tcPr>
          <w:p>
            <w:pPr>
              <w:ind w:left="220"/>
              <w:spacing w:after="0" w:line="160" w:lineRule="exact"/>
              <w:rPr>
                <w:sz w:val="20"/>
                <w:szCs w:val="20"/>
                <w:color w:val="auto"/>
              </w:rPr>
            </w:pPr>
            <w:r>
              <w:rPr>
                <w:rFonts w:ascii="Arial" w:cs="Arial" w:eastAsia="Arial" w:hAnsi="Arial"/>
                <w:sz w:val="14"/>
                <w:szCs w:val="14"/>
                <w:b w:val="1"/>
                <w:bCs w:val="1"/>
                <w:color w:val="auto"/>
              </w:rPr>
              <w:t>If Option Exercised in</w:t>
            </w:r>
          </w:p>
        </w:tc>
      </w:tr>
      <w:tr>
        <w:trPr>
          <w:trHeight w:val="185"/>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Prior to the Offering</w:t>
            </w: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If Option Not Exercised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Full</w:t>
            </w:r>
          </w:p>
        </w:tc>
      </w:tr>
      <w:tr>
        <w:trPr>
          <w:trHeight w:val="183"/>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3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Selling shareholders</w:t>
            </w: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3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gridSpan w:val="2"/>
          </w:tcPr>
          <w:p>
            <w:pPr>
              <w:jc w:val="right"/>
              <w:ind w:right="468"/>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2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following is a summary of the material rights of our capital stock and related provisions of our certificate of formation and bylaws. The following description of our capital stock does not purport to be complete and is subject to, and qualified in its entirety by, our certificate of formation and bylaws, which we have included as exhibits to the registration statement of which this prospectus is a part. We urge you to read these documents for a more complete understanding of shareholder rights.</w:t>
      </w:r>
    </w:p>
    <w:p>
      <w:pPr>
        <w:spacing w:after="0" w:line="6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certificate of formation authorizes the issuance of up to 30,000,000 shares of voting common stock, par value $1.00 per share, and up to 1,000,000 shares of preferred stock, par value $1.00 per share. On , 2019, we effected a 29-for-1 stock dividend, resulting in shareholders receiving 29 shares of common stock for each share of common stock held as of March 11, 2019. As of December 31, 2018, we had 14,771,520 shares of our common stock issued and outstanding, after giving effect to the 29-for-1 stock dividend, and no shares of preferred stock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firstLine="360"/>
        <w:spacing w:after="0" w:line="311" w:lineRule="auto"/>
        <w:rPr>
          <w:sz w:val="20"/>
          <w:szCs w:val="20"/>
          <w:color w:val="auto"/>
        </w:rPr>
      </w:pPr>
      <w:r>
        <w:rPr>
          <w:rFonts w:ascii="Arial" w:cs="Arial" w:eastAsia="Arial" w:hAnsi="Arial"/>
          <w:sz w:val="16"/>
          <w:szCs w:val="16"/>
          <w:color w:val="auto"/>
        </w:rPr>
        <w:t>Each share of common stock has the same rights, privileges and preferences as every other share of common stock, and there is no preemptive, conversion, redemption rights or sinking fund provisions applicable to our common stock. The designations and powers, preferences and rights and the qualifications, limitations or restrictions of the common stock are described below.</w:t>
      </w:r>
    </w:p>
    <w:p>
      <w:pPr>
        <w:spacing w:after="0" w:line="4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the rights of preferred stock we may issue in the future, or any other class or series of stock having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preference as to dividends over the common stock, each share of common stock will participate equally in dividends, which are payable when and as declared by our board of directors. Further, the agreements pursuant to which we borrow money and the regulations to which we are subject as a bank holding company may limit our ability to pay dividends or other distributions with respect to the common stock or to repurchase our capital stock. The board of directors has the discretion to determine the amount of dividends to be paid.</w:t>
      </w:r>
    </w:p>
    <w:p>
      <w:pPr>
        <w:spacing w:after="0" w:line="84"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b w:val="1"/>
          <w:bCs w:val="1"/>
          <w:i w:val="1"/>
          <w:iCs w:val="1"/>
          <w:color w:val="auto"/>
        </w:rPr>
        <w:t>Liquidation and Dissolution</w:t>
      </w:r>
      <w:r>
        <w:rPr>
          <w:rFonts w:ascii="Arial" w:cs="Arial" w:eastAsia="Arial" w:hAnsi="Arial"/>
          <w:sz w:val="18"/>
          <w:szCs w:val="18"/>
          <w:color w:val="auto"/>
        </w:rPr>
        <w:t>. Upon any liquidation, dissolution or winding up of the Company, after the payment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and of the liquidation preferences with respect to any issued and outstanding preferred shares, or any other class or series of stock having preference over the common stock, we will distribute our remaining assets to the holders of our voting common stock on a pro rata basis.</w:t>
      </w:r>
    </w:p>
    <w:p>
      <w:pPr>
        <w:spacing w:after="0" w:line="7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Each holder of common stock is entitled to one vote per share on any issue requiring a vote. Shareholders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cumulate their votes in the election of directors.</w:t>
      </w:r>
    </w:p>
    <w:p>
      <w:pPr>
        <w:spacing w:after="0" w:line="6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b w:val="1"/>
          <w:bCs w:val="1"/>
          <w:i w:val="1"/>
          <w:iCs w:val="1"/>
          <w:color w:val="auto"/>
        </w:rPr>
        <w:t>Absence of Preemptive Rights</w:t>
      </w:r>
      <w:r>
        <w:rPr>
          <w:rFonts w:ascii="Arial" w:cs="Arial" w:eastAsia="Arial" w:hAnsi="Arial"/>
          <w:sz w:val="18"/>
          <w:szCs w:val="18"/>
          <w:color w:val="auto"/>
        </w:rPr>
        <w:t>. Our common stock does not have preemptive rights or other rights to subscribe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w:t>
      </w:r>
    </w:p>
    <w:p>
      <w:pPr>
        <w:spacing w:after="0" w:line="6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color w:val="auto"/>
        </w:rPr>
        <w:t>. We have applied to list our common stock on the NASDAQ Global Select Market under the symbol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“SPFI.”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do not have any preferred stock outstanding as of the date of this prospectus. In our certificate of formation, we reserve the right to issue one or more series of preferred stock, fix the designations and the powers, preferences and relative, participating, optional or other special rights and qualifications, limitations or restrictions of such series, including, without limitation, voting rights, dividend rate, conversion rights, redemption price and liquidation preference, as may be permitted by the TBOC, to fix the number of shares constituting any series and to increase or decrease the number of shares of any series (but not below the number of shares of such series then outstanding).</w:t>
      </w:r>
    </w:p>
    <w:p>
      <w:pPr>
        <w:spacing w:after="0" w:line="84" w:lineRule="exact"/>
        <w:rPr>
          <w:sz w:val="20"/>
          <w:szCs w:val="20"/>
          <w:color w:val="auto"/>
        </w:rPr>
      </w:pPr>
    </w:p>
    <w:p>
      <w:pPr>
        <w:ind w:right="400" w:firstLine="360"/>
        <w:spacing w:after="0" w:line="263" w:lineRule="auto"/>
        <w:rPr>
          <w:sz w:val="20"/>
          <w:szCs w:val="20"/>
          <w:color w:val="auto"/>
        </w:rPr>
      </w:pPr>
      <w:r>
        <w:rPr>
          <w:rFonts w:ascii="Arial" w:cs="Arial" w:eastAsia="Arial" w:hAnsi="Arial"/>
          <w:sz w:val="18"/>
          <w:szCs w:val="18"/>
          <w:color w:val="auto"/>
        </w:rPr>
        <w:t>Any of these actions could have an anti-takeover effect and discourage a transaction that some or a majority of our shareholders might believe to be in their best interests or in which our shareholders might receive a premium for their common stock over our then-market price.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Considerations and Special Provisions of Our Certificate of Formation, Bylaws and Texas Law</w:t>
      </w:r>
    </w:p>
    <w:p>
      <w:pPr>
        <w:spacing w:after="0" w:line="108"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Certain provisions of our certificate of formation and bylaws could have the effect of delaying or deferring the removal of incumbent directors or delaying, deferring or discouraging another party from acquiring control of us, even if such removal or acquisition would be viewed by our shareholders to be in their best interests. These provisions, summarized below, are intended to encourage persons seeking to acquire control of us to first negotiate with our board of directors. These provisions also serve to discourage hostile takeover practices and inadequate takeover bids. We believe that these provisions are beneficial because the negotiation they encourage could result in improved terms of any unsolicited proposal.</w:t>
      </w:r>
    </w:p>
    <w:p>
      <w:pPr>
        <w:spacing w:after="0" w:line="70" w:lineRule="exact"/>
        <w:rPr>
          <w:sz w:val="20"/>
          <w:szCs w:val="20"/>
          <w:color w:val="auto"/>
        </w:rPr>
      </w:pPr>
    </w:p>
    <w:p>
      <w:pPr>
        <w:ind w:right="580" w:firstLine="360"/>
        <w:spacing w:after="0" w:line="342" w:lineRule="auto"/>
        <w:rPr>
          <w:sz w:val="20"/>
          <w:szCs w:val="20"/>
          <w:color w:val="auto"/>
        </w:rPr>
      </w:pPr>
      <w:r>
        <w:rPr>
          <w:rFonts w:ascii="Arial" w:cs="Arial" w:eastAsia="Arial" w:hAnsi="Arial"/>
          <w:sz w:val="16"/>
          <w:szCs w:val="16"/>
          <w:color w:val="auto"/>
        </w:rPr>
        <w:t>Certain provisions of the TBOC found at Section 21.602 through Section 21.610 relating to business combinations with affiliates may have the effect of deterring hostile takeovers or delaying or preventing control or management of a company.</w:t>
      </w:r>
    </w:p>
    <w:p>
      <w:pPr>
        <w:spacing w:after="0" w:line="16"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Authorized but Unissued Capital Stock. </w:t>
      </w:r>
      <w:r>
        <w:rPr>
          <w:rFonts w:ascii="Arial" w:cs="Arial" w:eastAsia="Arial" w:hAnsi="Arial"/>
          <w:sz w:val="18"/>
          <w:szCs w:val="18"/>
          <w:color w:val="auto"/>
        </w:rPr>
        <w:t>As of the date of this document, we had 15,228,480 shares of authorized but unissued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and 1,000,000 shares of authorized but unissued shares of preferred stock. Our board of directors may authorize the issuance of one or more series of preferred stock without shareholder approval. These shares could be used by our board of directors to make it more difficult or to discourage an attempt to obtain control of us through a merger, tender offer, proxy contest or otherwise.</w:t>
      </w:r>
    </w:p>
    <w:p>
      <w:pPr>
        <w:spacing w:after="0" w:line="80"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b w:val="1"/>
          <w:bCs w:val="1"/>
          <w:i w:val="1"/>
          <w:iCs w:val="1"/>
          <w:color w:val="auto"/>
        </w:rPr>
        <w:t xml:space="preserve">Limitation on Right to Call a Special Meeting of Shareholders. </w:t>
      </w:r>
      <w:r>
        <w:rPr>
          <w:rFonts w:ascii="Arial" w:cs="Arial" w:eastAsia="Arial" w:hAnsi="Arial"/>
          <w:sz w:val="16"/>
          <w:szCs w:val="16"/>
          <w:color w:val="auto"/>
        </w:rPr>
        <w:t>Our bylaws provide that, except as otherwise required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TBOC and subject to our certificate of formation, special meetings of shareholders may be called only by the chairman of the board of directors, the board of directors or the holders of not less than 25% of all of the outstanding shares of the corporation entitled to vote at the meeting. In order for a special meeting to be called by the shareholders, a written request for a special meeting signed by the shareholders owning at least the requisite percent of shares entitled to vote at the meeting as of the date of the request must be delivered to the secretary at the principal executive offices of the Company. The special meeting request must include certain information listed in our bylaws, including, but not limited to, a statement of the business proposed to be acted on at the meeting, the signatures of each shareholder submitting the special meeting request, the name and address of each shareholder submitting the special meeting request and documentary evidence that the requesting shareholders own the requisite percent of shares as of the date of the special meeting request. A special meeting request shall not be valid if (1) the request relates to an item of business that is not a proper subject for shareholder action under applicable law or our certificate of formation, (2) the request relates to an item of business that is the same or substantially similar to an item presented at a meeting of shareholders occurring within ninety (90) days preceding the earliest date of the signature on the special meeting request, (3) the special meeting request is delivered during the period commencing ninety (90) days prior to the first anniversary of the preceding year’s annual meeting and ending on the date of the next annual meeting of shareholders; or (4) the special meeting request does not comply with the requirements of our bylaws.</w:t>
      </w:r>
    </w:p>
    <w:p>
      <w:pPr>
        <w:spacing w:after="0" w:line="59"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b w:val="1"/>
          <w:bCs w:val="1"/>
          <w:i w:val="1"/>
          <w:iCs w:val="1"/>
          <w:color w:val="auto"/>
        </w:rPr>
        <w:t xml:space="preserve">Shareholder Proposals. </w:t>
      </w:r>
      <w:r>
        <w:rPr>
          <w:rFonts w:ascii="Arial" w:cs="Arial" w:eastAsia="Arial" w:hAnsi="Arial"/>
          <w:sz w:val="16"/>
          <w:szCs w:val="16"/>
          <w:color w:val="auto"/>
        </w:rPr>
        <w:t>Our bylaws include specific procedures for shareholder proposals, including proposed nominations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to be brought at shareholder meetings including that the shareholder must (1) be the holder of not less than 25% of all of the outstanding shares of the corporation entitled to vote at the meeting, (2) be a shareholder of record at the time of giving of notice of such meeting by the board of directors and at the time of the annual meeting, (3) be entitled to vote at such annual meeting, and</w:t>
      </w:r>
    </w:p>
    <w:p>
      <w:pPr>
        <w:spacing w:after="0" w:line="1" w:lineRule="exact"/>
        <w:rPr>
          <w:sz w:val="20"/>
          <w:szCs w:val="20"/>
          <w:color w:val="auto"/>
        </w:rPr>
      </w:pPr>
    </w:p>
    <w:p>
      <w:pPr>
        <w:ind w:firstLine="5"/>
        <w:spacing w:after="0" w:line="268" w:lineRule="auto"/>
        <w:tabs>
          <w:tab w:leader="none" w:pos="2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comply with the procedures set forth in our bylaws as to such nomination or other business. Notice of a shareholder proposal notice must generally be delivered to the secretary of the Company not earlier than 30 days nor more than 60 days prior to the shareholder meeting. The notice of the shareholder proposal must include certain information listed in our bylaws, including, but not limited to, the name and address of each shareholder making the proposal, the name and address of any nominee for director, the class and number of shares of our capital stock, any proxy used in connection with the proposal, a description of the business desired to be brought before the meeting, and a description of all agreement, arrangement and understanding between the shareholder proposing the business to be brought before the meeting and any other affiliates and associates with whom the requesting shareholder is acting in concert in connection with the proposal.</w:t>
      </w:r>
    </w:p>
    <w:p>
      <w:pPr>
        <w:spacing w:after="0" w:line="75" w:lineRule="exact"/>
        <w:rPr>
          <w:sz w:val="20"/>
          <w:szCs w:val="20"/>
          <w:color w:val="auto"/>
        </w:rPr>
      </w:pPr>
    </w:p>
    <w:p>
      <w:pPr>
        <w:ind w:right="120" w:firstLine="360"/>
        <w:spacing w:after="0" w:line="263" w:lineRule="auto"/>
        <w:rPr>
          <w:sz w:val="20"/>
          <w:szCs w:val="20"/>
          <w:color w:val="auto"/>
        </w:rPr>
      </w:pPr>
      <w:r>
        <w:rPr>
          <w:rFonts w:ascii="Arial" w:cs="Arial" w:eastAsia="Arial" w:hAnsi="Arial"/>
          <w:sz w:val="18"/>
          <w:szCs w:val="18"/>
          <w:b w:val="1"/>
          <w:bCs w:val="1"/>
          <w:i w:val="1"/>
          <w:iCs w:val="1"/>
          <w:color w:val="auto"/>
        </w:rPr>
        <w:t xml:space="preserve">Action by Written Consent in Lieu of Meeting. </w:t>
      </w:r>
      <w:r>
        <w:rPr>
          <w:rFonts w:ascii="Arial" w:cs="Arial" w:eastAsia="Arial" w:hAnsi="Arial"/>
          <w:sz w:val="18"/>
          <w:szCs w:val="18"/>
          <w:color w:val="auto"/>
        </w:rPr>
        <w:t>Our certificate of formation allows for any action required by the TBOC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taken at any annual or special meeting of the shareholders to be taken without a meeting if a consent or consents in writing are signed by all of the holders of shares entitled to vote on the action were present and voted.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Classified Board of Directors. </w:t>
      </w:r>
      <w:r>
        <w:rPr>
          <w:rFonts w:ascii="Arial" w:cs="Arial" w:eastAsia="Arial" w:hAnsi="Arial"/>
          <w:sz w:val="18"/>
          <w:szCs w:val="18"/>
          <w:color w:val="auto"/>
        </w:rPr>
        <w:t>Our certificate of formation provides that our board of directors be divided into three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classes, with the directors in each class serving a three-year term. The election of directors is staggered so that approximately one-third of the board of directors is elected at each annual meeting. Directors are elected by the affirmative vote of the holders of a majority of the shares of common stock entitled to vote in the election of directors and represented in person or by proxy. For more information on the board, see “Management—Board of Directors.”</w:t>
      </w:r>
    </w:p>
    <w:p>
      <w:pPr>
        <w:spacing w:after="0" w:line="8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b w:val="1"/>
          <w:bCs w:val="1"/>
          <w:i w:val="1"/>
          <w:iCs w:val="1"/>
          <w:color w:val="auto"/>
        </w:rPr>
        <w:t xml:space="preserve">Filling of Board Vacancies. </w:t>
      </w:r>
      <w:r>
        <w:rPr>
          <w:rFonts w:ascii="Arial" w:cs="Arial" w:eastAsia="Arial" w:hAnsi="Arial"/>
          <w:sz w:val="17"/>
          <w:szCs w:val="17"/>
          <w:color w:val="auto"/>
        </w:rPr>
        <w:t>Any vacancy occurring in the board of directors may be filled by a majority of the directors then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office, though less than a quorum, except that any vacancy in the board of directors resulting from the removal of the director by the shareholders shall be filled only by the shareholders entitled to vote. A director elected to fill a vacancy shall be elected for the unexpired term of his predecessor in office and will hold office until such director’s successor has been elected and qualified or until such director’s earlier death, resignation or removal. However, pursuant to Section 21.410 of the TBOC, any vacancy in the board of directors to be filled because of an increase in the number of directors may be filled by the board of directors for a term of office continuing only until the next election of one or more directors by the shareholders. Furthermore, during a period between two successive annual meetings of shareholders, the board of directors may not fill more than two (2) vacancies created by an increase in the number of directors.</w:t>
      </w:r>
    </w:p>
    <w:p>
      <w:pPr>
        <w:spacing w:after="0" w:line="73" w:lineRule="exact"/>
        <w:rPr>
          <w:sz w:val="20"/>
          <w:szCs w:val="20"/>
          <w:color w:val="auto"/>
        </w:rPr>
      </w:pPr>
    </w:p>
    <w:p>
      <w:pPr>
        <w:ind w:right="20" w:firstLine="360"/>
        <w:spacing w:after="0" w:line="275" w:lineRule="auto"/>
        <w:rPr>
          <w:sz w:val="20"/>
          <w:szCs w:val="20"/>
          <w:color w:val="auto"/>
        </w:rPr>
      </w:pPr>
      <w:r>
        <w:rPr>
          <w:rFonts w:ascii="Arial" w:cs="Arial" w:eastAsia="Arial" w:hAnsi="Arial"/>
          <w:sz w:val="17"/>
          <w:szCs w:val="17"/>
          <w:b w:val="1"/>
          <w:bCs w:val="1"/>
          <w:i w:val="1"/>
          <w:iCs w:val="1"/>
          <w:color w:val="auto"/>
        </w:rPr>
        <w:t xml:space="preserve">Removal of Directors. </w:t>
      </w:r>
      <w:r>
        <w:rPr>
          <w:rFonts w:ascii="Arial" w:cs="Arial" w:eastAsia="Arial" w:hAnsi="Arial"/>
          <w:sz w:val="17"/>
          <w:szCs w:val="17"/>
          <w:color w:val="auto"/>
        </w:rPr>
        <w:t>Pursuant to Section 21.409(d) of the TBOC, a director of a corporation with a classified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may be removed only for cause. Furthermore, pursuant to Section 21.409(a) of the TBOC, our bylaws provide for heightened voting thresholds necessary to remove a director from office. Accordingly, a director may be removed only for cause at a meeting called for the purpose of removing the director by the affirmative vote of the holders of outstanding shares representing at least two-thirds of the voting power of all shares entitled to vote for the election of such director.</w:t>
      </w:r>
    </w:p>
    <w:p>
      <w:pPr>
        <w:spacing w:after="0" w:line="68" w:lineRule="exact"/>
        <w:rPr>
          <w:sz w:val="20"/>
          <w:szCs w:val="20"/>
          <w:color w:val="auto"/>
        </w:rPr>
      </w:pPr>
    </w:p>
    <w:p>
      <w:pPr>
        <w:ind w:right="160" w:firstLine="360"/>
        <w:spacing w:after="0" w:line="254" w:lineRule="auto"/>
        <w:rPr>
          <w:sz w:val="20"/>
          <w:szCs w:val="20"/>
          <w:color w:val="auto"/>
        </w:rPr>
      </w:pPr>
      <w:r>
        <w:rPr>
          <w:rFonts w:ascii="Arial" w:cs="Arial" w:eastAsia="Arial" w:hAnsi="Arial"/>
          <w:sz w:val="18"/>
          <w:szCs w:val="18"/>
          <w:b w:val="1"/>
          <w:bCs w:val="1"/>
          <w:i w:val="1"/>
          <w:iCs w:val="1"/>
          <w:color w:val="auto"/>
        </w:rPr>
        <w:t>Amendment of the Bylaws or Adoption of New Bylaws</w:t>
      </w:r>
      <w:r>
        <w:rPr>
          <w:rFonts w:ascii="Arial" w:cs="Arial" w:eastAsia="Arial" w:hAnsi="Arial"/>
          <w:sz w:val="18"/>
          <w:szCs w:val="18"/>
          <w:color w:val="auto"/>
        </w:rPr>
        <w:t>. Our bylaws may be amended or repealed or new bylaws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by the affirmative vote of a majority of the directors present at a meeting at which quorum is present, without approval of our shareholders. Accordingly, our board of directors could take action to amend our bylaws in a manner that could have the effect of delaying, deferring or discouraging another party from acquiring control of us. Shareholders may also amend or repeal our bylaws and adopt new bylaws by the affirmative vote of holders of two-thirds of the shares entitled to vote at a meeting of the shareholders, provided that notice of the proposed alteration, amendment or repeal is contained in the notice of that shareholders’ meeting.</w:t>
      </w:r>
    </w:p>
    <w:p>
      <w:pPr>
        <w:spacing w:after="0" w:line="8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b w:val="1"/>
          <w:bCs w:val="1"/>
          <w:i w:val="1"/>
          <w:iCs w:val="1"/>
          <w:color w:val="auto"/>
        </w:rPr>
        <w:t>Voting Provisions</w:t>
      </w:r>
      <w:r>
        <w:rPr>
          <w:rFonts w:ascii="Arial" w:cs="Arial" w:eastAsia="Arial" w:hAnsi="Arial"/>
          <w:sz w:val="18"/>
          <w:szCs w:val="18"/>
          <w:color w:val="auto"/>
        </w:rPr>
        <w:t>. Our certificate of formation does not provide for certain heightened voting thresholds needed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consummate a change in control transaction, such as a merger, the sale of substantially all of our assets or other similar transaction. Accordingly, we will not be able to consummate a change in control transaction or sell all or substantially all of our assets without obtaining the affirmative vote of the holders of shares of our capital stock having at least two-thirds of the voting power of all outstanding capital stock entitled to vote thereon.</w:t>
      </w:r>
    </w:p>
    <w:p>
      <w:pPr>
        <w:spacing w:after="0" w:line="80"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b w:val="1"/>
          <w:bCs w:val="1"/>
          <w:i w:val="1"/>
          <w:iCs w:val="1"/>
          <w:color w:val="auto"/>
        </w:rPr>
        <w:t>Exclusive Forum</w:t>
      </w:r>
      <w:r>
        <w:rPr>
          <w:rFonts w:ascii="Arial" w:cs="Arial" w:eastAsia="Arial" w:hAnsi="Arial"/>
          <w:sz w:val="16"/>
          <w:szCs w:val="16"/>
          <w:color w:val="auto"/>
        </w:rPr>
        <w:t>. Our bylaws provide that United States District Court for the Northern District of Texas, Lubbock Division,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in the event that such court lacks jurisdiction to hear the action, the District Courts of the County of Lubbock, Texas, shall be the sole and exclusive forum for certain shareholder litigation matters, unless we consent in writing to the selection of an alternative forum. Although we believe this provision benefits us by providing increased consistency in the application of Texas law in the types of lawsuits to which it applies and in limiting our litigation costs, the provision may have the effect of discouraging lawsuits against our directors and officers and may limit our shareholders’ ability to obtain a favorable judicial forum for disputes with us. However, it is possible that a court could rule that this provision is unenforceable or inapplicable to a particular dispute.</w:t>
      </w:r>
    </w:p>
    <w:p>
      <w:pPr>
        <w:spacing w:after="0" w:line="58"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Elimination of Liability and Indemnification</w:t>
      </w:r>
      <w:r>
        <w:rPr>
          <w:rFonts w:ascii="Arial" w:cs="Arial" w:eastAsia="Arial" w:hAnsi="Arial"/>
          <w:sz w:val="18"/>
          <w:szCs w:val="18"/>
          <w:color w:val="auto"/>
        </w:rPr>
        <w:t>. Our certificate of formation provides that, to the fullest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Texas law, no director of the Company will be liable to the Company or its shareholders for monetary damages for acts or omissions in the director’s capacity as a director. However, pursuant to the TBOC, this limitation of liability does not extend to (1) a breach of a director’s duty of loyalty to the Company or its shareholders, (2) an act or omission not in good faith that constitutes a breach of a duty owed to the Company involving intentional misconduct or a knowing violation of the law, (3) a transaction from which a director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received an improper benefit, or (4) an act or omission for which the liability of the director is expressly provided for by statute. To the extent that the TBOC is amended to further eliminate or limit the personal liability of directors, such liability shall be eliminated to the fullest extent permitted by law.</w:t>
      </w:r>
    </w:p>
    <w:p>
      <w:pPr>
        <w:spacing w:after="0" w:line="76"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Our certificate of formation also provides, among other things, for mandatory indemnification of a director or officer of the Company who was or is a party or is threatened to be made a party to any threatened, pending or completed action, suit or proceeding whether civil, criminal, administrative or investigative by reason of the fact that the person is or was a director or officer of the Company. The Company will indemnify such a person against expenses (including attorney’s fees), judgments, fines and amounts paid in settlement actually and reasonably incurred by him or her in connection with such action, suit or proceeding, if the person (1) acted in good faith, (2) reasonably believed that their conduct was in or not opposed to the best interest of the Company and (3) with respect to any criminal action or proceeding, had no reasonable cause to believe that his or her conduct was unlawful; provided further that (1) the director was not found liable on the basis that he or she received an improper benefit and (2) he or she is not found liable to the Company. A director found liable either to the Company or on the basis that they improperly received a personal benefit may only be indemnified for reasonable expenses (including attorneys’ fees) actually incurred by him or her in connection with defense against that action, however, if that director was found liable for willful or intentional misconduct in the performance of their duty to the Company, the Company shall not indemnify the director in any respect.</w:t>
      </w:r>
    </w:p>
    <w:p>
      <w:pPr>
        <w:spacing w:after="0" w:line="60"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 foregoing is qualified in its entirety by reference to our certificate of formation and bylaws, both of which are on file with the SEC.</w:t>
      </w:r>
    </w:p>
    <w:p>
      <w:pPr>
        <w:spacing w:after="0" w:line="62" w:lineRule="exact"/>
        <w:rPr>
          <w:sz w:val="20"/>
          <w:szCs w:val="20"/>
          <w:color w:val="auto"/>
        </w:rPr>
      </w:pPr>
    </w:p>
    <w:p>
      <w:pPr>
        <w:ind w:right="160" w:firstLine="360"/>
        <w:spacing w:after="0" w:line="290" w:lineRule="auto"/>
        <w:rPr>
          <w:sz w:val="20"/>
          <w:szCs w:val="20"/>
          <w:color w:val="auto"/>
        </w:rPr>
      </w:pPr>
      <w:r>
        <w:rPr>
          <w:rFonts w:ascii="Arial" w:cs="Arial" w:eastAsia="Arial" w:hAnsi="Arial"/>
          <w:sz w:val="16"/>
          <w:szCs w:val="16"/>
          <w:b w:val="1"/>
          <w:bCs w:val="1"/>
          <w:i w:val="1"/>
          <w:iCs w:val="1"/>
          <w:color w:val="auto"/>
        </w:rPr>
        <w:t>Texas and Federal Banking Law</w:t>
      </w:r>
      <w:r>
        <w:rPr>
          <w:rFonts w:ascii="Arial" w:cs="Arial" w:eastAsia="Arial" w:hAnsi="Arial"/>
          <w:sz w:val="16"/>
          <w:szCs w:val="16"/>
          <w:color w:val="auto"/>
        </w:rPr>
        <w:t>. Under the Texas Finance Code, an “acquisition of control” of a bank or bank holding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may not occur without the prior written approval of the Commissioner of the Texas Department of Banking, subject to certain exceptions outlined in Texas Finance Code Section 33.002. For purposes of this law, the term “control” means the possession, directly or indirectly, of the power to control a bank or bank holding company, and the term “acquisition of control” means (1) the ownership of or ability to vote 25% of the outstanding shares of a class of voting securities, (2) the ability to control the election of a majority of the board, (3) the power to exercise a controlling influence over the management or policies of the company, and (4) the conditioning of the transfer of 25% or more of the outstanding shares of a class of voting securities of a company on the transfer of 25% or more of the outstanding shares of a class of voting securities of another company.</w:t>
      </w:r>
    </w:p>
    <w:p>
      <w:pPr>
        <w:spacing w:after="0" w:line="5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BHCA generally prohibits any company that is not engaged in financial activities and activities that are permissible for a bank holding company or a financial holding company from acquiring control of the Company. For purposes of this law, “control” generally means ownership of 25% or more of the voting stock or other exercise of a controlling influence. In addition, any existing bank holding company would need the prior approval of the Federal Reserve before acquiring 5% or more of any class of our voting securities. The Change in Bank Control Act of 1978, as amended,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the Company after completion of the offering, could constitute acquisition of control of the bank holding company.</w:t>
      </w:r>
    </w:p>
    <w:p>
      <w:pPr>
        <w:spacing w:after="0" w:line="73"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foregoing provisions of Texas and federal law could make it more difficult for a third party to acquire a majority of our outstanding voting stock, by discouraging a hostile bid, or delaying, preventing or deterring a merger, acquisition or tender offer in which our shareholders could receive a premium for their shares, or effect a proxy contest for control of our Company or other changes in our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transfer agent is Broadridge Corporate Issuer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Prior to this offering, there has been no established trading market for our common stock. Future sales of substantial amounts of our common stock in the public market, or the perception that such sales may occur,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84"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Upon completion of this offering, we will have shares of common stock outstanding (or shares if the underwriters exercise their option to purchase additional shares of common stock in full). In addition, we have reserved 2,300,000 shares of common stock for issuance in connection with share-based payment awards that may be granted under the 2019 Plan. The maximum aggregate number of shares of common stock that may be issued pursuant to all awards under the 2019 Plan will increase annually on the first day of each fiscal year after the adoption of the 2019 Plan by the number of common shares equal to the lesser of (i) 3% of the total issued and outstanding shares of common stock on the first day of such fiscal year, and (ii) such lesser amount determined by our board of directors.</w:t>
      </w:r>
    </w:p>
    <w:p>
      <w:pPr>
        <w:spacing w:after="0" w:line="87" w:lineRule="exact"/>
        <w:rPr>
          <w:sz w:val="20"/>
          <w:szCs w:val="20"/>
          <w:color w:val="auto"/>
        </w:rPr>
      </w:pPr>
    </w:p>
    <w:p>
      <w:pPr>
        <w:jc w:val="both"/>
        <w:ind w:right="200" w:firstLine="360"/>
        <w:spacing w:after="0" w:line="287" w:lineRule="auto"/>
        <w:rPr>
          <w:sz w:val="20"/>
          <w:szCs w:val="20"/>
          <w:color w:val="auto"/>
        </w:rPr>
      </w:pPr>
      <w:r>
        <w:rPr>
          <w:rFonts w:ascii="Arial" w:cs="Arial" w:eastAsia="Arial" w:hAnsi="Arial"/>
          <w:sz w:val="16"/>
          <w:szCs w:val="16"/>
          <w:color w:val="auto"/>
        </w:rPr>
        <w:t>All of the shares of common stock to be sold in this offering (or shares if the underwriters exercise their option to purchase additional shares in full) will be freely tradable without restriction or further registration under the Securities Act, unless the shares are held by any of our “affiliates” as such term is defined in Rule 144 under the Securities Act, or Rule 144. The</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remaining outstanding shares (or shares if the underwriters exercise their option to purchase additional shares in full) will be deemed to be “restricted securities” as that term is defined in Rule 144. Restricted securities may be resold in the United States only if they are registered for resale under the Securities Act or an exemption from registration is available.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each of our directors and executive officers and certain other shareholders who will own in the aggregate approximately</w:t>
      </w:r>
    </w:p>
    <w:p>
      <w:pPr>
        <w:spacing w:after="0" w:line="46"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shares, or approximately % of our common stock after the completion of this offering (assuming they do not purchase any shares in this offering and that the underwriters do not exercise their option to purchase additional shares) are entering into lock-up agreements under which we and they will generally agree not to sell or otherwise transfer our or their shares for a period of 180 days after the date of this prospectus. These lock-up agreements are subject to certain exceptions. For additional information, see “Underwriting—Lock-Up Agreements.” As a result of these contractual restrictions, shares of our common stock subject to lock-up agreements will not be eligible for sale until these agreements expire or the restrictions are waived by the underwriters.</w:t>
      </w:r>
    </w:p>
    <w:p>
      <w:pPr>
        <w:spacing w:after="0" w:line="56"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In addition, we have reserved up to shares of our common stock offered by this prospectus for sale through a directed share program, at the initial public offering price, to our directors, executive officers, employees and business associates and certain other related persons who have expressed an interest in purchasing our common stock in this offering. See “Underwriting—Lock-Up Agreements.”</w:t>
      </w:r>
    </w:p>
    <w:p>
      <w:pPr>
        <w:spacing w:after="0" w:line="7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Following the lock-up period, all of the shares of our common stock that are restricted securities or are held by our affiliates as of the date of this prospectus will be eligible for sale in the public market only if (i) they are registered under the Securities Act or</w:t>
      </w:r>
    </w:p>
    <w:p>
      <w:pPr>
        <w:ind w:right="40" w:firstLine="5"/>
        <w:spacing w:after="0" w:line="255" w:lineRule="auto"/>
        <w:tabs>
          <w:tab w:leader="none" w:pos="2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exemption from registration, such as Rule 144, is available. The underwriters do not have any present intention or arrangement to release any shares of our common stock subject to lock-up agreements prior to the expiration of the 180-day lock-up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In general, a person who has beneficially owned restricted shares of our common stock for at least six months would be entitled to sell such securities, provided that (i) such person is not deemed to have been one of our affiliates at the time of, or at any time during the 90 days preceding, the sale and (ii) we are subject to the Exchange Act periodic reporting requirements for at least 90 days before the sale, subject only to the availability of current public information regarding us. A person who is not deemed to have been one of our affiliates at the time of, or at any time during the 90 days preceding, the sale, and who has beneficially owned for at least one year shares of our common stock that are restricted securities, will be entitled to freely sell such shares under Rule 144 without regard to the current public information requirements of Rule 144.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11" w:lineRule="auto"/>
        <w:rPr>
          <w:sz w:val="20"/>
          <w:szCs w:val="20"/>
          <w:color w:val="auto"/>
        </w:rPr>
      </w:pPr>
      <w:r>
        <w:rPr>
          <w:rFonts w:ascii="Arial" w:cs="Arial" w:eastAsia="Arial" w:hAnsi="Arial"/>
          <w:sz w:val="16"/>
          <w:szCs w:val="16"/>
          <w:color w:val="auto"/>
        </w:rPr>
        <w:t>Persons who have beneficially owned restricted shares of our common stock for at least six months but who are our affiliates at the time of, or any time during the 90 days preceding, the sale, would be subject to additional restrictions, by which such person would be entitled to sell within any three-month period only a number of securities that does not exceed the greater of the following:</w:t>
      </w:r>
    </w:p>
    <w:p>
      <w:pPr>
        <w:sectPr>
          <w:pgSz w:w="11900" w:h="16838" w:orient="portrait"/>
          <w:cols w:equalWidth="0" w:num="1">
            <w:col w:w="9540"/>
          </w:cols>
          <w:pgMar w:left="1160" w:top="279" w:right="1199" w:bottom="1440" w:gutter="0" w:footer="0" w:header="0"/>
        </w:sectPr>
      </w:pPr>
    </w:p>
    <w:p>
      <w:pPr>
        <w:spacing w:after="0" w:line="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immediately after this offering; or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shares</w:t>
      </w:r>
    </w:p>
    <w:p>
      <w:pPr>
        <w:spacing w:after="0" w:line="390" w:lineRule="exact"/>
        <w:rPr>
          <w:sz w:val="20"/>
          <w:szCs w:val="20"/>
          <w:color w:val="auto"/>
        </w:rPr>
      </w:pPr>
    </w:p>
    <w:p>
      <w:pPr>
        <w:sectPr>
          <w:pgSz w:w="11900" w:h="16838" w:orient="portrait"/>
          <w:cols w:equalWidth="0" w:num="3">
            <w:col w:w="420" w:space="280"/>
            <w:col w:w="7180" w:space="460"/>
            <w:col w:w="1200"/>
          </w:cols>
          <w:pgMar w:left="1160" w:top="279" w:right="1199" w:bottom="1440" w:gutter="0" w:footer="0" w:header="0"/>
          <w:type w:val="continuous"/>
        </w:sectPr>
      </w:pPr>
    </w:p>
    <w:p>
      <w:pPr>
        <w:ind w:left="700" w:right="80" w:hanging="344"/>
        <w:spacing w:after="0" w:line="277" w:lineRule="auto"/>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the sale;</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both by affiliates and by non-affiliates must also comply with the manner of sale and notice provisions of Rule 144 to the extent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or as soon as practicable following the completion of this offering, we intend to file a registration statement</w:t>
      </w:r>
    </w:p>
    <w:p>
      <w:pPr>
        <w:spacing w:after="0" w:line="4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with the SEC on Form S-8 to register an aggregate of shares of our common stock reserved for future issuance under the 2019 Plan and an indeterminate amount of plan interests in our common stock to be offered and sold pursuant to the ESOP. That registration statement will become effective upon filing and shares of common stock covered by such registration statement will be eligible for sale in the public market immediately after the effective date of such registration statement (unless held by affiliates) subject to the lock-up agreements described below and the Rule 144 restrictions described above.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type w:val="continuous"/>
        </w:sectPr>
      </w:pPr>
    </w:p>
    <w:bookmarkStart w:id="140" w:name="page141"/>
    <w:bookmarkEnd w:id="14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21" w:lineRule="exact"/>
        <w:rPr>
          <w:sz w:val="20"/>
          <w:szCs w:val="20"/>
          <w:color w:val="auto"/>
        </w:rPr>
      </w:pPr>
    </w:p>
    <w:p>
      <w:pPr>
        <w:ind w:right="20" w:firstLine="360"/>
        <w:spacing w:after="0" w:line="284" w:lineRule="auto"/>
        <w:rPr>
          <w:sz w:val="20"/>
          <w:szCs w:val="20"/>
          <w:color w:val="auto"/>
        </w:rPr>
      </w:pPr>
      <w:r>
        <w:rPr>
          <w:rFonts w:ascii="Arial" w:cs="Arial" w:eastAsia="Arial" w:hAnsi="Arial"/>
          <w:sz w:val="16"/>
          <w:szCs w:val="16"/>
          <w:color w:val="auto"/>
        </w:rPr>
        <w:t>The following is a summary of the material United States federal income tax consequences relevant to (i) non-U.S. holders, as defined below, of the purchase, ownership and disposition of our common stock acquired pursuant to this offering, and (ii) existing shareholders of the Company with respect to their existing shares of common stock there were owned as of the date of the revocation of the Company’s election to be treated as an S Corporation for federal income tax purposes. The following summary is based on the provisions of the Code, the applicable United States federal income tax regulations promulgated under the Code, or the Treasury Regulations, and judicial and administrative authority as of the date hereof, all of which are subject to change, possibly with retroactive effect. We have not sought and do not plan to seek any ruling from the IRS with respect to the statements made and the conclusions reached in the following discussion, and we cannot assure you that the IRS or a court will agree with our statements and conclusions. Except as otherwise provided herein with respect to existing shareholders of the Company with respect to certain existing shares of common stock, this summary does not consider the consequences related to state, local, gift, estate, or foreign tax or the Medicare tax on certain investment income, nor does it address tax consequences to special classes of investors including, but not limited to, tax-exempt organizations, insurance companies, banks or other financial institutions, qualified foreign pension funds (or any entities all of the interests of which are held by a qualified foreign pension fund), partnerships or other entities classified as partnerships for United States federal income tax purposes, dealers in securities or foreign currencies, persons liable for the alternative minimum tax, regulated investment companies, real estate investment trusts, controlled foreign corporations, passive foreign investment companies, United States expatriates or United States expatriated entities, those who are subject to the United States anti-inversion rules, traders in securities that elect to use a mark-to-market method of accounting for their securities holdings, persons who have acquired our common stock as compensation or otherwise in connection with the performance of services, persons deemed to sell our common stock under the constructive sale provisions of the Code, or persons that will hold our common stock as a position in a hedging transaction, “straddle,” “conversion transaction,” synthetic security or other integrated investment or risk reduction transaction. Tax consequences may vary depending upon the particular status of an investor. Except as otherwise provided herein with respect to existing shareholders of the Company with respect to certain existing shares of common stock, the summary is limited to non-U.S. holders who will hold our common stock as capital assets (generally, property held for investment) within the meaning of Section 1221 of the Code. Each potential non-U.S. investor should consult its own tax advisor as to the United States federal, state, local, foreign and any other tax consequences of the purchase, ownership and disposition of our common stock.</w:t>
      </w:r>
    </w:p>
    <w:p>
      <w:pPr>
        <w:spacing w:after="0" w:line="281" w:lineRule="exact"/>
        <w:rPr>
          <w:sz w:val="20"/>
          <w:szCs w:val="20"/>
          <w:color w:val="auto"/>
        </w:rPr>
      </w:pPr>
    </w:p>
    <w:p>
      <w:pPr>
        <w:ind w:right="20" w:firstLine="360"/>
        <w:spacing w:after="0" w:line="296" w:lineRule="auto"/>
        <w:rPr>
          <w:sz w:val="20"/>
          <w:szCs w:val="20"/>
          <w:color w:val="auto"/>
        </w:rPr>
      </w:pPr>
      <w:r>
        <w:rPr>
          <w:rFonts w:ascii="Arial" w:cs="Arial" w:eastAsia="Arial" w:hAnsi="Arial"/>
          <w:sz w:val="16"/>
          <w:szCs w:val="16"/>
          <w:b w:val="1"/>
          <w:bCs w:val="1"/>
          <w:i w:val="1"/>
          <w:iCs w:val="1"/>
          <w:color w:val="auto"/>
        </w:rPr>
        <w:t xml:space="preserve">Certain Material Federal Income Tax Consequences for Existing Shareholders of the Company. </w:t>
      </w:r>
      <w:r>
        <w:rPr>
          <w:rFonts w:ascii="Arial" w:cs="Arial" w:eastAsia="Arial" w:hAnsi="Arial"/>
          <w:sz w:val="16"/>
          <w:szCs w:val="16"/>
          <w:color w:val="auto"/>
        </w:rPr>
        <w:t>Effective May 31, 2018,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revoked its election to be taxed for U.S. federal and applicable state income tax purposes as an S Corporation. This revocation resulted in our taxable income no longer being “passed through” to our shareholders for purposes of U.S. federal and applicable state income tax purposes. As a result, our earnings are now subject to, and we pay, U.S. federal and applicable state corporate income tax. In addition, we now include U.S. federal income tax in our consolidated financial statements.</w:t>
      </w:r>
    </w:p>
    <w:p>
      <w:pPr>
        <w:spacing w:after="0" w:line="53"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revocation was made primarily as a result of the decrease in the level of taxation of a C Corporation contained in the Tax Reform Act, which did not contain a similar decrease for S Corporations. The revocation of the Company’s S Corporation election has other benefits including, but not limited to, the ability of the Company to have multiple classes of stock outstanding and increased access to capital markets.</w:t>
      </w:r>
    </w:p>
    <w:p>
      <w:pPr>
        <w:spacing w:after="0" w:line="7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Cash distributions made by a former S Corporation within one year of the termination of its S Corporation election are generally treated first as a distribution of that former S Corporation’s accumulated adjustments account, referred to as a distribution of AAA. Amounts treated as a distribution of AAA are treated as a tax-free return of the shareholder’s tax basis in their stock, to the extent of the shareholder’s tax basis. This special treatment is generally only available with respect to cash distributions to shareholders of the Company who were S Corporation shareholders of the Company at the time of the revocation. To take advantage of this special treatment, the Company made cash distributions of AAA of $12.5 million in each of June 2018 and December 2018. These distributions did not completely eliminate the Company’s remaining AAA. Each shareholder of the Company who receives a fully or partially tax-free distribution of the Company’s AAA will reduce his, her or its’ tax basis in the Company’s stock by the amount treated as a tax-free return of the Company’s AAA.</w:t>
      </w:r>
    </w:p>
    <w:p>
      <w:pPr>
        <w:spacing w:after="0" w:line="73"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To the extent that the Company still has a remaining balance in its AAA as of 12 months after the revocation of its S Corporation election, the Tax Reform Act provides an opportunity for the Company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continue to treat a portion of its cash distribution as being made partially out of its AAA. Under the Tax Reform Act, cash distributions by an “eligible terminated S Corporation” to its shareholders more than 12 months after the revocation of its S Corporation election will be treated for federal income tax purposes as made out of both undistributed C Corporation earnings and profits and the former S Corporation’s AAA in proportion to the corporation’s undistributed C Corporation earnings and profits and the corporation’s undistributed AAA. This may permit a portion of cash distributions to its shareholders after the first year following an S Corporation revocation to continue to be treated as a tax-free return of basis. To qualify for this special treatment, the Company must have been an S Corporation on December 21, 2017, the shareholders of the Company as of December 22, 2017 must be the same shareholders and hold their shares in the same percentages on the date that the S Corporation election is revoked and the revocation must occur within the 2 year period beginning on December 22, 2017. The Company believes that it qualifies for this benefit and this benefit should be available with respect to cash distributions more than one year after the revocation of the Company’s S Corporation election to shareholders of the Company who were shareholders at the time of the revocation. It is currently unclear whether this special treatment is available to Company shareholders who were not shareholders in the Company at the time of the revocation or with respect to additional shares acquired by existing shareholders in the Company after the time of the revocation. Neither the Code nor the Treasury Regulations provide clear guidance regarding which shareholders are eligible for this special treatment. The Company intends to closely monitor IRS guidance regarding partially tax-free distributions of the Company’s</w:t>
      </w:r>
    </w:p>
    <w:p>
      <w:pPr>
        <w:ind w:right="140" w:firstLine="5"/>
        <w:spacing w:after="0" w:line="255" w:lineRule="auto"/>
        <w:tabs>
          <w:tab w:leader="none" w:pos="4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after the first year following revocation and will treat distributions to its shareholders in accordance with applicable IRS guidance. Shareholders should consult with their tax advisors regarding the possible application of these rules to cash distributions by the Company more than one year after the date of the revocation.</w:t>
      </w:r>
    </w:p>
    <w:p>
      <w:pPr>
        <w:spacing w:after="0" w:line="82"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b w:val="1"/>
          <w:bCs w:val="1"/>
          <w:i w:val="1"/>
          <w:iCs w:val="1"/>
          <w:color w:val="auto"/>
        </w:rPr>
        <w:t xml:space="preserve">Certain Material Federal Income Tax Consequences for Non-U.S. Holders. </w:t>
      </w:r>
      <w:r>
        <w:rPr>
          <w:rFonts w:ascii="Arial" w:cs="Arial" w:eastAsia="Arial" w:hAnsi="Arial"/>
          <w:sz w:val="18"/>
          <w:szCs w:val="18"/>
          <w:color w:val="auto"/>
        </w:rPr>
        <w:t>For purposes of this document, a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79" w:lineRule="exact"/>
        <w:rPr>
          <w:sz w:val="20"/>
          <w:szCs w:val="20"/>
          <w:color w:val="auto"/>
        </w:rPr>
      </w:pPr>
    </w:p>
    <w:p>
      <w:pPr>
        <w:ind w:left="700" w:right="420" w:hanging="344"/>
        <w:spacing w:after="0" w:line="277"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(and certain former citizens and residents of the United States subject to U.S. tax as expatriates);</w:t>
      </w:r>
    </w:p>
    <w:p>
      <w:pPr>
        <w:spacing w:after="0" w:line="62"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corporation (or other entity that is taxable as a corporation) created or organized in the United States or under the laws of the United States or of any State (or the District of Columbia);</w:t>
      </w:r>
    </w:p>
    <w:p>
      <w:pPr>
        <w:spacing w:after="0" w:line="62" w:lineRule="exact"/>
        <w:rPr>
          <w:rFonts w:ascii="Arial" w:cs="Arial" w:eastAsia="Arial" w:hAnsi="Arial"/>
          <w:sz w:val="18"/>
          <w:szCs w:val="18"/>
          <w:color w:val="auto"/>
        </w:rPr>
      </w:pPr>
    </w:p>
    <w:p>
      <w:pPr>
        <w:ind w:left="700" w:right="100" w:hanging="344"/>
        <w:spacing w:after="0" w:line="277" w:lineRule="auto"/>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700" w:right="40" w:hanging="344"/>
        <w:spacing w:after="0" w:line="311" w:lineRule="auto"/>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U.S. person on the previous day, and elected to continue to be so treated.</w:t>
      </w:r>
    </w:p>
    <w:p>
      <w:pPr>
        <w:spacing w:after="0" w:line="41" w:lineRule="exact"/>
        <w:rPr>
          <w:sz w:val="20"/>
          <w:szCs w:val="20"/>
          <w:color w:val="auto"/>
        </w:rPr>
      </w:pPr>
    </w:p>
    <w:p>
      <w:pPr>
        <w:jc w:val="both"/>
        <w:ind w:right="40" w:firstLine="360"/>
        <w:spacing w:after="0" w:line="301" w:lineRule="auto"/>
        <w:rPr>
          <w:sz w:val="20"/>
          <w:szCs w:val="20"/>
          <w:color w:val="auto"/>
        </w:rPr>
      </w:pPr>
      <w:r>
        <w:rPr>
          <w:rFonts w:ascii="Arial" w:cs="Arial" w:eastAsia="Arial" w:hAnsi="Arial"/>
          <w:sz w:val="16"/>
          <w:szCs w:val="16"/>
          <w:color w:val="auto"/>
        </w:rPr>
        <w:t>If an entity or arrangement treated as a partnership for United States federal income tax purposes holds our common stock, the tax treatment of a partner in the partnership will generally depend upon the status of the partner and the activities of the partnership. If you are a partnership or treated as a partner in an entity or arrangement treated as a partnership that holds our common stock, you should consult your tax advisor as to the United States federal income tax consequences applicable to you.</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Distributions of cash or property (other than certain stock distributions) with respect to our common stock will be treated as dividends when paid to the extent of our current and accumulated earnings and profits as of the end of our taxable year of the distribution, determined for United States federal income tax purposes. To the extent any such distributions exceed both our current and accumulated earnings and profits, such excess amount will first be treated as a tax-free return of capital reducing your adjusted tax basis in our common stock, but not below zero, and thereafter will be treated as gain from the sale or other taxable disposition of such stock, the treatment of which is discussed under “Gain on Disposition of Shares of Common Stock.” Your adjusted tax basis in a share of our common stock is generally your purchase price for such share, reduced (but not below zero) by the amount of such prior tax free returns of capital.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Subject to the withholding requirements of the Foreign Account Tax Compliance Act, or FATCA, and with respect to effectively connected dividends, each of which is described below, dividends paid to a Non-U.S. Holder with respect to shares of our common stock will be subject to withholding of United States federal income tax at a 30% gross rate or at a lower rate if you are eligible for the benefits of an income tax treaty that provides for a lower rate.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 claim the benefit of a lower treaty rate with respect to dividends paid to you, you must furnish to us or our paying agent:</w:t>
      </w:r>
    </w:p>
    <w:p>
      <w:pPr>
        <w:spacing w:after="0" w:line="129" w:lineRule="exact"/>
        <w:rPr>
          <w:sz w:val="20"/>
          <w:szCs w:val="20"/>
          <w:color w:val="auto"/>
        </w:rPr>
      </w:pPr>
    </w:p>
    <w:p>
      <w:pPr>
        <w:ind w:left="700" w:right="280" w:hanging="344"/>
        <w:spacing w:after="0" w:line="342" w:lineRule="auto"/>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valid IRS Form W-8BEN, W-8BEN-E or an acceptable substitute form upon which you certify, under penalties of perjury, your status as a non-U.S. person and your entitlement to the lower treaty rate with respect to such payments, or</w:t>
      </w:r>
    </w:p>
    <w:p>
      <w:pPr>
        <w:spacing w:after="0" w:line="15" w:lineRule="exact"/>
        <w:rPr>
          <w:rFonts w:ascii="Arial" w:cs="Arial" w:eastAsia="Arial" w:hAnsi="Arial"/>
          <w:sz w:val="16"/>
          <w:szCs w:val="16"/>
          <w:color w:val="auto"/>
        </w:rPr>
      </w:pPr>
    </w:p>
    <w:p>
      <w:pPr>
        <w:ind w:left="700" w:right="240" w:hanging="344"/>
        <w:spacing w:after="0" w:line="308" w:lineRule="auto"/>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our common stock is held through certain foreign intermediaries or foreign partnerships, other documentary evidence establishing your entitlement to the lower treaty rate in accordance with Treasury Regulations.</w:t>
      </w:r>
    </w:p>
    <w:p>
      <w:pPr>
        <w:spacing w:after="0" w:line="38" w:lineRule="exact"/>
        <w:rPr>
          <w:sz w:val="20"/>
          <w:szCs w:val="20"/>
          <w:color w:val="auto"/>
        </w:rPr>
      </w:pPr>
    </w:p>
    <w:p>
      <w:pPr>
        <w:ind w:right="40" w:firstLine="360"/>
        <w:spacing w:after="0" w:line="308" w:lineRule="auto"/>
        <w:rPr>
          <w:sz w:val="20"/>
          <w:szCs w:val="20"/>
          <w:color w:val="auto"/>
        </w:rPr>
      </w:pPr>
      <w:r>
        <w:rPr>
          <w:rFonts w:ascii="Arial" w:cs="Arial" w:eastAsia="Arial" w:hAnsi="Arial"/>
          <w:sz w:val="17"/>
          <w:szCs w:val="17"/>
          <w:color w:val="auto"/>
        </w:rPr>
        <w:t>This certification must be provided to us or our paying agent prior to the payment to you of any dividends and must be updated periodically, including upon a change in circumstances that makes any information on such certificate incorrect.</w:t>
      </w:r>
    </w:p>
    <w:p>
      <w:pPr>
        <w:spacing w:after="0" w:line="38"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If you are eligible for a reduced rate of U.S. withholding tax under a tax treaty, you may obtain a refund of any amounts withheld in excess of that rate by timely filing a refund claim with the IRS.</w:t>
      </w:r>
    </w:p>
    <w:p>
      <w:pPr>
        <w:spacing w:after="0" w:line="62"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If dividends paid to you are “effectively connected” with your conduct of a trade or business within the United States, and, if required by a tax treaty, the dividends are attributable to a permanent establishment (or, in the case of an individual, a fixed base) that you maintain in the United States, you will be taxed on a net income basis at applicable graduated individual or corporate tax rates in generally the same manner as if you were a U.S. person as defined under the Code, unless an applicable income tax treaty provides otherwise. However, we generally are not required to withhold tax from effectively connected dividends, provided that you have furnished to us or our paying agent a valid IRS Form W-8ECI or an acceptable substitute form upon which you represent, under penalties of perjury, that:</w:t>
      </w:r>
    </w:p>
    <w:p>
      <w:pPr>
        <w:spacing w:after="0" w:line="87" w:lineRule="exact"/>
        <w:rPr>
          <w:sz w:val="20"/>
          <w:szCs w:val="20"/>
          <w:color w:val="auto"/>
        </w:rPr>
      </w:pPr>
    </w:p>
    <w:p>
      <w:pPr>
        <w:ind w:left="700" w:hanging="344"/>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you are a non-U.S. person; and</w:t>
      </w:r>
    </w:p>
    <w:p>
      <w:pPr>
        <w:spacing w:after="0" w:line="117" w:lineRule="exact"/>
        <w:rPr>
          <w:rFonts w:ascii="Arial" w:cs="Arial" w:eastAsia="Arial" w:hAnsi="Arial"/>
          <w:sz w:val="18"/>
          <w:szCs w:val="18"/>
          <w:color w:val="auto"/>
        </w:rPr>
      </w:pPr>
    </w:p>
    <w:p>
      <w:pPr>
        <w:ind w:left="700" w:hanging="344"/>
        <w:spacing w:after="0" w:line="277" w:lineRule="auto"/>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dividends are effectively connected with your conduct of a trade or business within the United States and are includible in your gross income.</w:t>
      </w:r>
    </w:p>
    <w:p>
      <w:pPr>
        <w:spacing w:after="0" w:line="62" w:lineRule="exact"/>
        <w:rPr>
          <w:sz w:val="20"/>
          <w:szCs w:val="20"/>
          <w:color w:val="auto"/>
        </w:rPr>
      </w:pPr>
    </w:p>
    <w:p>
      <w:pPr>
        <w:ind w:right="40" w:firstLine="360"/>
        <w:spacing w:after="0" w:line="263" w:lineRule="auto"/>
        <w:rPr>
          <w:sz w:val="20"/>
          <w:szCs w:val="20"/>
          <w:color w:val="auto"/>
        </w:rPr>
      </w:pPr>
      <w:r>
        <w:rPr>
          <w:rFonts w:ascii="Arial" w:cs="Arial" w:eastAsia="Arial" w:hAnsi="Arial"/>
          <w:sz w:val="18"/>
          <w:szCs w:val="18"/>
          <w:color w:val="auto"/>
        </w:rPr>
        <w:t>If you are a corporate non-U.S. holder, effectively connected dividends that you receive may, under certain circumstances, be subject to an additional “branch profits tax” at a 30% gross rate, or at a lower rate if you are eligible for the benefits of an applicable income tax treaty.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Common Stock</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Subject to the discussions below regarding backup withholding and FATCA, as a non-U.S. holder, you generally will not be subject to United States federal income or withholding tax on gain realized on the sale, exchange or other disposition of our common stock unless (i) you are an individual who is present in the United States for 183 or more days in the taxable year of the sale or other disposition and certain other conditions exist, (ii) the gain is “effectively connected” with your conduct of a trade or business in the United States, and the gain is attributable to a permanent establishment (or, in the case of a non-U.S. individual, a fixed base) that you maintain in the United States, if such permanent establishment or fixed base is required by an applicable income tax treaty as a condition to subjecting you to United States taxation on a net income basis; or (iii) we are or have been a U.S. real property holding corporation, or USRPHC, for United States federal income tax purposes at any time during the shorter of the five-year period ending on the date of the disposition or the period that you held shares of our common stock, and certain other conditions are met.</w:t>
      </w:r>
    </w:p>
    <w:p>
      <w:pPr>
        <w:spacing w:after="0" w:line="86"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If you are an individual described in (i) above, you will be subject to a 30% tax (or such lower rate as may be specified by an applicable income tax treaty) on the net gain derived from the sale, which may be offset by certain United States source capital losses, if any, recognized in the taxable year of the disposition of our common stock. If you are a non-U.S. holder described in (ii) above, gain recognized on the sale generally will be subject to United States federal income tax at graduated United States federal income tax rates on a net income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basis and in generally the same manner as if the non-U.S. holder were a U.S. person as defined in the Code, unless an applicable income tax treaty provides otherwise. Additionally, a non-U.S. holder that is a corporation may be subject to the branch profits tax equal to 30% of its effectively connected earnings and profits, subject to certain adjustments, or at such lower rate as may be specified by an applicable income tax treaty.</w:t>
      </w:r>
    </w:p>
    <w:p>
      <w:pPr>
        <w:spacing w:after="0" w:line="79"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Although we have not made a determination, we believe that we are not currently and we do not expect to become a USRPHC in the foreseeable future. Generally,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become a USRPHC, as long as our common stock is and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our common stock, more than 5% of our common stock will be treated as disposing of a U.S. real property interest and will be taxable on gain realized on the disposition of our common stock as a result of our status as a USRPHC. If we were to become a USRPHC and our common stock were not considered to be regularly traded on an established securities market, such holder (regardless of the percentage of stock owned) would be treated as disposing of a U.S. real property interest and would be subject to U.S. federal income tax on a taxable disposition of our common stock (as described in the preceding paragraph), and a 10% withholding tax would apply to the gross proceeds from such disposition unless the holder is able to obtain a withholding certificate from the IRS reducing or eliminating the amount to be withheld, or otherwise qualifies for an exemption (such as in the case of certain nonrecognition transactions).</w:t>
      </w:r>
    </w:p>
    <w:p>
      <w:pPr>
        <w:spacing w:after="0" w:line="63"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Payments of dividends, and the tax withheld on those payments, are subject to information reporting requirements. These information reporting requirements apply regardless of whether withholding was reduced or eliminated by an applicable income tax treaty. Under the provisions of an applicable income tax treaty or agreement, copies of the information returns reporting such dividends and withholding also may be made available to the tax authorities in the country in which the non-U.S. holder resides. U.S. backup withholding generally will apply to payments of dividends to a non-U.S. holder unless such non-U.S. holder furnishes to the payor a Form W-8BEN or Form W-8BEN-E (or other applicable or successor form), or otherwise establishes an exemption and the payor does not have actual knowledge or reason to know that the holder is a U.S. person, as defined under the Code, that is not an exempt recipient or that the conditions of any other exemption are not, in fact, satisfied.</w:t>
      </w:r>
    </w:p>
    <w:p>
      <w:pPr>
        <w:spacing w:after="0" w:line="57"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Payment of the proceeds of a sale or other disposition of our common stock within the United States or conducted through certain U.S.-related entities and financial intermediaries is subject to information reporting and, depending on the circumstances, backup withholding, unless the non-U.S. holder, or beneficial owner thereof, as applicable, certifies that it is a non-U.S. holder on Form W-8BEN, W-8BEN-E (or other applicable or successor form), or otherwise establishes an exemption and the payor does not have actual knowledge or reason to know the holder is a U.S. person, as defined under the Code, that is not an exempt recipient or that the conditions of any other exemption are not, in fact, satisfied.</w:t>
      </w:r>
    </w:p>
    <w:p>
      <w:pPr>
        <w:spacing w:after="0" w:line="70"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Backup withholding is not an additional tax. Any amount withheld under the backup withholding rules from a payment to a non-U.S. holder may be allowed as a refund or a credit against the non-U.S. holder’s United States federal income tax liability, provided that the non-U.S. holder timely provides the required information to the IRS. Moreover, certain penalties may be imposed by the IRS on a non-U.S. holder who is required to furnish information but does not do so in the proper manner. Non-U.S. holders should consult their tax advisors regarding the application of backup withholding in their particular circumstances and the availability of and procedure for obtaining an exemption from backup withholding.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w:t>
      </w:r>
    </w:p>
    <w:p>
      <w:pPr>
        <w:spacing w:after="0" w:line="121"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FATCA imposes a 30% withholding tax on certain types of payments made to foreign financial institutions, or FFIs, and certain other non-U.S. entities unless certain due diligence, reporting, withholding, and certification requirements are satisfied.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As a general matter, FATCA imposes a 30% withholding tax on dividends on, and, from and after January 1, 2019, gross proceeds from the sale or other disposition of, our common stock if paid to a foreign entity unless (i) the foreign entity is an FFI that undertakes certain due diligence, reporting, withholding, and certification obligations, or in the case of an FFI that is a resident in a jurisdiction that has entered into an intergovernmental agreement to implement FATCA, the entity complies with the diligence and reporting requirements of such an agreement; (ii) the foreign entity is not an FFI and either certifies that it does not have any “substantial” U.S. owners or furnishes identifying information regarding each substantial U.S. owner; or (iii) the foreign entity qualifies for an exemption from these rules. In certain cases, a “substantial” United States owner can mean an owner of any interest in the foreign entity.</w:t>
      </w:r>
    </w:p>
    <w:p>
      <w:pPr>
        <w:spacing w:after="0" w:line="84" w:lineRule="exact"/>
        <w:rPr>
          <w:sz w:val="20"/>
          <w:szCs w:val="20"/>
          <w:color w:val="auto"/>
        </w:rPr>
      </w:pPr>
    </w:p>
    <w:p>
      <w:pPr>
        <w:jc w:val="both"/>
        <w:ind w:right="60" w:firstLine="360"/>
        <w:spacing w:after="0" w:line="311" w:lineRule="auto"/>
        <w:rPr>
          <w:sz w:val="20"/>
          <w:szCs w:val="20"/>
          <w:color w:val="auto"/>
        </w:rPr>
      </w:pPr>
      <w:r>
        <w:rPr>
          <w:rFonts w:ascii="Arial" w:cs="Arial" w:eastAsia="Arial" w:hAnsi="Arial"/>
          <w:sz w:val="16"/>
          <w:szCs w:val="16"/>
          <w:color w:val="auto"/>
        </w:rPr>
        <w:t>If withholding is required under FATCA on a payment related to our common stock, investors that otherwise would be exempt from withholding (or that otherwise would be entitled to a reduced rate of withholding) generally will be required to seek a refund or credit from the IRS to obtain the benefit of such exemption or reduction (provided that such benefit is available).</w:t>
      </w:r>
    </w:p>
    <w:p>
      <w:pPr>
        <w:spacing w:after="0" w:line="41"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Non-U.S. holders are encouraged to consult with their tax advisors regarding the possible implications of FATCA on their investment in our common stock.</w:t>
      </w:r>
    </w:p>
    <w:p>
      <w:pPr>
        <w:spacing w:after="0" w:line="58"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color w:val="auto"/>
        </w:rPr>
        <w:t>This summary is for general information only and is not intended to constitute a complete description of all U.S. federal income tax consequences for non-U.S. holders relating to the purchase, ownership, and disposition of shares of our common stock acquired pursuant to this offering. If you are considering the purchase of shares of our common stock, you should consult with your tax advisor concerning the particular U.S. federal income tax consequences to you of the purchase, ownership and disposition of shares of our common stock, as well as the consequences to you arising under U.S. tax laws other than the federal income tax law discussed in this summary or under the laws of any other applicable taxing jurisdiction in light of your particular circumstances.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right="60" w:firstLine="360"/>
        <w:spacing w:after="0" w:line="296" w:lineRule="auto"/>
        <w:rPr>
          <w:sz w:val="20"/>
          <w:szCs w:val="20"/>
          <w:color w:val="auto"/>
        </w:rPr>
      </w:pPr>
      <w:r>
        <w:rPr>
          <w:rFonts w:ascii="Arial" w:cs="Arial" w:eastAsia="Arial" w:hAnsi="Arial"/>
          <w:sz w:val="16"/>
          <w:szCs w:val="16"/>
          <w:color w:val="auto"/>
        </w:rPr>
        <w:t>We and the selling shareholders are offering the shares of our common stock described in this prospectus in an underwritten offering in which we, the selling shareholders and the underwriters, Keefe, Bruyette &amp; Woods, Inc. and Sandler O’Neill &amp; Partners, L.P., are entering into an underwriting agreement with respect to the shares of our common stock being offered hereby. Subject to certain conditions, each underwriter has severally agreed to purchase, and we and the selling shareholders have severally and not jointly agreed to sell, the number of shares of our common stock indicated in the following table:</w:t>
      </w:r>
    </w:p>
    <w:p>
      <w:pPr>
        <w:spacing w:after="0" w:line="18"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6350</wp:posOffset>
            </wp:positionV>
            <wp:extent cx="9683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Sandler O’Neill &amp;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606933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69330" cy="1797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131"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The underwriters are offering the shares of our common stock subject to a number of conditions, including (among other things) that the representations and warranties made by us and the selling shareholders to the underwriters in the underwriting agreement are true, that there is no material adverse change in the financial markets, that we and the selling shareholders deliver customary closing documents and legal opinions to the underwriters and receipt and acceptance of our common stock by the underwriters. The obligations of the underwriters to pay for and accept delivery of the shares offered by this prospectus are subject to these conditions. The underwriting agreement further provides that if any underwriter defaults, the purchase commitments of the non-defaulting underwriters may be increased or this offering may be terminated.</w:t>
      </w:r>
    </w:p>
    <w:p>
      <w:pPr>
        <w:spacing w:after="0" w:line="69" w:lineRule="exact"/>
        <w:rPr>
          <w:sz w:val="20"/>
          <w:szCs w:val="20"/>
          <w:color w:val="auto"/>
        </w:rPr>
      </w:pPr>
    </w:p>
    <w:p>
      <w:pPr>
        <w:ind w:right="780" w:firstLine="360"/>
        <w:spacing w:after="0" w:line="277" w:lineRule="auto"/>
        <w:rPr>
          <w:sz w:val="20"/>
          <w:szCs w:val="20"/>
          <w:color w:val="auto"/>
        </w:rPr>
      </w:pPr>
      <w:r>
        <w:rPr>
          <w:rFonts w:ascii="Arial" w:cs="Arial" w:eastAsia="Arial" w:hAnsi="Arial"/>
          <w:sz w:val="18"/>
          <w:szCs w:val="18"/>
          <w:color w:val="auto"/>
        </w:rPr>
        <w:t>In connection with this offering, the underwriters or securities dealers may distribute offering documents to investors electronically. See “—Electronic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121"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Shares of our common stock sold by the underwriters to the public will be offered at the initial public offering price set forth on the cover page of this prospectus. Any shares of our common stock sold by the underwriters to securities dealers may be sold at a</w:t>
      </w:r>
    </w:p>
    <w:p>
      <w:pPr>
        <w:ind w:right="160"/>
        <w:spacing w:after="0" w:line="255" w:lineRule="auto"/>
        <w:rPr>
          <w:sz w:val="20"/>
          <w:szCs w:val="20"/>
          <w:color w:val="auto"/>
        </w:rPr>
      </w:pPr>
      <w:r>
        <w:rPr>
          <w:rFonts w:ascii="Arial" w:cs="Arial" w:eastAsia="Arial" w:hAnsi="Arial"/>
          <w:sz w:val="18"/>
          <w:szCs w:val="18"/>
          <w:color w:val="auto"/>
        </w:rPr>
        <w:t>discount of up to $ per share from the initial public offering price. If all of the shares of our common stock are not sold at the initial public offering price, the underwriters may change the offering price and the other selling terms. Sales of shares of our common stock made outside of the U.S. may be made by affiliates of the underwriters.</w:t>
      </w:r>
    </w:p>
    <w:p>
      <w:pPr>
        <w:spacing w:after="0" w:line="82"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The following table shows the initial public offering price, underwriting discounts and proceeds before expenses to us and to the selling shareholders. The information assumes either no exercise or full exercise by the underwriters of their option to purchase</w:t>
      </w: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an additional</w:t>
            </w:r>
          </w:p>
        </w:tc>
        <w:tc>
          <w:tcPr>
            <w:tcW w:w="4860" w:type="dxa"/>
            <w:vAlign w:val="bottom"/>
          </w:tcPr>
          <w:p>
            <w:pPr>
              <w:ind w:left="220"/>
              <w:spacing w:after="0"/>
              <w:rPr>
                <w:sz w:val="20"/>
                <w:szCs w:val="20"/>
                <w:color w:val="auto"/>
              </w:rPr>
            </w:pPr>
            <w:r>
              <w:rPr>
                <w:rFonts w:ascii="Arial" w:cs="Arial" w:eastAsia="Arial" w:hAnsi="Arial"/>
                <w:sz w:val="18"/>
                <w:szCs w:val="18"/>
                <w:color w:val="auto"/>
              </w:rPr>
              <w:t>shares of common stock from us, discussed below:</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11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94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No Exercise</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Full Exercise</w:t>
            </w:r>
          </w:p>
        </w:tc>
        <w:tc>
          <w:tcPr>
            <w:tcW w:w="100" w:type="dxa"/>
            <w:vAlign w:val="bottom"/>
          </w:tcPr>
          <w:p>
            <w:pPr>
              <w:spacing w:after="0"/>
              <w:rPr>
                <w:sz w:val="19"/>
                <w:szCs w:val="19"/>
                <w:color w:val="auto"/>
              </w:rPr>
            </w:pPr>
          </w:p>
        </w:tc>
      </w:tr>
      <w:tr>
        <w:trPr>
          <w:trHeight w:val="243"/>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7"/>
        </w:trPr>
        <w:tc>
          <w:tcPr>
            <w:tcW w:w="6020" w:type="dxa"/>
            <w:vAlign w:val="bottom"/>
            <w:gridSpan w:val="2"/>
          </w:tcPr>
          <w:p>
            <w:pPr>
              <w:spacing w:after="0"/>
              <w:rPr>
                <w:sz w:val="20"/>
                <w:szCs w:val="20"/>
                <w:color w:val="auto"/>
              </w:rPr>
            </w:pPr>
            <w:r>
              <w:rPr>
                <w:rFonts w:ascii="Arial" w:cs="Arial" w:eastAsia="Arial" w:hAnsi="Arial"/>
                <w:sz w:val="18"/>
                <w:szCs w:val="18"/>
                <w:color w:val="auto"/>
              </w:rPr>
              <w:t>Underwriting discounts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Proceeds to selling shareholders, before expenses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We and the selling shareholders estimate the expenses of this offering, not including the underwriting discounts, to be approximately $ million and such expenses are payable by us. We also have agreed to reimburse the underwriters up to $20,000 for certain of their offering expenses, including their counsel fees for expenses related to FINRA matters, state securities and “blue sky” filings, and the directed share program. In accordance with FINRA Rule 5110, these reimbursed fees are deemed underwriting compensation for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have granted the underwriters an option to purchase up to additional shares of our common stock, at the initial public offering price, less the underwriting discount. The underwriters may exercise this option, in whole or in part, from time to time for a period of 30 days from the date of this prospectus. We will be obligated to sell these shares to the underwriters to the extent their option to purchase additional shares of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is exercised. Furthermore, if the underwriters exercise this option, each underwriter will be obligated, subject to the conditions in the underwriting agreement, to purchase a number of additional shares of common stock from the selling shareholders proportionate to the number of shares reflected next to such underwriter’s name in the table above relative to the total number of shares reflected in such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right="20" w:firstLine="360"/>
        <w:spacing w:after="0" w:line="263" w:lineRule="auto"/>
        <w:rPr>
          <w:sz w:val="20"/>
          <w:szCs w:val="20"/>
          <w:color w:val="auto"/>
        </w:rPr>
      </w:pPr>
      <w:r>
        <w:rPr>
          <w:rFonts w:ascii="Arial" w:cs="Arial" w:eastAsia="Arial" w:hAnsi="Arial"/>
          <w:sz w:val="18"/>
          <w:szCs w:val="18"/>
          <w:color w:val="auto"/>
        </w:rPr>
        <w:t>We, our executive officers and directors and the selling shareholders, will enter into lock-up agreements with the underwriters. Under these agreements, we and each of these persons may not, without the prior written approval of the underwriters and subject to limited exceptions:</w:t>
      </w:r>
    </w:p>
    <w:p>
      <w:pPr>
        <w:spacing w:after="0" w:line="76" w:lineRule="exact"/>
        <w:rPr>
          <w:sz w:val="20"/>
          <w:szCs w:val="20"/>
          <w:color w:val="auto"/>
        </w:rPr>
      </w:pPr>
    </w:p>
    <w:p>
      <w:pPr>
        <w:ind w:left="700" w:right="20" w:hanging="344"/>
        <w:spacing w:after="0" w:line="254"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hypothecate, establish an open “put equivalent position” within the meaning of Rule 16a-1(h) under the Exchange Act, or otherwise dispose of or transfer any shares of our common stock or any securities convertible into or exchangeable or exercisable for our common stock, whether now owned or hereafter acquired or with respect to which such person has or hereafter acquires the power of disposition, or exercise any right with respect to the registration thereof, or file or cause to be filed any registration statement under the Securities Act, with respect to any of the foregoing;</w:t>
      </w:r>
    </w:p>
    <w:p>
      <w:pPr>
        <w:spacing w:after="0" w:line="86" w:lineRule="exact"/>
        <w:rPr>
          <w:rFonts w:ascii="Arial" w:cs="Arial" w:eastAsia="Arial" w:hAnsi="Arial"/>
          <w:sz w:val="18"/>
          <w:szCs w:val="18"/>
          <w:color w:val="auto"/>
        </w:rPr>
      </w:pPr>
    </w:p>
    <w:p>
      <w:pPr>
        <w:ind w:left="700" w:right="260" w:hanging="344"/>
        <w:spacing w:after="0" w:line="259"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enter into any swap, hedge, or any other agreement or any transaction that transfers, in whole or in part, directly or indirectly, the economic consequence of ownership of the shares of our common stock or such other securities, whether any such swap or transaction is to be settled by delivery of shares of our common stock or other securities, in cash or otherwise; or</w:t>
      </w:r>
    </w:p>
    <w:p>
      <w:pPr>
        <w:spacing w:after="0" w:line="78" w:lineRule="exact"/>
        <w:rPr>
          <w:rFonts w:ascii="Arial" w:cs="Arial" w:eastAsia="Arial" w:hAnsi="Arial"/>
          <w:sz w:val="18"/>
          <w:szCs w:val="18"/>
          <w:color w:val="auto"/>
        </w:rPr>
      </w:pPr>
    </w:p>
    <w:p>
      <w:pPr>
        <w:ind w:left="700" w:right="220" w:hanging="344"/>
        <w:spacing w:after="0" w:line="277" w:lineRule="auto"/>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publicly disclose the intention to make any such offer, pledge, sale or disposition, or to enter into any such swap, hedge, transaction or other arrangement.</w:t>
      </w:r>
    </w:p>
    <w:p>
      <w:pPr>
        <w:spacing w:after="0" w:line="62" w:lineRule="exact"/>
        <w:rPr>
          <w:sz w:val="20"/>
          <w:szCs w:val="20"/>
          <w:color w:val="auto"/>
        </w:rPr>
      </w:pPr>
    </w:p>
    <w:p>
      <w:pPr>
        <w:ind w:right="80" w:firstLine="360"/>
        <w:spacing w:after="0" w:line="296" w:lineRule="auto"/>
        <w:rPr>
          <w:sz w:val="20"/>
          <w:szCs w:val="20"/>
          <w:color w:val="auto"/>
        </w:rPr>
      </w:pPr>
      <w:r>
        <w:rPr>
          <w:rFonts w:ascii="Arial" w:cs="Arial" w:eastAsia="Arial" w:hAnsi="Arial"/>
          <w:sz w:val="16"/>
          <w:szCs w:val="16"/>
          <w:color w:val="auto"/>
        </w:rPr>
        <w:t>These restrictions will be in effect for a period of 180 days after the date of this prospectus. At any time and without public notice, the underwriters may, in their sole discretion, waive or release all or some of the securities from these lock-up agreements. However, as to any of our executive officers or directors, the underwriters have agreed to notify us at least three business days before the effective date of any release or waiver, and we have agreed to announce the impending release or waiver by press release through a major news service at least two business days before the effective date of the release or waiver.</w:t>
      </w:r>
    </w:p>
    <w:p>
      <w:pPr>
        <w:spacing w:after="0" w:line="53" w:lineRule="exact"/>
        <w:rPr>
          <w:sz w:val="20"/>
          <w:szCs w:val="20"/>
          <w:color w:val="auto"/>
        </w:rPr>
      </w:pPr>
    </w:p>
    <w:p>
      <w:pPr>
        <w:ind w:right="120" w:firstLine="360"/>
        <w:spacing w:after="0" w:line="311" w:lineRule="auto"/>
        <w:rPr>
          <w:sz w:val="20"/>
          <w:szCs w:val="20"/>
          <w:color w:val="auto"/>
        </w:rPr>
      </w:pPr>
      <w:r>
        <w:rPr>
          <w:rFonts w:ascii="Arial" w:cs="Arial" w:eastAsia="Arial" w:hAnsi="Arial"/>
          <w:sz w:val="16"/>
          <w:szCs w:val="16"/>
          <w:color w:val="auto"/>
        </w:rPr>
        <w:t>These restrictions also apply to securities convertible into or exchangeable or exercisable for or repayable with our common stock to the same extent as they apply to our common stock. They also apply to our common stock owned now or later acquired by the person executing the agreement or for which the person executing the agreement later acquires the power of disposition.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160" w:firstLine="360"/>
        <w:spacing w:after="0" w:line="270"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among us, the selling shareholders and the underwriters. In addition to prevailing market conditions, among the factors considered in determining the initial public offering price of our common stock were our historical performance, our business potential and our earnings prospects, an assessment of our management, the recent market prices of, and demand for, publicly-traded common stock of comparable companies, the consideration of the above factors in relation to market valuation of comparable companies in related businesses and other factors deemed relevant by the underwriters and us. Neither we nor the underwriters can assure investors that an active trading market for the shares of our common stock may not develop. It is also possible that the shares of our common stock will not trade in the public market at or above the initial public offering price following the completion of this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applied to list our common stock on the NASDAQ Global Select Market under the symbol “SPFI.”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Contribution</w:t>
      </w:r>
    </w:p>
    <w:p>
      <w:pPr>
        <w:spacing w:after="0" w:line="12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We and the selling shareholders have agreed to indemnify the underwriters and their affiliates, selling agents and controlling persons against certain liabilities, including under the Securities Act. If we are unable to provide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indemnification, we will contribute to the payments the underwriters and its affiliates, selling agents and controlling persons may be required to make in respect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340" w:firstLine="360"/>
        <w:spacing w:after="0" w:line="263" w:lineRule="auto"/>
        <w:rPr>
          <w:sz w:val="20"/>
          <w:szCs w:val="20"/>
          <w:color w:val="auto"/>
        </w:rPr>
      </w:pPr>
      <w:r>
        <w:rPr>
          <w:rFonts w:ascii="Arial" w:cs="Arial" w:eastAsia="Arial" w:hAnsi="Arial"/>
          <w:sz w:val="18"/>
          <w:szCs w:val="18"/>
          <w:color w:val="auto"/>
        </w:rPr>
        <w:t>To facilitate this offering and in accordance with Regulation M under the Exchange Act, or Regulation M, the underwriters may, but are not obligated to, engage in transactions that stabilize, maintain or otherwise affect the price of our common stock, including:</w:t>
      </w:r>
    </w:p>
    <w:p>
      <w:pPr>
        <w:spacing w:after="0" w:line="76" w:lineRule="exact"/>
        <w:rPr>
          <w:sz w:val="20"/>
          <w:szCs w:val="20"/>
          <w:color w:val="auto"/>
        </w:rPr>
      </w:pPr>
    </w:p>
    <w:p>
      <w:pPr>
        <w:ind w:left="700" w:hanging="344"/>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short sales; and</w:t>
      </w:r>
    </w:p>
    <w:p>
      <w:pPr>
        <w:spacing w:after="0" w:line="117" w:lineRule="exact"/>
        <w:rPr>
          <w:rFonts w:ascii="Arial" w:cs="Arial" w:eastAsia="Arial" w:hAnsi="Arial"/>
          <w:sz w:val="18"/>
          <w:szCs w:val="18"/>
          <w:color w:val="auto"/>
        </w:rPr>
      </w:pPr>
    </w:p>
    <w:p>
      <w:pPr>
        <w:ind w:left="700" w:hanging="344"/>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 the sale by the underwriters of a greater number of shares of common stock than it is required to purchase in this offering.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84"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they may purchase shares through the option to purchase additional shares described above. The underwriters must close out any naked short position by purchasing shares in the open market. A naked short position is more likely to be created if the underwriters are concerned that there may be downward pressure on the price of our common stock in the open market that could adversely affect investors who purchased in this offering.</w:t>
      </w:r>
    </w:p>
    <w:p>
      <w:pPr>
        <w:spacing w:after="0" w:line="87"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As an additional means of facilitating our initial public offering, the underwriters may bid for, and purchase, shares of our common stock in the open market. The underwriting syndicate also may reclaim selling concessions allowed to an underwriter or a dealer for distributing shares of our common stock in this offering, if the syndicate repurchases previously distributed shares of our common stock to cover short positions or to stabilize the price of our common stock.</w:t>
      </w:r>
    </w:p>
    <w:p>
      <w:pPr>
        <w:spacing w:after="0" w:line="6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As a result of these activities, the price of our common stock may be higher than the price that otherwise might exist in the open market. Neither we nor the underwriters make any representation or prediction as to the effect that the transactions described above may have on the price of our common stock. If these activities are commenced, they may be discontinued by the underwriters at any time without notice. The underwriters may carry out these transactions on the NASDAQ Global Select Market, in the over-the-counter market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121"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In connection with this offering, the underwriters and the selling group members, if any, who are qualified market markers on the NASDAQ Global Select Market may engage in passive market making transactions in our common stock on the NASDAQ Global Select Market in accordance with Rule 103 of Regulation M during a period before the commencement of offers or sales of our common stock and extending through the completion of the distribution of this offering. A passive market maker must generally display its bid at a price not in excess of the highest independent bid of that security. However, if all independent bids are lowered below the passive market maker’s bid, the passive market maker may continue to bid and effect purchases at a price exceeding the then highest independent bid until specified purchase limits are exceeded, at which time such bid must be lowered to an amount no higher than the then highest independent bid. Passive market making may cause the price of our common stock to be higher than the price that otherwise would exist in the open market in the absence of those transactions. The underwriters engaged in passive market making are not required to engage in passive market making and may end passive market making activities at any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A prospectus in electronic format may be made available by e-mail or on the websites or through online services maintained by the underwriters or its affiliates. In those cases, prospective investors may view offering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on any other website maintained by the underwriters is not part of this prospectus, has not been approved and/or endorsed by the underwriters or us, and should not be relied upon by investors.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At our request, the underwriters have reserved for sale, at the initial public offering price, up to shares of our common stock for sale to our directors, executive officers, employees and business associates and certain other related persons. Reserved shares purchased by our directors and executive officers will be subject to the lock-up provisions described above. The number of shares of our common stock available for sale to the general public will be reduced to the extent these persons purchase the reserved shares. We do not know if these persons will choose to purchase all or any portion of these reserved shares. Any reserved shares of our common stock that are not so purchased will be offered by the underwriters to the general public on the same terms as the other shares of our common stock offered by this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121"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advisory, investment research, principal investment, hedging, financing, loan referrals, valuation and brokerage activities. From time to time, the underwriters and/or their affiliates have directly and indirectly engaged, and may in the future engage, in various financial advisory, investment banking loan referrals and commercial banking services with us and our affiliates, for which they received or paid, or may receive or pay, customary compensation, fees and expense reimbursement.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those investment and securities activities may involve securities and/or instruments of ours. The underwriters and their affiliates may also make investment recommendations and/or publish or express independent research views in respect of those securities or instruments and may at any time hold, or recommend to clients that they acquire, long and/or short positions in those securities and instruments.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40" w:firstLine="360"/>
        <w:spacing w:after="0" w:line="263" w:lineRule="auto"/>
        <w:rPr>
          <w:sz w:val="20"/>
          <w:szCs w:val="20"/>
          <w:color w:val="auto"/>
        </w:rPr>
      </w:pPr>
      <w:r>
        <w:rPr>
          <w:rFonts w:ascii="Arial" w:cs="Arial" w:eastAsia="Arial" w:hAnsi="Arial"/>
          <w:sz w:val="18"/>
          <w:szCs w:val="18"/>
          <w:color w:val="auto"/>
        </w:rPr>
        <w:t>Hunton Andrews Kurth LLP, Dallas, Texas, will pass upon the validity of the shares of common stock offered by this prospectus and certain other legal matters for us and for the selling shareholders. Fenimore, Kay, Harrison &amp; Ford, LLP, Austin, Texas, is acting as counsel for the underwriters.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Our consolidated financial statements as of and for the years ended December 31, 2018 and 2017 appearing in this prospectus and registration statement have been audited by Weaver and Tidwell, L.L.P., independent registered public accounting firm, as set forth in its report thereon appearing elsewhere herein, and are included in reliance upon such report given on the authority of that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our common stock offered hereby. This prospectus, which constitutes part of the registration statement, does not contain all of the information set forth in the registration statement or the exhibits or schedules filed therewith. Some items are omitted in accordance with the rules and regulations of the SEC. For further information about us and our common stock that we propose to sell in this offering, we refer you to the registration statement and the exhibits and schedules filed as a part of the registration statement. Statements or summaries in this prospectus as to the contents of any contract or other document referred to in this prospectus are not necessarily complete and, where that contract or document is filed as an exhibit to the registration statement, each statement or summary is qualified in all respects by reference to the exhibit to which the reference relates. You may read and copy the registration statement, including the exhibits and schedules to the registration statement, at the SEC’s Public Reference Room at 100 F Street, N.E., Room 1580, and Washington, D.C. 20549. Please call the SEC at 1-800-SEC-0330 for further information on the operation of the Public Reference Room. Our filings with the SEC, including the registration statement, are also available to you for free on the SEC’s internet website at www.sec.gov.</w:t>
      </w:r>
    </w:p>
    <w:p>
      <w:pPr>
        <w:spacing w:after="0" w:line="7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Following the offering, we will become subject to the informational and reporting requirements of the Exchange Act and, in accordance with those requirements, will file reports and proxy and information statements and other information with the SEC. You will be able to inspect and copy these reports and proxy and information statements and other information at the addresses set forth above. We intend to furnish to our shareholders our annual reports containing our audited consolidated financial statements certified by an independent public accounting firm.</w:t>
      </w:r>
    </w:p>
    <w:p>
      <w:pPr>
        <w:spacing w:after="0" w:line="80"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We also maintain an internet site at www.city.bank. Information on, or accessible through, our website is not part of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5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15"/>
                <w:szCs w:val="15"/>
                <w:color w:val="auto"/>
              </w:rPr>
            </w:pPr>
          </w:p>
        </w:tc>
      </w:tr>
      <w:tr>
        <w:trPr>
          <w:trHeight w:val="189"/>
        </w:trPr>
        <w:tc>
          <w:tcPr>
            <w:tcW w:w="4540" w:type="dxa"/>
            <w:vAlign w:val="bottom"/>
            <w:gridSpan w:val="7"/>
            <w:shd w:val="clear" w:color="auto" w:fill="CCEEFF"/>
          </w:tcPr>
          <w:p>
            <w:pPr>
              <w:spacing w:after="0" w:line="189" w:lineRule="exact"/>
              <w:rPr>
                <w:rFonts w:ascii="Arial" w:cs="Arial" w:eastAsia="Arial" w:hAnsi="Arial"/>
                <w:sz w:val="18"/>
                <w:szCs w:val="18"/>
                <w:color w:val="0000EE"/>
                <w:w w:val="98"/>
              </w:rPr>
            </w:pPr>
            <w:hyperlink w:anchor="page152">
              <w:r>
                <w:rPr>
                  <w:rFonts w:ascii="Arial" w:cs="Arial" w:eastAsia="Arial" w:hAnsi="Arial"/>
                  <w:sz w:val="18"/>
                  <w:szCs w:val="18"/>
                  <w:color w:val="0000EE"/>
                  <w:w w:val="98"/>
                </w:rPr>
                <w:t>Report of Independent Registered Public Accounting Firm</w:t>
              </w:r>
            </w:hyperlink>
          </w:p>
        </w:tc>
        <w:tc>
          <w:tcPr>
            <w:tcW w:w="4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line="189" w:lineRule="exact"/>
              <w:rPr>
                <w:rFonts w:ascii="Arial" w:cs="Arial" w:eastAsia="Arial" w:hAnsi="Arial"/>
                <w:sz w:val="18"/>
                <w:szCs w:val="18"/>
                <w:color w:val="0000EE"/>
              </w:rPr>
            </w:pPr>
            <w:hyperlink w:anchor="page152">
              <w:r>
                <w:rPr>
                  <w:rFonts w:ascii="Arial" w:cs="Arial" w:eastAsia="Arial" w:hAnsi="Arial"/>
                  <w:sz w:val="18"/>
                  <w:szCs w:val="18"/>
                  <w:color w:val="0000EE"/>
                </w:rPr>
                <w:t>F-2</w:t>
              </w:r>
            </w:hyperlink>
          </w:p>
        </w:tc>
      </w:tr>
      <w:tr>
        <w:trPr>
          <w:trHeight w:val="34"/>
        </w:trPr>
        <w:tc>
          <w:tcPr>
            <w:tcW w:w="21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4220" w:type="dxa"/>
            <w:vAlign w:val="bottom"/>
            <w:gridSpan w:val="5"/>
          </w:tcPr>
          <w:p>
            <w:pPr>
              <w:spacing w:after="0" w:line="189" w:lineRule="exact"/>
              <w:rPr>
                <w:rFonts w:ascii="Arial" w:cs="Arial" w:eastAsia="Arial" w:hAnsi="Arial"/>
                <w:sz w:val="18"/>
                <w:szCs w:val="18"/>
                <w:color w:val="0000EE"/>
              </w:rPr>
            </w:pPr>
            <w:hyperlink w:anchor="page153">
              <w:r>
                <w:rPr>
                  <w:rFonts w:ascii="Arial" w:cs="Arial" w:eastAsia="Arial" w:hAnsi="Arial"/>
                  <w:sz w:val="18"/>
                  <w:szCs w:val="18"/>
                  <w:color w:val="0000EE"/>
                </w:rPr>
                <w:t>Consolidated Balance Sheets</w:t>
              </w:r>
            </w:hyperlink>
          </w:p>
        </w:tc>
        <w:tc>
          <w:tcPr>
            <w:tcW w:w="320" w:type="dxa"/>
            <w:vAlign w:val="bottom"/>
            <w:gridSpan w:val="2"/>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gridSpan w:val="2"/>
          </w:tcPr>
          <w:p>
            <w:pPr>
              <w:spacing w:after="0" w:line="189" w:lineRule="exact"/>
              <w:rPr>
                <w:rFonts w:ascii="Arial" w:cs="Arial" w:eastAsia="Arial" w:hAnsi="Arial"/>
                <w:sz w:val="18"/>
                <w:szCs w:val="18"/>
                <w:color w:val="0000EE"/>
              </w:rPr>
            </w:pPr>
            <w:hyperlink w:anchor="page153">
              <w:r>
                <w:rPr>
                  <w:rFonts w:ascii="Arial" w:cs="Arial" w:eastAsia="Arial" w:hAnsi="Arial"/>
                  <w:sz w:val="18"/>
                  <w:szCs w:val="18"/>
                  <w:color w:val="0000EE"/>
                </w:rPr>
                <w:t>F-3</w:t>
              </w:r>
            </w:hyperlink>
          </w:p>
        </w:tc>
      </w:tr>
      <w:tr>
        <w:trPr>
          <w:trHeight w:val="34"/>
        </w:trPr>
        <w:tc>
          <w:tcPr>
            <w:tcW w:w="210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4540" w:type="dxa"/>
            <w:vAlign w:val="bottom"/>
            <w:gridSpan w:val="7"/>
            <w:shd w:val="clear" w:color="auto" w:fill="CCEEFF"/>
          </w:tcPr>
          <w:p>
            <w:pPr>
              <w:spacing w:after="0" w:line="189" w:lineRule="exact"/>
              <w:rPr>
                <w:rFonts w:ascii="Arial" w:cs="Arial" w:eastAsia="Arial" w:hAnsi="Arial"/>
                <w:sz w:val="18"/>
                <w:szCs w:val="18"/>
                <w:color w:val="0000EE"/>
              </w:rPr>
            </w:pPr>
            <w:hyperlink w:anchor="page154">
              <w:r>
                <w:rPr>
                  <w:rFonts w:ascii="Arial" w:cs="Arial" w:eastAsia="Arial" w:hAnsi="Arial"/>
                  <w:sz w:val="18"/>
                  <w:szCs w:val="18"/>
                  <w:color w:val="0000EE"/>
                </w:rPr>
                <w:t>Consolidated Statements of Comprehensive Income</w:t>
              </w:r>
            </w:hyperlink>
          </w:p>
        </w:tc>
        <w:tc>
          <w:tcPr>
            <w:tcW w:w="4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line="189" w:lineRule="exact"/>
              <w:rPr>
                <w:rFonts w:ascii="Arial" w:cs="Arial" w:eastAsia="Arial" w:hAnsi="Arial"/>
                <w:sz w:val="18"/>
                <w:szCs w:val="18"/>
                <w:color w:val="0000EE"/>
              </w:rPr>
            </w:pPr>
            <w:hyperlink w:anchor="page154">
              <w:r>
                <w:rPr>
                  <w:rFonts w:ascii="Arial" w:cs="Arial" w:eastAsia="Arial" w:hAnsi="Arial"/>
                  <w:sz w:val="18"/>
                  <w:szCs w:val="18"/>
                  <w:color w:val="0000EE"/>
                </w:rPr>
                <w:t>F-5</w:t>
              </w:r>
            </w:hyperlink>
          </w:p>
        </w:tc>
      </w:tr>
      <w:tr>
        <w:trPr>
          <w:trHeight w:val="34"/>
        </w:trPr>
        <w:tc>
          <w:tcPr>
            <w:tcW w:w="21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4540" w:type="dxa"/>
            <w:vAlign w:val="bottom"/>
            <w:gridSpan w:val="7"/>
          </w:tcPr>
          <w:p>
            <w:pPr>
              <w:spacing w:after="0" w:line="189" w:lineRule="exact"/>
              <w:rPr>
                <w:rFonts w:ascii="Arial" w:cs="Arial" w:eastAsia="Arial" w:hAnsi="Arial"/>
                <w:sz w:val="18"/>
                <w:szCs w:val="18"/>
                <w:color w:val="0000EE"/>
                <w:w w:val="93"/>
              </w:rPr>
            </w:pPr>
            <w:hyperlink w:anchor="page156">
              <w:r>
                <w:rPr>
                  <w:rFonts w:ascii="Arial" w:cs="Arial" w:eastAsia="Arial" w:hAnsi="Arial"/>
                  <w:sz w:val="18"/>
                  <w:szCs w:val="18"/>
                  <w:color w:val="0000EE"/>
                  <w:w w:val="93"/>
                </w:rPr>
                <w:t>Consolidated Statements of Changes in Stockholders’ Equity</w:t>
              </w:r>
            </w:hyperlink>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gridSpan w:val="2"/>
          </w:tcPr>
          <w:p>
            <w:pPr>
              <w:spacing w:after="0" w:line="189" w:lineRule="exact"/>
              <w:rPr>
                <w:rFonts w:ascii="Arial" w:cs="Arial" w:eastAsia="Arial" w:hAnsi="Arial"/>
                <w:sz w:val="18"/>
                <w:szCs w:val="18"/>
                <w:color w:val="0000EE"/>
              </w:rPr>
            </w:pPr>
            <w:hyperlink w:anchor="page156">
              <w:r>
                <w:rPr>
                  <w:rFonts w:ascii="Arial" w:cs="Arial" w:eastAsia="Arial" w:hAnsi="Arial"/>
                  <w:sz w:val="18"/>
                  <w:szCs w:val="18"/>
                  <w:color w:val="0000EE"/>
                </w:rPr>
                <w:t>F-6</w:t>
              </w:r>
            </w:hyperlink>
          </w:p>
        </w:tc>
      </w:tr>
      <w:tr>
        <w:trPr>
          <w:trHeight w:val="34"/>
        </w:trPr>
        <w:tc>
          <w:tcPr>
            <w:tcW w:w="21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2880" w:type="dxa"/>
            <w:vAlign w:val="bottom"/>
            <w:gridSpan w:val="2"/>
            <w:shd w:val="clear" w:color="auto" w:fill="CCEEFF"/>
          </w:tcPr>
          <w:p>
            <w:pPr>
              <w:spacing w:after="0" w:line="189"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Consolidated Statements of Cash Flows</w:t>
              </w:r>
            </w:hyperlink>
          </w:p>
        </w:tc>
        <w:tc>
          <w:tcPr>
            <w:tcW w:w="1660" w:type="dxa"/>
            <w:vAlign w:val="bottom"/>
            <w:gridSpan w:val="5"/>
            <w:shd w:val="clear" w:color="auto" w:fill="CCEEFF"/>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line="189" w:lineRule="exact"/>
              <w:rPr>
                <w:rFonts w:ascii="Arial" w:cs="Arial" w:eastAsia="Arial" w:hAnsi="Arial"/>
                <w:sz w:val="18"/>
                <w:szCs w:val="18"/>
                <w:color w:val="0000EE"/>
              </w:rPr>
            </w:pPr>
            <w:hyperlink w:anchor="page157">
              <w:r>
                <w:rPr>
                  <w:rFonts w:ascii="Arial" w:cs="Arial" w:eastAsia="Arial" w:hAnsi="Arial"/>
                  <w:sz w:val="18"/>
                  <w:szCs w:val="18"/>
                  <w:color w:val="0000EE"/>
                </w:rPr>
                <w:t>F-7</w:t>
              </w:r>
            </w:hyperlink>
          </w:p>
        </w:tc>
      </w:tr>
      <w:tr>
        <w:trPr>
          <w:trHeight w:val="34"/>
        </w:trPr>
        <w:tc>
          <w:tcPr>
            <w:tcW w:w="21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189"/>
        </w:trPr>
        <w:tc>
          <w:tcPr>
            <w:tcW w:w="3160" w:type="dxa"/>
            <w:vAlign w:val="bottom"/>
            <w:gridSpan w:val="3"/>
          </w:tcPr>
          <w:p>
            <w:pPr>
              <w:spacing w:after="0" w:line="189"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Notes to Consolidated Financial Statements</w:t>
              </w:r>
            </w:hyperlink>
          </w:p>
        </w:tc>
        <w:tc>
          <w:tcPr>
            <w:tcW w:w="1380" w:type="dxa"/>
            <w:vAlign w:val="bottom"/>
            <w:gridSpan w:val="4"/>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gridSpan w:val="2"/>
          </w:tcPr>
          <w:p>
            <w:pPr>
              <w:spacing w:after="0" w:line="189" w:lineRule="exact"/>
              <w:rPr>
                <w:rFonts w:ascii="Arial" w:cs="Arial" w:eastAsia="Arial" w:hAnsi="Arial"/>
                <w:sz w:val="18"/>
                <w:szCs w:val="18"/>
                <w:color w:val="0000EE"/>
              </w:rPr>
            </w:pPr>
            <w:hyperlink w:anchor="page158">
              <w:r>
                <w:rPr>
                  <w:rFonts w:ascii="Arial" w:cs="Arial" w:eastAsia="Arial" w:hAnsi="Arial"/>
                  <w:sz w:val="18"/>
                  <w:szCs w:val="18"/>
                  <w:color w:val="0000EE"/>
                </w:rPr>
                <w:t>F-8</w:t>
              </w:r>
            </w:hyperlink>
          </w:p>
        </w:tc>
      </w:tr>
      <w:tr>
        <w:trPr>
          <w:trHeight w:val="466"/>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210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3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92075</wp:posOffset>
            </wp:positionV>
            <wp:extent cx="5323205" cy="643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232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Plains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Lubbock,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audited the accompanying consolidated balance sheets of South Plains Financial, Inc. and Subsidiaries (the “Company”) as of December 31, 2018 and 2017, and the related consolidated statements of comprehensive income, changes in stockholders’ equity, and cash flows for the years then ended, and the related notes to the consolidated financial statements (collectively referred to as the “financial statements”). In our opinion, the consolidated financial statements present fairly, in all material respects, the financial position of the Company as of December 31, 2018 and 2017, and the results of its operations and its cash flows for each of the years then ended, in conformity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As discussed in Note 1 to the consolidated financial statements, the Company changed its method for reporting the obligation required by the put option for shares of the Company’s stock held by the Company’s ESOP at December 31, 2018 and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South Plains Financial,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8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1877060"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77060" cy="20574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WEAVER AND TIDWELL,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South Plains Financial, Inc.’s auditor since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BALANCE SHEETS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(In thousands except per share data)</w:t>
            </w:r>
          </w:p>
        </w:tc>
      </w:tr>
      <w:tr>
        <w:trPr>
          <w:trHeight w:val="223"/>
        </w:trPr>
        <w:tc>
          <w:tcPr>
            <w:tcW w:w="6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ASSETS</w:t>
            </w:r>
          </w:p>
        </w:tc>
        <w:tc>
          <w:tcPr>
            <w:tcW w:w="614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47,802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53,106</w:t>
            </w:r>
          </w:p>
        </w:tc>
      </w:tr>
      <w:tr>
        <w:trPr>
          <w:trHeight w:val="236"/>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Interest-bearing deposits in banks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198,187</w:t>
            </w:r>
          </w:p>
        </w:tc>
        <w:tc>
          <w:tcPr>
            <w:tcW w:w="18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241,457</w:t>
            </w:r>
          </w:p>
        </w:tc>
      </w:tr>
      <w:tr>
        <w:trPr>
          <w:trHeight w:val="27"/>
        </w:trPr>
        <w:tc>
          <w:tcPr>
            <w:tcW w:w="6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245,989</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294,563</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338,196</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194,179</w:t>
            </w: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Securities held to maturity</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89,920</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38,382</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29,314</w:t>
            </w: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Loans held for investment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1,957,197</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1,838,155</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(23,126)</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(21,461)</w:t>
            </w: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12,957</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14,303</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59,787</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61,887</w:t>
            </w: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57,172</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55,890</w:t>
            </w:r>
          </w:p>
        </w:tc>
      </w:tr>
      <w:tr>
        <w:trPr>
          <w:trHeight w:val="236"/>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26,191</w:t>
            </w:r>
          </w:p>
        </w:tc>
        <w:tc>
          <w:tcPr>
            <w:tcW w:w="18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16,625</w:t>
            </w:r>
          </w:p>
        </w:tc>
      </w:tr>
      <w:tr>
        <w:trPr>
          <w:trHeight w:val="27"/>
        </w:trPr>
        <w:tc>
          <w:tcPr>
            <w:tcW w:w="6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680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2,712,745</w:t>
            </w:r>
          </w:p>
        </w:tc>
        <w:tc>
          <w:tcPr>
            <w:tcW w:w="1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2,573,375</w:t>
            </w:r>
          </w:p>
        </w:tc>
      </w:tr>
      <w:tr>
        <w:trPr>
          <w:trHeight w:val="28"/>
        </w:trPr>
        <w:tc>
          <w:tcPr>
            <w:tcW w:w="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800" w:type="dxa"/>
            <w:vAlign w:val="bottom"/>
            <w:tcBorders>
              <w:right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3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3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20" w:type="dxa"/>
            <w:vAlign w:val="bottom"/>
            <w:tcBorders>
              <w:top w:val="single" w:sz="8" w:color="CCEEFF"/>
            </w:tcBorders>
          </w:tcPr>
          <w:p>
            <w:pPr>
              <w:spacing w:after="0"/>
              <w:rPr>
                <w:sz w:val="20"/>
                <w:szCs w:val="20"/>
                <w:color w:val="auto"/>
              </w:rPr>
            </w:pPr>
          </w:p>
        </w:tc>
        <w:tc>
          <w:tcPr>
            <w:tcW w:w="8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68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510,067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475,162</w:t>
            </w:r>
          </w:p>
        </w:tc>
      </w:tr>
      <w:tr>
        <w:trPr>
          <w:trHeight w:val="230"/>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Interest-bearing</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1,767,387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1,678,919</w:t>
            </w:r>
          </w:p>
        </w:tc>
      </w:tr>
      <w:tr>
        <w:trPr>
          <w:trHeight w:val="27"/>
        </w:trPr>
        <w:tc>
          <w:tcPr>
            <w:tcW w:w="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80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2,277,454</w:t>
            </w: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2,154,081</w:t>
            </w: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17,705</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15,550</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29,416</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26,137</w:t>
            </w: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95,000</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34,002</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20,887</w:t>
            </w:r>
          </w:p>
        </w:tc>
      </w:tr>
      <w:tr>
        <w:trPr>
          <w:trHeight w:val="229"/>
        </w:trPr>
        <w:tc>
          <w:tcPr>
            <w:tcW w:w="6800" w:type="dxa"/>
            <w:vAlign w:val="bottom"/>
            <w:gridSpan w:val="3"/>
          </w:tcPr>
          <w:p>
            <w:pPr>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r>
      <w:tr>
        <w:trPr>
          <w:trHeight w:val="27"/>
        </w:trPr>
        <w:tc>
          <w:tcPr>
            <w:tcW w:w="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1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80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2,499,970</w:t>
            </w:r>
          </w:p>
        </w:tc>
        <w:tc>
          <w:tcPr>
            <w:tcW w:w="18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2,358,048</w:t>
            </w:r>
          </w:p>
        </w:tc>
      </w:tr>
      <w:tr>
        <w:trPr>
          <w:trHeight w:val="237"/>
        </w:trPr>
        <w:tc>
          <w:tcPr>
            <w:tcW w:w="68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Commitments and contingent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ESOP owned shares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58,195</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57,121</w:t>
            </w: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68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4"/>
              </w:rPr>
              <w:t>Common stock, $1 par value, 1,000,000 shares authorized; 492,384 issued in 2018 and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680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505,117 issued in 2017</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r>
      <w:tr>
        <w:trPr>
          <w:trHeight w:val="237"/>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94,692</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100,537</w:t>
            </w:r>
          </w:p>
        </w:tc>
      </w:tr>
      <w:tr>
        <w:trPr>
          <w:trHeight w:val="249"/>
        </w:trPr>
        <w:tc>
          <w:tcPr>
            <w:tcW w:w="68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119,834</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120,589</w:t>
            </w:r>
          </w:p>
        </w:tc>
      </w:tr>
      <w:tr>
        <w:trPr>
          <w:trHeight w:val="237"/>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(2,243)</w:t>
            </w:r>
          </w:p>
        </w:tc>
        <w:tc>
          <w:tcPr>
            <w:tcW w:w="4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r>
      <w:tr>
        <w:trPr>
          <w:trHeight w:val="236"/>
        </w:trPr>
        <w:tc>
          <w:tcPr>
            <w:tcW w:w="68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Treasury stock, at cost (12,733 shares in 2017)</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(5,858)</w:t>
            </w:r>
          </w:p>
        </w:tc>
      </w:tr>
      <w:tr>
        <w:trPr>
          <w:trHeight w:val="27"/>
        </w:trPr>
        <w:tc>
          <w:tcPr>
            <w:tcW w:w="6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212,775</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215,327</w:t>
            </w:r>
          </w:p>
        </w:tc>
      </w:tr>
      <w:tr>
        <w:trPr>
          <w:trHeight w:val="236"/>
        </w:trPr>
        <w:tc>
          <w:tcPr>
            <w:tcW w:w="680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Less ESOP owned shares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57,121</w:t>
            </w:r>
          </w:p>
        </w:tc>
      </w:tr>
      <w:tr>
        <w:trPr>
          <w:trHeight w:val="27"/>
        </w:trPr>
        <w:tc>
          <w:tcPr>
            <w:tcW w:w="66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6800" w:type="dxa"/>
            <w:vAlign w:val="bottom"/>
            <w:gridSpan w:val="3"/>
          </w:tcPr>
          <w:p>
            <w:pPr>
              <w:ind w:left="360"/>
              <w:spacing w:after="0"/>
              <w:rPr>
                <w:sz w:val="20"/>
                <w:szCs w:val="20"/>
                <w:color w:val="auto"/>
              </w:rPr>
            </w:pPr>
            <w:r>
              <w:rPr>
                <w:rFonts w:ascii="Arial" w:cs="Arial" w:eastAsia="Arial" w:hAnsi="Arial"/>
                <w:sz w:val="18"/>
                <w:szCs w:val="18"/>
                <w:color w:val="auto"/>
              </w:rPr>
              <w:t>Total stockholder’ equity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154,580</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158,206</w:t>
            </w:r>
          </w:p>
        </w:tc>
      </w:tr>
      <w:tr>
        <w:trPr>
          <w:trHeight w:val="256"/>
        </w:trPr>
        <w:tc>
          <w:tcPr>
            <w:tcW w:w="6800" w:type="dxa"/>
            <w:vAlign w:val="bottom"/>
            <w:tcBorders>
              <w:right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2,712,745</w:t>
            </w:r>
          </w:p>
        </w:tc>
        <w:tc>
          <w:tcPr>
            <w:tcW w:w="180" w:type="dxa"/>
            <w:vAlign w:val="bottom"/>
            <w:tcBorders>
              <w:right w:val="single" w:sz="8" w:color="CCEEFF"/>
            </w:tcBorders>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2,573,375</w:t>
            </w:r>
          </w:p>
        </w:tc>
      </w:tr>
      <w:tr>
        <w:trPr>
          <w:trHeight w:val="27"/>
        </w:trPr>
        <w:tc>
          <w:tcPr>
            <w:tcW w:w="66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1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COMPREHENSIVE INCOME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68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(In thousands except per share data)</w:t>
            </w:r>
          </w:p>
        </w:tc>
      </w:tr>
      <w:tr>
        <w:trPr>
          <w:trHeight w:val="243"/>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Loans, including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105,710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94,110</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800" w:type="dxa"/>
            <w:vAlign w:val="bottom"/>
          </w:tcPr>
          <w:p>
            <w:pPr>
              <w:ind w:left="360"/>
              <w:spacing w:after="0"/>
              <w:rPr>
                <w:sz w:val="20"/>
                <w:szCs w:val="20"/>
                <w:color w:val="auto"/>
              </w:rPr>
            </w:pPr>
            <w:r>
              <w:rPr>
                <w:rFonts w:ascii="Arial" w:cs="Arial" w:eastAsia="Arial" w:hAnsi="Arial"/>
                <w:sz w:val="18"/>
                <w:szCs w:val="18"/>
                <w:color w:val="auto"/>
              </w:rPr>
              <w:t>Taxable</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5,577</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2,595</w:t>
            </w:r>
          </w:p>
        </w:tc>
      </w:tr>
      <w:tr>
        <w:trPr>
          <w:trHeight w:val="249"/>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 taxable</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2,872</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r>
      <w:tr>
        <w:trPr>
          <w:trHeight w:val="229"/>
        </w:trPr>
        <w:tc>
          <w:tcPr>
            <w:tcW w:w="6800" w:type="dxa"/>
            <w:vAlign w:val="bottom"/>
          </w:tcPr>
          <w:p>
            <w:pPr>
              <w:ind w:left="180"/>
              <w:spacing w:after="0"/>
              <w:rPr>
                <w:sz w:val="20"/>
                <w:szCs w:val="20"/>
                <w:color w:val="auto"/>
              </w:rPr>
            </w:pPr>
            <w:r>
              <w:rPr>
                <w:rFonts w:ascii="Arial" w:cs="Arial" w:eastAsia="Arial" w:hAnsi="Arial"/>
                <w:sz w:val="18"/>
                <w:szCs w:val="18"/>
                <w:color w:val="auto"/>
              </w:rPr>
              <w:t>Federal funds sold and interest-bearing deposits in banks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r>
      <w:tr>
        <w:trPr>
          <w:trHeight w:val="27"/>
        </w:trPr>
        <w:tc>
          <w:tcPr>
            <w:tcW w:w="68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income</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118,094</w:t>
            </w:r>
          </w:p>
        </w:tc>
        <w:tc>
          <w:tcPr>
            <w:tcW w:w="1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104,440</w:t>
            </w:r>
          </w:p>
        </w:tc>
      </w:tr>
      <w:tr>
        <w:trPr>
          <w:trHeight w:val="237"/>
        </w:trPr>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17,561</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12,404</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2,051</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1,046</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r>
      <w:tr>
        <w:trPr>
          <w:trHeight w:val="229"/>
        </w:trPr>
        <w:tc>
          <w:tcPr>
            <w:tcW w:w="680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r>
      <w:tr>
        <w:trPr>
          <w:trHeight w:val="27"/>
        </w:trPr>
        <w:tc>
          <w:tcPr>
            <w:tcW w:w="68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22,482</w:t>
            </w:r>
          </w:p>
        </w:tc>
        <w:tc>
          <w:tcPr>
            <w:tcW w:w="18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15,977</w:t>
            </w:r>
          </w:p>
        </w:tc>
      </w:tr>
      <w:tr>
        <w:trPr>
          <w:trHeight w:val="27"/>
        </w:trPr>
        <w:tc>
          <w:tcPr>
            <w:tcW w:w="68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95,612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88,463</w:t>
            </w:r>
          </w:p>
        </w:tc>
      </w:tr>
      <w:tr>
        <w:trPr>
          <w:trHeight w:val="236"/>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w:t>
            </w:r>
          </w:p>
        </w:tc>
      </w:tr>
      <w:tr>
        <w:trPr>
          <w:trHeight w:val="27"/>
        </w:trPr>
        <w:tc>
          <w:tcPr>
            <w:tcW w:w="68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Net interest income, after provision for loan losses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88,711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84,497</w:t>
            </w:r>
          </w:p>
        </w:tc>
      </w:tr>
      <w:tr>
        <w:trPr>
          <w:trHeight w:val="243"/>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Service charges on deposit accounts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7,813</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7,425</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insurance activities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7,128</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6,422</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Net gain on sales of loans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19,703</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18,936</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8,845</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7,857</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Investment commissions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1,779</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r>
      <w:tr>
        <w:trPr>
          <w:trHeight w:val="23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(includes $620 reclassed from other comprehensive income in 2018)</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5,271</w:t>
            </w:r>
          </w:p>
        </w:tc>
      </w:tr>
      <w:tr>
        <w:trPr>
          <w:trHeight w:val="27"/>
        </w:trPr>
        <w:tc>
          <w:tcPr>
            <w:tcW w:w="68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6"/>
        </w:trPr>
        <w:tc>
          <w:tcPr>
            <w:tcW w:w="6800" w:type="dxa"/>
            <w:vAlign w:val="bottom"/>
          </w:tcPr>
          <w:p>
            <w:pPr>
              <w:ind w:left="360"/>
              <w:spacing w:after="0"/>
              <w:rPr>
                <w:sz w:val="20"/>
                <w:szCs w:val="20"/>
                <w:color w:val="auto"/>
              </w:rPr>
            </w:pPr>
            <w:r>
              <w:rPr>
                <w:rFonts w:ascii="Arial" w:cs="Arial" w:eastAsia="Arial" w:hAnsi="Arial"/>
                <w:sz w:val="18"/>
                <w:szCs w:val="18"/>
                <w:color w:val="auto"/>
              </w:rPr>
              <w:t>Total noninterest income</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52,121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47,389</w:t>
            </w:r>
          </w:p>
        </w:tc>
      </w:tr>
      <w:tr>
        <w:trPr>
          <w:trHeight w:val="243"/>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71,778</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67,127</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equipment, net</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13,571</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12,988</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6,734</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4,544</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development</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3,050</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IT and data services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2,233</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Bank card expenses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2,743</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Appraisal expenses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1,353</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1,534</w:t>
            </w:r>
          </w:p>
        </w:tc>
      </w:tr>
      <w:tr>
        <w:trPr>
          <w:trHeight w:val="23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(includes $491 reclassed from other comprehensive income for 2017)</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14,544</w:t>
            </w:r>
          </w:p>
        </w:tc>
      </w:tr>
      <w:tr>
        <w:trPr>
          <w:trHeight w:val="27"/>
        </w:trPr>
        <w:tc>
          <w:tcPr>
            <w:tcW w:w="68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Total noninterest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115,443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108,144</w:t>
            </w:r>
          </w:p>
        </w:tc>
      </w:tr>
      <w:tr>
        <w:trPr>
          <w:trHeight w:val="27"/>
        </w:trPr>
        <w:tc>
          <w:tcPr>
            <w:tcW w:w="68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25,389</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23,742</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(3,901)</w:t>
            </w:r>
          </w:p>
        </w:tc>
        <w:tc>
          <w:tcPr>
            <w:tcW w:w="3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7"/>
        </w:trPr>
        <w:tc>
          <w:tcPr>
            <w:tcW w:w="68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23,635</w:t>
            </w:r>
          </w:p>
        </w:tc>
      </w:tr>
      <w:tr>
        <w:trPr>
          <w:trHeight w:val="27"/>
        </w:trPr>
        <w:tc>
          <w:tcPr>
            <w:tcW w:w="68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1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COMPREHENSIVE INCOME (continued)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68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(In thousands except per share data)</w:t>
            </w:r>
          </w:p>
        </w:tc>
      </w:tr>
      <w:tr>
        <w:trPr>
          <w:trHeight w:val="243"/>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59.49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48.01</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w:t>
            </w: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Pro Forma Information (unaudited):</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20,757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17,580</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4,511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6,055</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 -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Earnings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35.70</w:t>
            </w:r>
          </w:p>
        </w:tc>
      </w:tr>
      <w:tr>
        <w:trPr>
          <w:trHeight w:val="249"/>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29,290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23,635</w:t>
            </w: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net unrealized loss on securities available for sale</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Reclassification adjustment for (gain) loss included in net income</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r>
      <w:tr>
        <w:trPr>
          <w:trHeight w:val="23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680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(1,797)</w:t>
            </w:r>
          </w:p>
        </w:tc>
        <w:tc>
          <w:tcPr>
            <w:tcW w:w="3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(829)</w:t>
            </w:r>
          </w:p>
        </w:tc>
      </w:tr>
      <w:tr>
        <w:trPr>
          <w:trHeight w:val="27"/>
        </w:trPr>
        <w:tc>
          <w:tcPr>
            <w:tcW w:w="68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8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27,493</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22,806</w:t>
            </w:r>
          </w:p>
        </w:tc>
      </w:tr>
      <w:tr>
        <w:trPr>
          <w:trHeight w:val="27"/>
        </w:trPr>
        <w:tc>
          <w:tcPr>
            <w:tcW w:w="68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1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center"/>
        <w:spacing w:after="0" w:line="397" w:lineRule="auto"/>
        <w:rPr>
          <w:sz w:val="20"/>
          <w:szCs w:val="20"/>
          <w:color w:val="auto"/>
        </w:rPr>
      </w:pPr>
      <w:r>
        <w:rPr>
          <w:rFonts w:ascii="Arial" w:cs="Arial" w:eastAsia="Arial" w:hAnsi="Arial"/>
          <w:sz w:val="18"/>
          <w:szCs w:val="18"/>
          <w:b w:val="1"/>
          <w:bCs w:val="1"/>
          <w:i w:val="1"/>
          <w:iCs w:val="1"/>
          <w:color w:val="auto"/>
        </w:rPr>
        <w:t>SOUTH PLAINS FINANCIAL, INC. AND SUBSIDIARIES CONSOLIDATED STATEMENTS OF CHANGES IN STOCKHOLDERS’ EQUITY Years Ended December 31, 2018 and 2017</w:t>
      </w: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1540" w:type="dxa"/>
            <w:vAlign w:val="bottom"/>
            <w:gridSpan w:val="5"/>
            <w:vMerge w:val="restart"/>
          </w:tcPr>
          <w:p>
            <w:pPr>
              <w:jc w:val="right"/>
              <w:ind w:right="4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Less: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20" w:type="dxa"/>
            <w:vAlign w:val="bottom"/>
          </w:tcPr>
          <w:p>
            <w:pPr>
              <w:spacing w:after="0"/>
              <w:rPr>
                <w:sz w:val="11"/>
                <w:szCs w:val="11"/>
                <w:color w:val="auto"/>
              </w:rPr>
            </w:pPr>
          </w:p>
        </w:tc>
        <w:tc>
          <w:tcPr>
            <w:tcW w:w="1540" w:type="dxa"/>
            <w:vAlign w:val="bottom"/>
            <w:gridSpan w:val="5"/>
            <w:vMerge w:val="continue"/>
          </w:tcPr>
          <w:p>
            <w:pPr>
              <w:spacing w:after="0"/>
              <w:rPr>
                <w:sz w:val="11"/>
                <w:szCs w:val="11"/>
                <w:color w:val="auto"/>
              </w:rPr>
            </w:pPr>
          </w:p>
        </w:tc>
        <w:tc>
          <w:tcPr>
            <w:tcW w:w="860" w:type="dxa"/>
            <w:vAlign w:val="bottom"/>
            <w:gridSpan w:val="3"/>
          </w:tcPr>
          <w:p>
            <w:pPr>
              <w:jc w:val="right"/>
              <w:ind w:right="220"/>
              <w:spacing w:after="0" w:line="114" w:lineRule="exact"/>
              <w:rPr>
                <w:sz w:val="20"/>
                <w:szCs w:val="20"/>
                <w:color w:val="auto"/>
              </w:rPr>
            </w:pPr>
            <w:r>
              <w:rPr>
                <w:rFonts w:ascii="Arial" w:cs="Arial" w:eastAsia="Arial" w:hAnsi="Arial"/>
                <w:sz w:val="13"/>
                <w:szCs w:val="13"/>
                <w:b w:val="1"/>
                <w:bCs w:val="1"/>
                <w:color w:val="auto"/>
                <w:w w:val="97"/>
              </w:rPr>
              <w:t>Additional</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00"/>
              <w:spacing w:after="0" w:line="114" w:lineRule="exact"/>
              <w:rPr>
                <w:sz w:val="20"/>
                <w:szCs w:val="20"/>
                <w:color w:val="auto"/>
              </w:rPr>
            </w:pPr>
            <w:r>
              <w:rPr>
                <w:rFonts w:ascii="Arial" w:cs="Arial" w:eastAsia="Arial" w:hAnsi="Arial"/>
                <w:sz w:val="13"/>
                <w:szCs w:val="13"/>
                <w:b w:val="1"/>
                <w:bCs w:val="1"/>
                <w:color w:val="auto"/>
                <w:w w:val="97"/>
              </w:rPr>
              <w:t>Other</w:t>
            </w:r>
          </w:p>
        </w:tc>
        <w:tc>
          <w:tcPr>
            <w:tcW w:w="840" w:type="dxa"/>
            <w:vAlign w:val="bottom"/>
            <w:gridSpan w:val="3"/>
          </w:tcPr>
          <w:p>
            <w:pPr>
              <w:jc w:val="center"/>
              <w:ind w:right="200"/>
              <w:spacing w:after="0" w:line="114" w:lineRule="exact"/>
              <w:rPr>
                <w:sz w:val="20"/>
                <w:szCs w:val="20"/>
                <w:color w:val="auto"/>
              </w:rPr>
            </w:pPr>
            <w:r>
              <w:rPr>
                <w:rFonts w:ascii="Arial" w:cs="Arial" w:eastAsia="Arial" w:hAnsi="Arial"/>
                <w:sz w:val="13"/>
                <w:szCs w:val="13"/>
                <w:b w:val="1"/>
                <w:bCs w:val="1"/>
                <w:color w:val="auto"/>
                <w:w w:val="93"/>
              </w:rPr>
              <w:t>Unearned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200"/>
              <w:spacing w:after="0" w:line="114" w:lineRule="exact"/>
              <w:rPr>
                <w:sz w:val="20"/>
                <w:szCs w:val="20"/>
                <w:color w:val="auto"/>
              </w:rPr>
            </w:pPr>
            <w:r>
              <w:rPr>
                <w:rFonts w:ascii="Arial" w:cs="Arial" w:eastAsia="Arial" w:hAnsi="Arial"/>
                <w:sz w:val="13"/>
                <w:szCs w:val="13"/>
                <w:b w:val="1"/>
                <w:bCs w:val="1"/>
                <w:color w:val="auto"/>
                <w:w w:val="93"/>
              </w:rPr>
              <w:t>ESOP</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3" w:lineRule="exact"/>
              <w:rPr>
                <w:sz w:val="20"/>
                <w:szCs w:val="20"/>
                <w:color w:val="auto"/>
              </w:rPr>
            </w:pPr>
            <w:r>
              <w:rPr>
                <w:rFonts w:ascii="Arial" w:cs="Arial" w:eastAsia="Arial" w:hAnsi="Arial"/>
                <w:sz w:val="13"/>
                <w:szCs w:val="13"/>
                <w:b w:val="1"/>
                <w:bCs w:val="1"/>
                <w:color w:val="auto"/>
                <w:w w:val="96"/>
              </w:rPr>
              <w:t>Paid-in</w:t>
            </w:r>
          </w:p>
        </w:tc>
        <w:tc>
          <w:tcPr>
            <w:tcW w:w="840" w:type="dxa"/>
            <w:vAlign w:val="bottom"/>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rPr>
              <w:t>Retained</w:t>
            </w:r>
          </w:p>
        </w:tc>
        <w:tc>
          <w:tcPr>
            <w:tcW w:w="1220" w:type="dxa"/>
            <w:vAlign w:val="bottom"/>
            <w:gridSpan w:val="3"/>
          </w:tcPr>
          <w:p>
            <w:pPr>
              <w:jc w:val="center"/>
              <w:ind w:right="200"/>
              <w:spacing w:after="0" w:line="143" w:lineRule="exact"/>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2"/>
                <w:szCs w:val="12"/>
                <w:color w:val="auto"/>
              </w:rPr>
            </w:pPr>
          </w:p>
        </w:tc>
        <w:tc>
          <w:tcPr>
            <w:tcW w:w="740" w:type="dxa"/>
            <w:vAlign w:val="bottom"/>
            <w:gridSpan w:val="2"/>
          </w:tcPr>
          <w:p>
            <w:pPr>
              <w:jc w:val="center"/>
              <w:ind w:right="300"/>
              <w:spacing w:after="0" w:line="143" w:lineRule="exact"/>
              <w:rPr>
                <w:sz w:val="20"/>
                <w:szCs w:val="20"/>
                <w:color w:val="auto"/>
              </w:rPr>
            </w:pPr>
            <w:r>
              <w:rPr>
                <w:rFonts w:ascii="Arial" w:cs="Arial" w:eastAsia="Arial" w:hAnsi="Arial"/>
                <w:sz w:val="13"/>
                <w:szCs w:val="13"/>
                <w:b w:val="1"/>
                <w:bCs w:val="1"/>
                <w:color w:val="auto"/>
                <w:w w:val="99"/>
              </w:rPr>
              <w:t>ESOP</w:t>
            </w:r>
          </w:p>
        </w:tc>
        <w:tc>
          <w:tcPr>
            <w:tcW w:w="780" w:type="dxa"/>
            <w:vAlign w:val="bottom"/>
            <w:gridSpan w:val="3"/>
          </w:tcPr>
          <w:p>
            <w:pPr>
              <w:jc w:val="right"/>
              <w:ind w:right="220"/>
              <w:spacing w:after="0" w:line="143" w:lineRule="exact"/>
              <w:rPr>
                <w:sz w:val="20"/>
                <w:szCs w:val="20"/>
                <w:color w:val="auto"/>
              </w:rPr>
            </w:pPr>
            <w:r>
              <w:rPr>
                <w:rFonts w:ascii="Arial" w:cs="Arial" w:eastAsia="Arial" w:hAnsi="Arial"/>
                <w:sz w:val="13"/>
                <w:szCs w:val="13"/>
                <w:b w:val="1"/>
                <w:bCs w:val="1"/>
                <w:color w:val="auto"/>
                <w:w w:val="98"/>
              </w:rPr>
              <w:t>Treasury</w:t>
            </w:r>
          </w:p>
        </w:tc>
        <w:tc>
          <w:tcPr>
            <w:tcW w:w="82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96"/>
              </w:rPr>
              <w:t>Owned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20" w:type="dxa"/>
            <w:vAlign w:val="bottom"/>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Earnings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2"/>
              </w:rPr>
              <w:t>Income (Loss)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2"/>
              </w:rPr>
              <w:t>Shares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w w:val="90"/>
              </w:rPr>
              <w:t>Stock</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80" w:type="dxa"/>
            <w:vAlign w:val="bottom"/>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w w:val="91"/>
              </w:rPr>
              <w:t>(In thousands, except share data)</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w:t>
            </w:r>
          </w:p>
        </w:tc>
        <w:tc>
          <w:tcPr>
            <w:tcW w:w="6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2016</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505,117</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100,139</w:t>
            </w:r>
          </w:p>
        </w:tc>
        <w:tc>
          <w:tcPr>
            <w:tcW w:w="18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$ 105,226</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8"/>
              </w:rPr>
              <w:t>(5,858)</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 (49,700)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3"/>
              </w:rPr>
              <w:t>$150,019</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23,635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23,635</w:t>
            </w:r>
          </w:p>
        </w:tc>
        <w:tc>
          <w:tcPr>
            <w:tcW w:w="0" w:type="dxa"/>
            <w:vAlign w:val="bottom"/>
          </w:tcPr>
          <w:p>
            <w:pPr>
              <w:spacing w:after="0"/>
              <w:rPr>
                <w:sz w:val="1"/>
                <w:szCs w:val="1"/>
                <w:color w:val="auto"/>
              </w:rPr>
            </w:pPr>
          </w:p>
        </w:tc>
      </w:tr>
      <w:tr>
        <w:trPr>
          <w:trHeight w:val="239"/>
        </w:trPr>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dividends:</w:t>
            </w: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180"/>
              <w:spacing w:after="0"/>
              <w:rPr>
                <w:sz w:val="20"/>
                <w:szCs w:val="20"/>
                <w:color w:val="auto"/>
              </w:rPr>
            </w:pPr>
            <w:r>
              <w:rPr>
                <w:rFonts w:ascii="Arial" w:cs="Arial" w:eastAsia="Arial" w:hAnsi="Arial"/>
                <w:sz w:val="16"/>
                <w:szCs w:val="16"/>
                <w:color w:val="auto"/>
              </w:rPr>
              <w:t>Common - $15.99 per</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180"/>
              <w:spacing w:after="0"/>
              <w:rPr>
                <w:sz w:val="20"/>
                <w:szCs w:val="20"/>
                <w:color w:val="auto"/>
              </w:rPr>
            </w:pPr>
            <w:r>
              <w:rPr>
                <w:rFonts w:ascii="Arial" w:cs="Arial" w:eastAsia="Arial" w:hAnsi="Arial"/>
                <w:sz w:val="16"/>
                <w:szCs w:val="16"/>
                <w:color w:val="auto"/>
              </w:rPr>
              <w:t>share</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(7,874)</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(7,874)</w:t>
            </w:r>
          </w:p>
        </w:tc>
        <w:tc>
          <w:tcPr>
            <w:tcW w:w="0" w:type="dxa"/>
            <w:vAlign w:val="bottom"/>
          </w:tcPr>
          <w:p>
            <w:pPr>
              <w:spacing w:after="0"/>
              <w:rPr>
                <w:sz w:val="1"/>
                <w:szCs w:val="1"/>
                <w:color w:val="auto"/>
              </w:rPr>
            </w:pPr>
          </w:p>
        </w:tc>
      </w:tr>
      <w:tr>
        <w:trPr>
          <w:trHeight w:val="239"/>
        </w:trPr>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6"/>
                <w:szCs w:val="16"/>
                <w:color w:val="auto"/>
              </w:rPr>
              <w:t>Earned ESOP shares</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398</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(1,074)</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6"/>
        </w:trPr>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change in value of</w:t>
            </w:r>
          </w:p>
        </w:tc>
        <w:tc>
          <w:tcPr>
            <w:tcW w:w="7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(6,347)</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(6,347)</w:t>
            </w:r>
          </w:p>
        </w:tc>
        <w:tc>
          <w:tcPr>
            <w:tcW w:w="0" w:type="dxa"/>
            <w:vAlign w:val="bottom"/>
          </w:tcPr>
          <w:p>
            <w:pPr>
              <w:spacing w:after="0"/>
              <w:rPr>
                <w:sz w:val="1"/>
                <w:szCs w:val="1"/>
                <w:color w:val="auto"/>
              </w:rPr>
            </w:pPr>
          </w:p>
        </w:tc>
      </w:tr>
      <w:tr>
        <w:trPr>
          <w:trHeight w:val="206"/>
        </w:trPr>
        <w:tc>
          <w:tcPr>
            <w:tcW w:w="2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ESOP shares</w:t>
            </w:r>
          </w:p>
        </w:tc>
        <w:tc>
          <w:tcPr>
            <w:tcW w:w="780" w:type="dxa"/>
            <w:vAlign w:val="bottom"/>
            <w:tcBorders>
              <w:right w:val="single" w:sz="8" w:color="CCEEFF"/>
            </w:tcBorders>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vMerge w:val="continue"/>
            <w:shd w:val="clear" w:color="auto" w:fill="CCEEFF"/>
          </w:tcPr>
          <w:p>
            <w:pPr>
              <w:spacing w:after="0"/>
              <w:rPr>
                <w:sz w:val="17"/>
                <w:szCs w:val="17"/>
                <w:color w:val="auto"/>
              </w:rPr>
            </w:pPr>
          </w:p>
        </w:tc>
        <w:tc>
          <w:tcPr>
            <w:tcW w:w="84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vMerge w:val="continue"/>
            <w:shd w:val="clear" w:color="auto" w:fill="CCEEFF"/>
          </w:tcPr>
          <w:p>
            <w:pPr>
              <w:spacing w:after="0"/>
              <w:rPr>
                <w:sz w:val="17"/>
                <w:szCs w:val="17"/>
                <w:color w:val="auto"/>
              </w:rPr>
            </w:pPr>
          </w:p>
        </w:tc>
        <w:tc>
          <w:tcPr>
            <w:tcW w:w="820" w:type="dxa"/>
            <w:vAlign w:val="bottom"/>
            <w:tcBorders>
              <w:right w:val="single" w:sz="8" w:color="CCEEFF"/>
            </w:tcBorders>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December 31,</w:t>
            </w: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2017</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505,117</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100,537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120,589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(5,858)</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(57,121)</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158,206</w:t>
            </w:r>
          </w:p>
        </w:tc>
        <w:tc>
          <w:tcPr>
            <w:tcW w:w="0" w:type="dxa"/>
            <w:vAlign w:val="bottom"/>
          </w:tcPr>
          <w:p>
            <w:pPr>
              <w:spacing w:after="0"/>
              <w:rPr>
                <w:sz w:val="1"/>
                <w:szCs w:val="1"/>
                <w:color w:val="auto"/>
              </w:rPr>
            </w:pPr>
          </w:p>
        </w:tc>
      </w:tr>
      <w:tr>
        <w:trPr>
          <w:trHeight w:val="239"/>
        </w:trPr>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29,290</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29,290</w:t>
            </w:r>
          </w:p>
        </w:tc>
        <w:tc>
          <w:tcPr>
            <w:tcW w:w="0" w:type="dxa"/>
            <w:vAlign w:val="bottom"/>
          </w:tcPr>
          <w:p>
            <w:pPr>
              <w:spacing w:after="0"/>
              <w:rPr>
                <w:sz w:val="1"/>
                <w:szCs w:val="1"/>
                <w:color w:val="auto"/>
              </w:rPr>
            </w:pPr>
          </w:p>
        </w:tc>
      </w:tr>
      <w:tr>
        <w:trPr>
          <w:trHeight w:val="220"/>
        </w:trPr>
        <w:tc>
          <w:tcPr>
            <w:tcW w:w="2020" w:type="dxa"/>
            <w:vAlign w:val="bottom"/>
          </w:tcPr>
          <w:p>
            <w:pPr>
              <w:spacing w:after="0"/>
              <w:rPr>
                <w:sz w:val="20"/>
                <w:szCs w:val="20"/>
                <w:color w:val="auto"/>
              </w:rPr>
            </w:pPr>
            <w:r>
              <w:rPr>
                <w:rFonts w:ascii="Arial" w:cs="Arial" w:eastAsia="Arial" w:hAnsi="Arial"/>
                <w:sz w:val="16"/>
                <w:szCs w:val="16"/>
                <w:color w:val="auto"/>
              </w:rPr>
              <w:t>Cash dividends: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 $61.02 per</w:t>
            </w: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(30,045)</w:t>
            </w:r>
          </w:p>
        </w:tc>
        <w:tc>
          <w:tcPr>
            <w:tcW w:w="1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(30,045)</w:t>
            </w:r>
          </w:p>
        </w:tc>
        <w:tc>
          <w:tcPr>
            <w:tcW w:w="0" w:type="dxa"/>
            <w:vAlign w:val="bottom"/>
          </w:tcPr>
          <w:p>
            <w:pPr>
              <w:spacing w:after="0"/>
              <w:rPr>
                <w:sz w:val="1"/>
                <w:szCs w:val="1"/>
                <w:color w:val="auto"/>
              </w:rPr>
            </w:pPr>
          </w:p>
        </w:tc>
      </w:tr>
      <w:tr>
        <w:trPr>
          <w:trHeight w:val="206"/>
        </w:trPr>
        <w:tc>
          <w:tcPr>
            <w:tcW w:w="2020" w:type="dxa"/>
            <w:vAlign w:val="bottom"/>
          </w:tcPr>
          <w:p>
            <w:pPr>
              <w:spacing w:after="0"/>
              <w:rPr>
                <w:sz w:val="20"/>
                <w:szCs w:val="20"/>
                <w:color w:val="auto"/>
              </w:rPr>
            </w:pPr>
            <w:r>
              <w:rPr>
                <w:rFonts w:ascii="Arial" w:cs="Arial" w:eastAsia="Arial" w:hAnsi="Arial"/>
                <w:sz w:val="16"/>
                <w:szCs w:val="16"/>
                <w:color w:val="auto"/>
                <w:w w:val="98"/>
              </w:rPr>
              <w:t>Other comprehensive (loss),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160"/>
              <w:spacing w:after="0"/>
              <w:rPr>
                <w:sz w:val="20"/>
                <w:szCs w:val="20"/>
                <w:color w:val="auto"/>
              </w:rPr>
            </w:pPr>
            <w:r>
              <w:rPr>
                <w:rFonts w:ascii="Arial" w:cs="Arial" w:eastAsia="Arial" w:hAnsi="Arial"/>
                <w:sz w:val="16"/>
                <w:szCs w:val="16"/>
                <w:color w:val="auto"/>
              </w:rPr>
              <w:t>(net of tax)</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(1,797)</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(1,797)</w:t>
            </w:r>
          </w:p>
        </w:tc>
        <w:tc>
          <w:tcPr>
            <w:tcW w:w="0" w:type="dxa"/>
            <w:vAlign w:val="bottom"/>
          </w:tcPr>
          <w:p>
            <w:pPr>
              <w:spacing w:after="0"/>
              <w:rPr>
                <w:sz w:val="1"/>
                <w:szCs w:val="1"/>
                <w:color w:val="auto"/>
              </w:rPr>
            </w:pPr>
          </w:p>
        </w:tc>
      </w:tr>
      <w:tr>
        <w:trPr>
          <w:trHeight w:val="216"/>
        </w:trPr>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change in value of</w:t>
            </w: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ESOP shares</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6"/>
                <w:szCs w:val="16"/>
                <w:color w:val="auto"/>
              </w:rPr>
              <w:t>Extinguish treasury stock</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(12,733)</w:t>
            </w:r>
          </w:p>
        </w:tc>
        <w:tc>
          <w:tcPr>
            <w:tcW w:w="2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(5,845)</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5,858</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w:t>
            </w:r>
          </w:p>
        </w:tc>
        <w:tc>
          <w:tcPr>
            <w:tcW w:w="7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492,384</w:t>
            </w:r>
          </w:p>
        </w:tc>
        <w:tc>
          <w:tcPr>
            <w:tcW w:w="20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94,692</w:t>
            </w:r>
          </w:p>
        </w:tc>
        <w:tc>
          <w:tcPr>
            <w:tcW w:w="18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w w:val="87"/>
              </w:rPr>
              <w:t>$ 119,834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(2,243)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93"/>
              </w:rPr>
              <w:t>$ (58,195)</w:t>
            </w: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u w:val="single" w:color="auto"/>
                <w:color w:val="auto"/>
                <w:w w:val="83"/>
              </w:rPr>
              <w:t>$</w:t>
            </w:r>
            <w:r>
              <w:rPr>
                <w:rFonts w:ascii="Arial" w:cs="Arial" w:eastAsia="Arial" w:hAnsi="Arial"/>
                <w:sz w:val="16"/>
                <w:szCs w:val="16"/>
                <w:color w:val="auto"/>
                <w:w w:val="83"/>
              </w:rPr>
              <w:t>154,580</w:t>
            </w:r>
          </w:p>
        </w:tc>
        <w:tc>
          <w:tcPr>
            <w:tcW w:w="0" w:type="dxa"/>
            <w:vAlign w:val="bottom"/>
          </w:tcPr>
          <w:p>
            <w:pPr>
              <w:spacing w:after="0"/>
              <w:rPr>
                <w:sz w:val="1"/>
                <w:szCs w:val="1"/>
                <w:color w:val="auto"/>
              </w:rPr>
            </w:pPr>
          </w:p>
        </w:tc>
      </w:tr>
      <w:tr>
        <w:trPr>
          <w:trHeight w:val="219"/>
        </w:trPr>
        <w:tc>
          <w:tcPr>
            <w:tcW w:w="2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2018</w:t>
            </w:r>
          </w:p>
        </w:tc>
        <w:tc>
          <w:tcPr>
            <w:tcW w:w="780" w:type="dxa"/>
            <w:vAlign w:val="bottom"/>
            <w:tcBorders>
              <w:right w:val="single" w:sz="8" w:color="CCEEFF"/>
            </w:tcBorders>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84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2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4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tcBorders>
              <w:right w:val="single" w:sz="8" w:color="CCEEFF"/>
            </w:tcBorders>
            <w:gridSpan w:val="2"/>
            <w:vMerge w:val="continue"/>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20" w:type="dxa"/>
            <w:vAlign w:val="bottom"/>
            <w:tcBorders>
              <w:top w:val="single" w:sz="8" w:color="CCEEFF"/>
              <w:right w:val="single" w:sz="8" w:color="auto"/>
            </w:tcBorders>
            <w:shd w:val="clear" w:color="auto" w:fill="CCEEFF"/>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640" w:type="dxa"/>
            <w:vAlign w:val="bottom"/>
            <w:tcBorders>
              <w:top w:val="single" w:sz="8" w:color="auto"/>
              <w:right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58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68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96"/>
        </w:trPr>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(In thousands except per share data)</w:t>
            </w:r>
          </w:p>
        </w:tc>
      </w:tr>
      <w:tr>
        <w:trPr>
          <w:trHeight w:val="243"/>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29,290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23,635</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800" w:type="dxa"/>
            <w:vAlign w:val="bottom"/>
          </w:tcPr>
          <w:p>
            <w:pPr>
              <w:ind w:left="36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6,901</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3,966</w:t>
            </w:r>
          </w:p>
        </w:tc>
      </w:tr>
      <w:tr>
        <w:trPr>
          <w:trHeight w:val="249"/>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foreclosed asset losses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r>
      <w:tr>
        <w:trPr>
          <w:trHeight w:val="237"/>
        </w:trPr>
        <w:tc>
          <w:tcPr>
            <w:tcW w:w="68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5,185</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5,284</w:t>
            </w:r>
          </w:p>
        </w:tc>
      </w:tr>
      <w:tr>
        <w:trPr>
          <w:trHeight w:val="249"/>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Accretion and amortization</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1,305</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w:t>
            </w:r>
          </w:p>
        </w:tc>
      </w:tr>
      <w:tr>
        <w:trPr>
          <w:trHeight w:val="237"/>
        </w:trPr>
        <w:tc>
          <w:tcPr>
            <w:tcW w:w="6800" w:type="dxa"/>
            <w:vAlign w:val="bottom"/>
          </w:tcPr>
          <w:p>
            <w:pPr>
              <w:ind w:left="360"/>
              <w:spacing w:after="0"/>
              <w:rPr>
                <w:sz w:val="20"/>
                <w:szCs w:val="20"/>
                <w:color w:val="auto"/>
              </w:rPr>
            </w:pPr>
            <w:r>
              <w:rPr>
                <w:rFonts w:ascii="Arial" w:cs="Arial" w:eastAsia="Arial" w:hAnsi="Arial"/>
                <w:sz w:val="18"/>
                <w:szCs w:val="18"/>
                <w:color w:val="auto"/>
              </w:rPr>
              <w:t>Other gains, net</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(788)</w:t>
            </w:r>
          </w:p>
        </w:tc>
        <w:tc>
          <w:tcPr>
            <w:tcW w:w="3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49"/>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gain on sales of loans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(19,703)</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(18,936)</w:t>
            </w:r>
          </w:p>
        </w:tc>
      </w:tr>
      <w:tr>
        <w:trPr>
          <w:trHeight w:val="237"/>
        </w:trPr>
        <w:tc>
          <w:tcPr>
            <w:tcW w:w="6800" w:type="dxa"/>
            <w:vAlign w:val="bottom"/>
          </w:tcPr>
          <w:p>
            <w:pPr>
              <w:ind w:left="360"/>
              <w:spacing w:after="0"/>
              <w:rPr>
                <w:sz w:val="20"/>
                <w:szCs w:val="20"/>
                <w:color w:val="auto"/>
              </w:rPr>
            </w:pPr>
            <w:r>
              <w:rPr>
                <w:rFonts w:ascii="Arial" w:cs="Arial" w:eastAsia="Arial" w:hAnsi="Arial"/>
                <w:sz w:val="18"/>
                <w:szCs w:val="18"/>
                <w:color w:val="auto"/>
              </w:rPr>
              <w:t>Proceeds from sales of loans held for sale</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555,325</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542,132</w:t>
            </w:r>
          </w:p>
        </w:tc>
      </w:tr>
      <w:tr>
        <w:trPr>
          <w:trHeight w:val="249"/>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Loans originated for sale</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(544,690)</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(526,728)</w:t>
            </w:r>
          </w:p>
        </w:tc>
      </w:tr>
      <w:tr>
        <w:trPr>
          <w:trHeight w:val="237"/>
        </w:trPr>
        <w:tc>
          <w:tcPr>
            <w:tcW w:w="6800" w:type="dxa"/>
            <w:vAlign w:val="bottom"/>
          </w:tcPr>
          <w:p>
            <w:pPr>
              <w:ind w:left="360"/>
              <w:spacing w:after="0"/>
              <w:rPr>
                <w:sz w:val="20"/>
                <w:szCs w:val="20"/>
                <w:color w:val="auto"/>
              </w:rPr>
            </w:pPr>
            <w:r>
              <w:rPr>
                <w:rFonts w:ascii="Arial" w:cs="Arial" w:eastAsia="Arial" w:hAnsi="Arial"/>
                <w:sz w:val="18"/>
                <w:szCs w:val="18"/>
                <w:color w:val="auto"/>
              </w:rPr>
              <w:t>Earned ESOP shares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r>
      <w:tr>
        <w:trPr>
          <w:trHeight w:val="249"/>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Earnings on bank-owned life insurance</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(1,332)</w:t>
            </w:r>
          </w:p>
        </w:tc>
      </w:tr>
      <w:tr>
        <w:trPr>
          <w:trHeight w:val="237"/>
        </w:trPr>
        <w:tc>
          <w:tcPr>
            <w:tcW w:w="6800" w:type="dxa"/>
            <w:vAlign w:val="bottom"/>
          </w:tcPr>
          <w:p>
            <w:pPr>
              <w:ind w:left="360"/>
              <w:spacing w:after="0"/>
              <w:rPr>
                <w:sz w:val="20"/>
                <w:szCs w:val="20"/>
                <w:color w:val="auto"/>
              </w:rPr>
            </w:pPr>
            <w:r>
              <w:rPr>
                <w:rFonts w:ascii="Arial" w:cs="Arial" w:eastAsia="Arial" w:hAnsi="Arial"/>
                <w:sz w:val="18"/>
                <w:szCs w:val="18"/>
                <w:color w:val="auto"/>
              </w:rPr>
              <w:t>Net change in:</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8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Accrued interest receivable and other assets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(8,187)</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(2,044)</w:t>
            </w:r>
          </w:p>
        </w:tc>
      </w:tr>
      <w:tr>
        <w:trPr>
          <w:trHeight w:val="229"/>
        </w:trPr>
        <w:tc>
          <w:tcPr>
            <w:tcW w:w="6800" w:type="dxa"/>
            <w:vAlign w:val="bottom"/>
          </w:tcPr>
          <w:p>
            <w:pPr>
              <w:ind w:left="54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5,162</w:t>
            </w:r>
          </w:p>
        </w:tc>
      </w:tr>
      <w:tr>
        <w:trPr>
          <w:trHeight w:val="27"/>
        </w:trPr>
        <w:tc>
          <w:tcPr>
            <w:tcW w:w="68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8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from operating activities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18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35,324</w:t>
            </w:r>
          </w:p>
        </w:tc>
      </w:tr>
      <w:tr>
        <w:trPr>
          <w:trHeight w:val="237"/>
        </w:trPr>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Activity in securities available for sale:</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80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(539,091)</w:t>
            </w:r>
          </w:p>
        </w:tc>
        <w:tc>
          <w:tcPr>
            <w:tcW w:w="3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(328,160)</w:t>
            </w:r>
          </w:p>
        </w:tc>
      </w:tr>
      <w:tr>
        <w:trPr>
          <w:trHeight w:val="249"/>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102,332</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64,767</w:t>
            </w:r>
          </w:p>
        </w:tc>
      </w:tr>
      <w:tr>
        <w:trPr>
          <w:trHeight w:val="237"/>
        </w:trPr>
        <w:tc>
          <w:tcPr>
            <w:tcW w:w="6800" w:type="dxa"/>
            <w:vAlign w:val="bottom"/>
          </w:tcPr>
          <w:p>
            <w:pPr>
              <w:ind w:left="360"/>
              <w:spacing w:after="0"/>
              <w:rPr>
                <w:sz w:val="20"/>
                <w:szCs w:val="20"/>
                <w:color w:val="auto"/>
              </w:rPr>
            </w:pPr>
            <w:r>
              <w:rPr>
                <w:rFonts w:ascii="Arial" w:cs="Arial" w:eastAsia="Arial" w:hAnsi="Arial"/>
                <w:sz w:val="18"/>
                <w:szCs w:val="18"/>
                <w:color w:val="auto"/>
              </w:rPr>
              <w:t>Maturities, prepayments, and calls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364,909</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287,788</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Activity in securities held to maturity:</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800" w:type="dxa"/>
            <w:vAlign w:val="bottom"/>
          </w:tcPr>
          <w:p>
            <w:pPr>
              <w:ind w:left="360"/>
              <w:spacing w:after="0"/>
              <w:rPr>
                <w:sz w:val="20"/>
                <w:szCs w:val="20"/>
                <w:color w:val="auto"/>
              </w:rPr>
            </w:pPr>
            <w:r>
              <w:rPr>
                <w:rFonts w:ascii="Arial" w:cs="Arial" w:eastAsia="Arial" w:hAnsi="Arial"/>
                <w:sz w:val="18"/>
                <w:szCs w:val="18"/>
                <w:color w:val="auto"/>
              </w:rPr>
              <w:t>Maturities, prepayments, and calls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14,675</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12,025</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 originations and principal collections, net</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(126,732)</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(180,322)</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Purchases of premises and equipment, net</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(3,134)</w:t>
            </w:r>
          </w:p>
        </w:tc>
        <w:tc>
          <w:tcPr>
            <w:tcW w:w="3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(9,024)</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 of premises and equipment</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r>
      <w:tr>
        <w:trPr>
          <w:trHeight w:val="229"/>
        </w:trPr>
        <w:tc>
          <w:tcPr>
            <w:tcW w:w="6800" w:type="dxa"/>
            <w:vAlign w:val="bottom"/>
          </w:tcPr>
          <w:p>
            <w:pPr>
              <w:ind w:left="180"/>
              <w:spacing w:after="0"/>
              <w:rPr>
                <w:sz w:val="20"/>
                <w:szCs w:val="20"/>
                <w:color w:val="auto"/>
              </w:rPr>
            </w:pPr>
            <w:r>
              <w:rPr>
                <w:rFonts w:ascii="Arial" w:cs="Arial" w:eastAsia="Arial" w:hAnsi="Arial"/>
                <w:sz w:val="18"/>
                <w:szCs w:val="18"/>
                <w:color w:val="auto"/>
              </w:rPr>
              <w:t>Proceeds from sales of foreclosed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4,674</w:t>
            </w:r>
          </w:p>
        </w:tc>
      </w:tr>
      <w:tr>
        <w:trPr>
          <w:trHeight w:val="27"/>
        </w:trPr>
        <w:tc>
          <w:tcPr>
            <w:tcW w:w="68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8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from investing activities</w:t>
            </w:r>
          </w:p>
        </w:tc>
        <w:tc>
          <w:tcPr>
            <w:tcW w:w="16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(184,092)</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(148,079)</w:t>
            </w:r>
          </w:p>
        </w:tc>
      </w:tr>
      <w:tr>
        <w:trPr>
          <w:trHeight w:val="237"/>
        </w:trPr>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deposits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123,373</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63,158</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Net change in short-term borrowings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3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(10,690)</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notes payable and other borrowings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13,115</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Payments made on notes payable and other borrowings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r>
      <w:tr>
        <w:trPr>
          <w:trHeight w:val="23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w:t>
            </w:r>
          </w:p>
        </w:tc>
        <w:tc>
          <w:tcPr>
            <w:tcW w:w="16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(30,045)</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(7,874)</w:t>
            </w:r>
          </w:p>
        </w:tc>
      </w:tr>
      <w:tr>
        <w:trPr>
          <w:trHeight w:val="27"/>
        </w:trPr>
        <w:tc>
          <w:tcPr>
            <w:tcW w:w="68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6800" w:type="dxa"/>
            <w:vAlign w:val="bottom"/>
          </w:tcPr>
          <w:p>
            <w:pPr>
              <w:ind w:left="720"/>
              <w:spacing w:after="0"/>
              <w:rPr>
                <w:sz w:val="20"/>
                <w:szCs w:val="20"/>
                <w:color w:val="auto"/>
              </w:rPr>
            </w:pPr>
            <w:r>
              <w:rPr>
                <w:rFonts w:ascii="Arial" w:cs="Arial" w:eastAsia="Arial" w:hAnsi="Arial"/>
                <w:sz w:val="18"/>
                <w:szCs w:val="18"/>
                <w:color w:val="auto"/>
              </w:rPr>
              <w:t>Net cash from financing activities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108,598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43,918</w:t>
            </w:r>
          </w:p>
        </w:tc>
      </w:tr>
      <w:tr>
        <w:trPr>
          <w:trHeight w:val="27"/>
        </w:trPr>
        <w:tc>
          <w:tcPr>
            <w:tcW w:w="68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(48,574)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(68,837)</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294,563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363,400</w:t>
            </w:r>
          </w:p>
        </w:tc>
      </w:tr>
      <w:tr>
        <w:trPr>
          <w:trHeight w:val="27"/>
        </w:trPr>
        <w:tc>
          <w:tcPr>
            <w:tcW w:w="68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8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294,563</w:t>
            </w:r>
          </w:p>
        </w:tc>
      </w:tr>
      <w:tr>
        <w:trPr>
          <w:trHeight w:val="237"/>
        </w:trPr>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 on deposits and borrowed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22,024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15,892</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2,729</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49"/>
        </w:trPr>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Loans transferred to foreclosed assets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6,473</w:t>
            </w:r>
          </w:p>
        </w:tc>
        <w:tc>
          <w:tcPr>
            <w:tcW w:w="3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1,954</w:t>
            </w:r>
          </w:p>
        </w:tc>
      </w:tr>
      <w:tr>
        <w:trPr>
          <w:trHeight w:val="249"/>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Financed foreclosed asset sales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4,019</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w:t>
      </w:r>
    </w:p>
    <w:p>
      <w:pPr>
        <w:spacing w:after="0" w:line="88" w:lineRule="exact"/>
        <w:rPr>
          <w:sz w:val="20"/>
          <w:szCs w:val="20"/>
          <w:color w:val="auto"/>
        </w:rPr>
      </w:pPr>
    </w:p>
    <w:p>
      <w:pPr>
        <w:ind w:left="360" w:hanging="355"/>
        <w:spacing w:after="0"/>
        <w:tabs>
          <w:tab w:leader="none" w:pos="3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u w:val="single" w:color="auto"/>
          <w:color w:val="auto"/>
        </w:rPr>
        <w:t>Nature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 South Plains Financial, Inc. (SPFI) is a Texas bank holding company that conducts its principal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its subsidiaries from offices located throughout Texas and Eastern New Mexico. Principal activities include commercial and retail banking, along with insurance, investment, trust, and mortgage services. Subsidiaries of SPFI follow:</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Wholly Owned, Consolidated Subsidiaries:</w:t>
            </w:r>
          </w:p>
        </w:tc>
        <w:tc>
          <w:tcPr>
            <w:tcW w:w="4980" w:type="dxa"/>
            <w:vAlign w:val="bottom"/>
            <w:shd w:val="clear" w:color="auto" w:fill="CCEEFF"/>
          </w:tcPr>
          <w:p>
            <w:pPr>
              <w:spacing w:after="0"/>
              <w:rPr>
                <w:sz w:val="21"/>
                <w:szCs w:val="2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City Bank</w:t>
            </w:r>
          </w:p>
        </w:tc>
        <w:tc>
          <w:tcPr>
            <w:tcW w:w="4980" w:type="dxa"/>
            <w:vAlign w:val="bottom"/>
          </w:tcPr>
          <w:p>
            <w:pPr>
              <w:ind w:left="620"/>
              <w:spacing w:after="0"/>
              <w:rPr>
                <w:sz w:val="20"/>
                <w:szCs w:val="20"/>
                <w:color w:val="auto"/>
              </w:rPr>
            </w:pPr>
            <w:r>
              <w:rPr>
                <w:rFonts w:ascii="Arial" w:cs="Arial" w:eastAsia="Arial" w:hAnsi="Arial"/>
                <w:sz w:val="18"/>
                <w:szCs w:val="18"/>
                <w:color w:val="auto"/>
              </w:rPr>
              <w:t>Bank subsidiary</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Windmark Insurance Agency, Inc.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Ruidoso Retail, Inc.</w:t>
            </w:r>
          </w:p>
        </w:tc>
        <w:tc>
          <w:tcPr>
            <w:tcW w:w="4980" w:type="dxa"/>
            <w:vAlign w:val="bottom"/>
          </w:tcPr>
          <w:p>
            <w:pPr>
              <w:ind w:left="620"/>
              <w:spacing w:after="0"/>
              <w:rPr>
                <w:sz w:val="20"/>
                <w:szCs w:val="20"/>
                <w:color w:val="auto"/>
              </w:rPr>
            </w:pPr>
            <w:r>
              <w:rPr>
                <w:rFonts w:ascii="Arial" w:cs="Arial" w:eastAsia="Arial" w:hAnsi="Arial"/>
                <w:sz w:val="18"/>
                <w:szCs w:val="18"/>
                <w:color w:val="auto"/>
              </w:rPr>
              <w:t>Non-bank subsidiary</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 Provence, LLC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CBT Brushy Creek, LLC</w:t>
            </w:r>
          </w:p>
        </w:tc>
        <w:tc>
          <w:tcPr>
            <w:tcW w:w="4980" w:type="dxa"/>
            <w:vAlign w:val="bottom"/>
          </w:tcPr>
          <w:p>
            <w:pPr>
              <w:ind w:left="620"/>
              <w:spacing w:after="0"/>
              <w:rPr>
                <w:sz w:val="20"/>
                <w:szCs w:val="20"/>
                <w:color w:val="auto"/>
              </w:rPr>
            </w:pPr>
            <w:r>
              <w:rPr>
                <w:rFonts w:ascii="Arial" w:cs="Arial" w:eastAsia="Arial" w:hAnsi="Arial"/>
                <w:sz w:val="18"/>
                <w:szCs w:val="18"/>
                <w:color w:val="auto"/>
              </w:rPr>
              <w:t>Non-bank subsidiary</w:t>
            </w: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CBT Properties, LLC</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subsidiary</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Wholly Owned, Equity Method Subsidiaries:</w:t>
            </w:r>
          </w:p>
        </w:tc>
        <w:tc>
          <w:tcPr>
            <w:tcW w:w="4980" w:type="dxa"/>
            <w:vAlign w:val="bottom"/>
          </w:tcPr>
          <w:p>
            <w:pPr>
              <w:spacing w:after="0"/>
              <w:rPr>
                <w:sz w:val="20"/>
                <w:szCs w:val="20"/>
                <w:color w:val="auto"/>
              </w:rPr>
            </w:pPr>
          </w:p>
        </w:tc>
      </w:tr>
      <w:tr>
        <w:trPr>
          <w:trHeight w:val="24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South Plains Financial Capital Trusts (SPFCT) III-V</w:t>
            </w:r>
          </w:p>
        </w:tc>
        <w:tc>
          <w:tcPr>
            <w:tcW w:w="4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Non-bank subsidiaries</w:t>
            </w:r>
          </w:p>
        </w:tc>
      </w:tr>
    </w:tbl>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u w:val="single" w:color="auto"/>
          <w:color w:val="auto"/>
        </w:rPr>
        <w:t>Basis of Presentation and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consolidated financial statements (CFS) include the accounts of SPFI and its wholly</w:t>
      </w:r>
      <w:r>
        <w:rPr>
          <w:rFonts w:ascii="Arial" w:cs="Arial" w:eastAsia="Arial" w:hAnsi="Arial"/>
          <w:sz w:val="18"/>
          <w:szCs w:val="18"/>
          <w:i w:val="1"/>
          <w:iCs w:val="1"/>
          <w:color w:val="auto"/>
        </w:rPr>
        <w:t xml:space="preserve"> </w:t>
      </w:r>
      <w:r>
        <w:rPr>
          <w:rFonts w:ascii="Arial" w:cs="Arial" w:eastAsia="Arial" w:hAnsi="Arial"/>
          <w:sz w:val="18"/>
          <w:szCs w:val="18"/>
          <w:color w:val="auto"/>
        </w:rPr>
        <w:t>owned consolidated subsidiaries (collectively referred to as the “Company”) identified above. All significant intercompany balances and transactions have been eliminated in consolidation.</w:t>
      </w:r>
    </w:p>
    <w:p>
      <w:pPr>
        <w:spacing w:after="0" w:line="7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Company’s CFS are prepared and presented in accordance with accounting principles generally accepted in the United States of America (GAAP).</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u w:val="single" w:color="auto"/>
          <w:color w:val="auto"/>
        </w:rPr>
        <w:t>Subsequent Events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evaluated subsequent events for potential recognition and/or disclosure through March 1, 2019,</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the CFS were available to be issued.</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Use of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 The preparation of financial statements in conformity with GAAP requires management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valuation of foreclosed assets and fair values of financial instruments can also involve significant management estimates.</w:t>
      </w:r>
    </w:p>
    <w:p>
      <w:pPr>
        <w:spacing w:after="0" w:line="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u w:val="single" w:color="auto"/>
          <w:color w:val="auto"/>
        </w:rPr>
        <w:t>Concentration of 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bank subsidiary is primarily involved in real estate, commercial, agricultural, and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lending activities with customers 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 Comprehensive income is comprised of net income or loss and other comprehensive income or loss (OCI).</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examples of OCI items are unrealized holding gains and losses on securities available for sale, and subsequent decreases (if not an other-than-temporary impairment) or increases in the fair value of securities available for sale previously written down as impaired.</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includes all cash on hand, balances due from other banks, and Federal funds sold,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original maturities within three months, as cash and cash equivalents in the accompanying CFS. Federal regulations require the bank subsidiary to set aside specified amounts of cash as reserves against transaction and time deposits, which fluctuate daily. These reserves may be held as cash on hand or on deposit with a district Federal Reserve Bank. Management believes that the bank subsidiary complies with these requirements.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 Investment securities may be classified into trading, held to maturity (HTM) or available for sale (AFS) portfolios.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that are held principally for resale in the near term are classified as trading.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39"/>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Securities that management has the ability and positive intent to hold to maturity are classified as HTM and recorded at amortized cost. Securities not classified as trading or HTM are AFS and are reported at fair value with unrealized gains and losses excluded from earnings, but included in the determination of OCI.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6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u w:val="single" w:color="auto"/>
          <w:color w:val="auto"/>
        </w:rPr>
        <w:t>Nonmarketable Equity Securities</w:t>
      </w:r>
      <w:r>
        <w:rPr>
          <w:rFonts w:ascii="Arial" w:cs="Arial" w:eastAsia="Arial" w:hAnsi="Arial"/>
          <w:sz w:val="18"/>
          <w:szCs w:val="18"/>
          <w:i w:val="1"/>
          <w:iCs w:val="1"/>
          <w:color w:val="auto"/>
        </w:rPr>
        <w:t xml:space="preserve"> – </w:t>
      </w:r>
      <w:r>
        <w:rPr>
          <w:rFonts w:ascii="Arial" w:cs="Arial" w:eastAsia="Arial" w:hAnsi="Arial"/>
          <w:sz w:val="18"/>
          <w:szCs w:val="18"/>
          <w:color w:val="auto"/>
        </w:rPr>
        <w:t>Securities with limited marketability, such as stock in the Federal Home Loan Bank of Dallas</w:t>
      </w:r>
      <w:r>
        <w:rPr>
          <w:rFonts w:ascii="Arial" w:cs="Arial" w:eastAsia="Arial" w:hAnsi="Arial"/>
          <w:sz w:val="18"/>
          <w:szCs w:val="18"/>
          <w:i w:val="1"/>
          <w:iCs w:val="1"/>
          <w:color w:val="auto"/>
        </w:rPr>
        <w:t xml:space="preserve"> </w:t>
      </w:r>
      <w:r>
        <w:rPr>
          <w:rFonts w:ascii="Arial" w:cs="Arial" w:eastAsia="Arial" w:hAnsi="Arial"/>
          <w:sz w:val="18"/>
          <w:szCs w:val="18"/>
          <w:color w:val="auto"/>
        </w:rPr>
        <w:t>(FHLB), are carried at cost and are reported in other assets. Windmark Insurance Agency, Inc. owns 50% of WBSPF, LLC and accounts for its ownership using the equity method of accounting.</w:t>
      </w:r>
    </w:p>
    <w:p>
      <w:pPr>
        <w:spacing w:after="0" w:line="76"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i w:val="1"/>
          <w:iCs w:val="1"/>
          <w:u w:val="single" w:color="auto"/>
          <w:color w:val="auto"/>
        </w:rPr>
        <w:t>Loans</w:t>
      </w:r>
      <w:r>
        <w:rPr>
          <w:rFonts w:ascii="Arial" w:cs="Arial" w:eastAsia="Arial" w:hAnsi="Arial"/>
          <w:sz w:val="16"/>
          <w:szCs w:val="16"/>
          <w:i w:val="1"/>
          <w:iCs w:val="1"/>
          <w:color w:val="auto"/>
        </w:rPr>
        <w:t xml:space="preserve"> </w:t>
      </w:r>
      <w:r>
        <w:rPr>
          <w:rFonts w:ascii="Arial" w:cs="Arial" w:eastAsia="Arial" w:hAnsi="Arial"/>
          <w:sz w:val="16"/>
          <w:szCs w:val="16"/>
          <w:color w:val="auto"/>
        </w:rPr>
        <w:t>– Loans that management has the intent and ability to hold for the foreseeable future or until maturity or payoff are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5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68"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i w:val="1"/>
          <w:iCs w:val="1"/>
          <w:u w:val="single" w:color="auto"/>
          <w:color w:val="auto"/>
        </w:rPr>
        <w:t>Allowance for Loan Losses</w:t>
      </w:r>
      <w:r>
        <w:rPr>
          <w:rFonts w:ascii="Arial" w:cs="Arial" w:eastAsia="Arial" w:hAnsi="Arial"/>
          <w:sz w:val="16"/>
          <w:szCs w:val="16"/>
          <w:i w:val="1"/>
          <w:iCs w:val="1"/>
          <w:color w:val="auto"/>
        </w:rPr>
        <w:t xml:space="preserve"> </w:t>
      </w:r>
      <w:r>
        <w:rPr>
          <w:rFonts w:ascii="Arial" w:cs="Arial" w:eastAsia="Arial" w:hAnsi="Arial"/>
          <w:sz w:val="16"/>
          <w:szCs w:val="16"/>
          <w:color w:val="auto"/>
        </w:rPr>
        <w:t>– The allowance for loan losses is established as losses are estimated to have occurred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allowance for loan losses is evaluated on a quarterly basis by management and is based upon management’s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changes in the economic environment and market conditions. In connection with the determination of the estimated losses on loans, management obtains independent appraisals for significant collateral. The bank subsidiary’s loans are generally secured by specific items of collateral including real property, crops, livestock, consumer assets, and other business assets.</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may modify its loan agreement with a borrower. The modification will be considered a troubled debt restructuring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Servicing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 When mortgage loans are sold with servicing retained, servicing rights are initially recorded at fair value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on the CFS. The fair values of servicing rights are subject to significant fluctuations as a result of changes in estimated and actual prepayment speeds and default rates and losses. Servicing rights were $1.3 million and $0 at December 31, 2018 and 2017,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39"/>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Servicing fee income, which is reported on the CFS as other noninterest income, is recorded for fees earned for servicing loans. The fees are based on a contractual percentage of the outstanding principal; or a fixed amount per loan as recorded when income is earned. Servicing income was immaterial for the years ended December 31, 2018 and 2017.</w:t>
      </w:r>
    </w:p>
    <w:p>
      <w:pPr>
        <w:spacing w:after="0" w:line="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u w:val="single" w:color="auto"/>
          <w:color w:val="auto"/>
        </w:rPr>
        <w:t>Transfers of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Transfers of financial assets are accounted for as sales, when control over the assets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relinquished. Control over transferred assets is deemed to be surrendered when the assets have been isolated from the Company, the transferee obtains the right to pledge or exchange the transferred assets, and the Company does not maintain effective control over the transferred assets through an agreement to repurchase them before maturity.</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Loans Held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 Loans held for sale are comprised of residential mortgage loans. Loans that are originated for best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8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u w:val="single" w:color="auto"/>
          <w:color w:val="auto"/>
        </w:rPr>
        <w:t>Premises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 Land is carried at cost. Buildings and equipment are carried at cost, less accumulated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on the straight-line method. Buildings and improvements are depreciated on a useful life up to 40 years. Furniture and equipment are depreciated on a useful life between 3 to 10 years.</w:t>
      </w:r>
    </w:p>
    <w:p>
      <w:pPr>
        <w:spacing w:after="0" w:line="76"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i w:val="1"/>
          <w:iCs w:val="1"/>
          <w:u w:val="single" w:color="auto"/>
          <w:color w:val="auto"/>
        </w:rPr>
        <w:t>Foreclosed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Assets acquired through, or in lieu of, loan foreclosure or repossession are held for sale and are initially</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at fair value less estimated 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other noninterest expense.</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u w:val="single" w:color="auto"/>
          <w:color w:val="auto"/>
        </w:rPr>
        <w:t>Bank-Owned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 The bank subsidiary has purchased life insurance policies on various officers and also is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beneficiary. These policies are issued by third party insurance companies. Assets are carried at the cash surrender value and changes in the cash surrender values are recognized in other noninterest income in the accompanying CFS.</w:t>
      </w:r>
    </w:p>
    <w:p>
      <w:pPr>
        <w:spacing w:after="0" w:line="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u w:val="single" w:color="auto"/>
          <w:color w:val="auto"/>
        </w:rPr>
        <w:t>Mortgage Banking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 Commitments to fund mortgage loans (interest rate locks) to be sold into the secondary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commitments for 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into.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on the loan is locked.</w:t>
      </w:r>
    </w:p>
    <w:p>
      <w:pPr>
        <w:spacing w:after="0" w:line="5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order to hedge the change in interest rates resulting from all other mortgage commitments to funds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on the loan is locked. Changes in the fair values of these derivatives are included in net gain on sales of loans in the CFS.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20"/>
          </w:cols>
          <w:pgMar w:left="1160" w:top="279" w:right="121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u w:val="single" w:color="auto"/>
          <w:color w:val="auto"/>
        </w:rPr>
        <w:t>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 At the inception of a derivative contract, the Company designates the derivative as one of three types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7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5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u w:val="single" w:color="auto"/>
          <w:color w:val="auto"/>
        </w:rPr>
        <w:t>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 Advertising costs are recognized when incurred. Advertising costs during 2018 and 2017 were approximately $2.5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$2.6 million, respectively.</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 Effective May 31, 2018, the Company revoked its election to be taxed as an S Corporation, and became taxed as a C</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under the provisions of Sections 301 to 385 of the Code, and established a deferred tax asset of $6.7 million to reflect the S corporation revocation. Thus, net income is now subject to U.S. federal income tax and the Company bears the liability for those taxes. Subsequent to the revocation, the Company distributed $25.0 million to shareholders from its accumulated adjustments account to take advantage of special tax treatment.</w:t>
      </w:r>
    </w:p>
    <w:p>
      <w:pPr>
        <w:spacing w:after="0" w:line="8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2006, the State of Texas modified the franchise tax structure. The change was effective for franchise tax reports filed on or after January 1, 2008. The modified tax is an income tax for financial reporting purposes under GAAP and the Company and its subsidiaries are subject to the modified tax as a combined group.</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Income tax expense is the total of the current year income tax due or refundable and the change in deferred tax assets and liabilities (excluding deferred tax assets and liabilities related to components of other comprehensive income). Deferred tax assets and liabilities are the expected future tax amounts for the temporary differences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39"/>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between carrying amounts and tax bases of assets and liabilities, computed using enacted tax rates. A valuation allowance, if needed, reduces deferred tax assets to the expected amount most likely to be realized. Realization of deferred tax assets is dependent upon the generation of a sufficient level of future taxable income. Although realization is not assured, management believes it is more likely than not that all of the deferred tax assets will be realized. Interest and/or penalties related to income taxes are reported as a component of income tax expense.</w:t>
      </w:r>
    </w:p>
    <w:p>
      <w:pPr>
        <w:spacing w:after="0" w:line="8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7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i w:val="1"/>
          <w:iCs w:val="1"/>
          <w:u w:val="single" w:color="auto"/>
          <w:color w:val="auto"/>
        </w:rPr>
        <w:t>Earnings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 Basic earnings per share is net income divided by the weighted average number of common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during the period. ESOP shares are considered outstanding for this calculation unless unearned. Diluted earnings per share includes the dilutive effect of unearned ESOP shares. There are no other dilutive instruments at December 31, 2018 and 2017.</w:t>
      </w:r>
    </w:p>
    <w:p>
      <w:pPr>
        <w:spacing w:after="0" w:line="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Unaudited Pro Forma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As a result of the revocation of the S corporation election, the net income and earnings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data presented in the CFS are not comparable with historical financial statements or future years, which will be calculated by including a full year of federal income tax expense. As a result, the Company is disclosing pro forma net income, income tax expense, and earnings per share as if the conversion to a C corporation had occurred at the beginning of each period. The federal tax rate used is 21% and 35% for 2018 and 2017, respectively.</w:t>
      </w:r>
    </w:p>
    <w:p>
      <w:pPr>
        <w:spacing w:after="0" w:line="8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i w:val="1"/>
          <w:iCs w:val="1"/>
          <w:u w:val="single" w:color="auto"/>
          <w:color w:val="auto"/>
        </w:rPr>
        <w:t>Fair Values of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 Fair values of financial instruments are estimated using relevant market information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assumptions, as more fully described in Note 15. Fair value estimates involve uncertainties and matters of significant judgment. Changes in assumptions or in market conditions could significantly affect estimates.</w:t>
      </w:r>
    </w:p>
    <w:p>
      <w:pPr>
        <w:spacing w:after="0" w:line="5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u w:val="single" w:color="auto"/>
          <w:color w:val="auto"/>
        </w:rPr>
        <w:t>Trust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Custodial assets of City Bank’s trust department, other than cash on deposit at City Bank, if any, are not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accompanying CFS because they are not assets of City Bank. Trust fees are recognized on the accrual basis.</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u w:val="single" w:color="auto"/>
          <w:color w:val="auto"/>
        </w:rPr>
        <w:t>Segment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two reportable segments: banking and insurance. The accounting policies of the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same as those described in the summary of significant accounting policies. The Company’s reportable segments are strategic business units that offer different products and services. Operations are managed and financial performance is evaluated on a Company-wide basis.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 Certain amounts in the 2017 CFS have been reclassified to conform to the 2018 presentation.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u w:val="single" w:color="auto"/>
          <w:color w:val="auto"/>
        </w:rPr>
        <w:t>Change in Accounting Principle</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Company’s ESOP includes a “put option” for shares of the Company’s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from the ESOP. Shares are distributed from the ESOP primarily to separated vested participants and certain eligible participants who elect to diversify their account balances. Since the Company’s common stock is not currently traded on an established securities market, if the owners of distributed shares desire to sell their shares, the Company is required to purchase the shares at fair value during two put option periods following the distribution of the shares from the ESOP. The distributed shares subject to the put option and the shares held by the ESOP (ESOP shares) were previously recorded in permanent equity. Due to the Company’s obligation under the put option, the distributed shares and ESOP shares should be classified as temporary equity in the mezzanine section of the CFS. This change in principle resulted in the December 31, 2017 permanent equity decreasing $57 million and temporary equity increasing by $57 million from amounts previously reported.</w:t>
      </w:r>
    </w:p>
    <w:p>
      <w:pPr>
        <w:spacing w:after="0" w:line="5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Accounting Standards Board (FASB) Accounting Standards Codification (ASC) </w:t>
      </w:r>
      <w:r>
        <w:rPr>
          <w:rFonts w:ascii="Arial" w:cs="Arial" w:eastAsia="Arial" w:hAnsi="Arial"/>
          <w:sz w:val="18"/>
          <w:szCs w:val="18"/>
          <w:color w:val="auto"/>
        </w:rPr>
        <w:t>constitutes U.S. GAAP for nongovernmental entities. Updates to ASC are prescribed in Accounting Standards Updates (ASU), which are not authoritative until incorporated into ASC.</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(Continued)</w:t>
      </w:r>
    </w:p>
    <w:p>
      <w:pPr>
        <w:spacing w:after="0" w:line="6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ASU 2014-09 Revenue from Contracts with Customers (Topic 606) </w:t>
      </w:r>
      <w:r>
        <w:rPr>
          <w:rFonts w:ascii="Arial" w:cs="Arial" w:eastAsia="Arial" w:hAnsi="Arial"/>
          <w:sz w:val="16"/>
          <w:szCs w:val="16"/>
          <w:color w:val="auto"/>
        </w:rPr>
        <w:t>and</w:t>
      </w:r>
      <w:r>
        <w:rPr>
          <w:rFonts w:ascii="Arial" w:cs="Arial" w:eastAsia="Arial" w:hAnsi="Arial"/>
          <w:sz w:val="16"/>
          <w:szCs w:val="16"/>
          <w:i w:val="1"/>
          <w:iCs w:val="1"/>
          <w:color w:val="auto"/>
        </w:rPr>
        <w:t xml:space="preserve"> ASU 2016-14 - Revenue from Contracts with Customers (Topic 606) - Deferral of the Effective Date. </w:t>
      </w:r>
      <w:r>
        <w:rPr>
          <w:rFonts w:ascii="Arial" w:cs="Arial" w:eastAsia="Arial" w:hAnsi="Arial"/>
          <w:sz w:val="16"/>
          <w:szCs w:val="16"/>
          <w:color w:val="auto"/>
        </w:rPr>
        <w:t>The FASB amended existing guidance related to revenue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This amendment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amendment specifies the accounting for some costs to obtain or fulfill a contract with a customer. These amendments are effective beginning January 1, 2019. The adoption of this standard is not expected to have a material impact on the Company’s operating results or financial condition as a majority of the Company’s revenue streams are not within the scope of Topic 606 and the recognition on those streams within the scope is not expected to significantly change.</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ASU 2016-01 Financial Instruments - Overall (Subtopic 825-10): Recognition and Measurement of Financial Assets and Financial Liabilities</w:t>
      </w:r>
      <w:r>
        <w:rPr>
          <w:rFonts w:ascii="Arial" w:cs="Arial" w:eastAsia="Arial" w:hAnsi="Arial"/>
          <w:sz w:val="18"/>
          <w:szCs w:val="18"/>
          <w:color w:val="auto"/>
        </w:rPr>
        <w:t>. ASU 2016-01, among other things, eliminates the requirement to disclose the fair value of financial instruments at</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cost for entities that are not public business entities. We adopted the new standard effective January 1, 2018, the effective date of the guidance. Accordingly, the Company’s fair value of financial instruments at amortized cost are no longer disclosed in our consolidated financial statements. The adoption of this guidance did not have any other significant impact on our consolidated financial statements.</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ASU 2016-02 Leases (Topic 842). </w:t>
      </w:r>
      <w:r>
        <w:rPr>
          <w:rFonts w:ascii="Arial" w:cs="Arial" w:eastAsia="Arial" w:hAnsi="Arial"/>
          <w:sz w:val="18"/>
          <w:szCs w:val="18"/>
          <w:color w:val="auto"/>
        </w:rPr>
        <w:t>The FASB amended existing guidance that requires that lessees recognize lease assets and lease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on the balance sheet and disclose key information about leasing arrangements. The Company is in the process of determining the effect of the standard on its consolidated operating results and financial condition. These amendments are effective beginning January 1, 2020.</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ASU 2016-13 Financial Instruments - Credit Losses (Topic 326). </w:t>
      </w:r>
      <w:r>
        <w:rPr>
          <w:rFonts w:ascii="Arial" w:cs="Arial" w:eastAsia="Arial" w:hAnsi="Arial"/>
          <w:sz w:val="16"/>
          <w:szCs w:val="16"/>
          <w:color w:val="auto"/>
        </w:rPr>
        <w:t>The FASB issued guidance to replace the incurred loss model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2021,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5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ASU 2016-15 Statement of Cash Flows (Topic 320). </w:t>
      </w:r>
      <w:r>
        <w:rPr>
          <w:rFonts w:ascii="Arial" w:cs="Arial" w:eastAsia="Arial" w:hAnsi="Arial"/>
          <w:sz w:val="18"/>
          <w:szCs w:val="18"/>
          <w:color w:val="auto"/>
        </w:rPr>
        <w:t>The FASB issued guidance to address the diversity in how certain cash receipts</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payments are presented and classified in the statement of cash flows. The adoption of this standard is not expected to have a material impact on the Company’s operating results or financial condition. These amendments are effective beginning January 1, 2019.</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ASU 2017-12 Derivatives and Hedging (Topic 815). </w:t>
      </w:r>
      <w:r>
        <w:rPr>
          <w:rFonts w:ascii="Arial" w:cs="Arial" w:eastAsia="Arial" w:hAnsi="Arial"/>
          <w:sz w:val="16"/>
          <w:szCs w:val="16"/>
          <w:color w:val="auto"/>
        </w:rPr>
        <w:t>The FASB issued guidance to improve the financial reporting of hedging</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to better portray economic results of an entity’s risk management activities in its financial statements. The amendments expand and refine hedge accounting for both nonfinancial and financial risk components and align the recognition and presentation of the effects of the hedging instrument and the hedged item in the financial statements. The Company early adopted this ASU in 2018 and it did not have a material impact on the Company’s operating results or financial condition.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ind w:left="360" w:hanging="355"/>
        <w:spacing w:after="0"/>
        <w:tabs>
          <w:tab w:leader="none" w:pos="36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at year-end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w:t>
            </w:r>
          </w:p>
        </w:tc>
      </w:tr>
      <w:tr>
        <w:trPr>
          <w:trHeight w:val="185"/>
        </w:trPr>
        <w:tc>
          <w:tcPr>
            <w:tcW w:w="3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Value</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2018</w:t>
            </w:r>
          </w:p>
        </w:tc>
        <w:tc>
          <w:tcPr>
            <w:tcW w:w="5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7"/>
        </w:trPr>
        <w:tc>
          <w:tcPr>
            <w:tcW w:w="54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5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84,707</w:t>
            </w:r>
          </w:p>
        </w:tc>
      </w:tr>
      <w:tr>
        <w:trPr>
          <w:trHeight w:val="237"/>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32,205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32,310</w:t>
            </w:r>
          </w:p>
        </w:tc>
      </w:tr>
      <w:tr>
        <w:trPr>
          <w:trHeight w:val="249"/>
        </w:trPr>
        <w:tc>
          <w:tcPr>
            <w:tcW w:w="5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184,267</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(2,040)</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182,256</w:t>
            </w:r>
          </w:p>
        </w:tc>
      </w:tr>
      <w:tr>
        <w:trPr>
          <w:trHeight w:val="243"/>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39,799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38,923</w:t>
            </w:r>
          </w:p>
        </w:tc>
      </w:tr>
      <w:tr>
        <w:trPr>
          <w:trHeight w:val="20"/>
        </w:trPr>
        <w:tc>
          <w:tcPr>
            <w:tcW w:w="360" w:type="dxa"/>
            <w:vAlign w:val="bottom"/>
          </w:tcPr>
          <w:p>
            <w:pPr>
              <w:spacing w:after="0" w:line="20" w:lineRule="exact"/>
              <w:rPr>
                <w:sz w:val="1"/>
                <w:szCs w:val="1"/>
                <w:color w:val="auto"/>
              </w:rPr>
            </w:pPr>
          </w:p>
        </w:tc>
        <w:tc>
          <w:tcPr>
            <w:tcW w:w="5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60" w:type="dxa"/>
            <w:vAlign w:val="bottom"/>
            <w:shd w:val="clear" w:color="auto" w:fill="CCEEFF"/>
          </w:tcPr>
          <w:p>
            <w:pPr>
              <w:spacing w:after="0"/>
              <w:rPr>
                <w:sz w:val="23"/>
                <w:szCs w:val="23"/>
                <w:color w:val="auto"/>
              </w:rPr>
            </w:pPr>
          </w:p>
        </w:tc>
        <w:tc>
          <w:tcPr>
            <w:tcW w:w="51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341,036</w:t>
            </w:r>
          </w:p>
        </w:tc>
        <w:tc>
          <w:tcPr>
            <w:tcW w:w="20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338,196</w:t>
            </w:r>
          </w:p>
        </w:tc>
      </w:tr>
      <w:tr>
        <w:trPr>
          <w:trHeight w:val="237"/>
        </w:trPr>
        <w:tc>
          <w:tcPr>
            <w:tcW w:w="54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Held to maturity:</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83"/>
        </w:trPr>
        <w:tc>
          <w:tcPr>
            <w:tcW w:w="5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60" w:type="dxa"/>
            <w:vAlign w:val="bottom"/>
            <w:tcBorders>
              <w:top w:val="single" w:sz="8" w:color="CCEEFF"/>
            </w:tcBorders>
          </w:tcPr>
          <w:p>
            <w:pPr>
              <w:spacing w:after="0"/>
              <w:rPr>
                <w:sz w:val="21"/>
                <w:szCs w:val="21"/>
                <w:color w:val="auto"/>
              </w:rPr>
            </w:pPr>
          </w:p>
        </w:tc>
        <w:tc>
          <w:tcPr>
            <w:tcW w:w="510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28"/>
        </w:trPr>
        <w:tc>
          <w:tcPr>
            <w:tcW w:w="3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4"/>
              </w:rPr>
              <w:t>2017</w:t>
            </w:r>
          </w:p>
        </w:tc>
        <w:tc>
          <w:tcPr>
            <w:tcW w:w="51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54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5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10,392</w:t>
            </w:r>
          </w:p>
        </w:tc>
      </w:tr>
      <w:tr>
        <w:trPr>
          <w:trHeight w:val="237"/>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74,597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74,984</w:t>
            </w:r>
          </w:p>
        </w:tc>
      </w:tr>
      <w:tr>
        <w:trPr>
          <w:trHeight w:val="249"/>
        </w:trPr>
        <w:tc>
          <w:tcPr>
            <w:tcW w:w="5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65,783</w:t>
            </w:r>
          </w:p>
        </w:tc>
      </w:tr>
      <w:tr>
        <w:trPr>
          <w:trHeight w:val="243"/>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43,353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43,020</w:t>
            </w:r>
          </w:p>
        </w:tc>
      </w:tr>
      <w:tr>
        <w:trPr>
          <w:trHeight w:val="20"/>
        </w:trPr>
        <w:tc>
          <w:tcPr>
            <w:tcW w:w="360" w:type="dxa"/>
            <w:vAlign w:val="bottom"/>
          </w:tcPr>
          <w:p>
            <w:pPr>
              <w:spacing w:after="0" w:line="20" w:lineRule="exact"/>
              <w:rPr>
                <w:sz w:val="1"/>
                <w:szCs w:val="1"/>
                <w:color w:val="auto"/>
              </w:rPr>
            </w:pPr>
          </w:p>
        </w:tc>
        <w:tc>
          <w:tcPr>
            <w:tcW w:w="5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60" w:type="dxa"/>
            <w:vAlign w:val="bottom"/>
            <w:shd w:val="clear" w:color="auto" w:fill="CCEEFF"/>
          </w:tcPr>
          <w:p>
            <w:pPr>
              <w:spacing w:after="0"/>
              <w:rPr>
                <w:sz w:val="23"/>
                <w:szCs w:val="23"/>
                <w:color w:val="auto"/>
              </w:rPr>
            </w:pPr>
          </w:p>
        </w:tc>
        <w:tc>
          <w:tcPr>
            <w:tcW w:w="51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194,625</w:t>
            </w:r>
          </w:p>
        </w:tc>
        <w:tc>
          <w:tcPr>
            <w:tcW w:w="20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194,179</w:t>
            </w:r>
          </w:p>
        </w:tc>
      </w:tr>
      <w:tr>
        <w:trPr>
          <w:trHeight w:val="237"/>
        </w:trPr>
        <w:tc>
          <w:tcPr>
            <w:tcW w:w="54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Held to maturity:</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56"/>
        </w:trPr>
        <w:tc>
          <w:tcPr>
            <w:tcW w:w="5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89,920</w:t>
            </w:r>
          </w:p>
        </w:tc>
        <w:tc>
          <w:tcPr>
            <w:tcW w:w="2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92,310</w:t>
            </w:r>
          </w:p>
        </w:tc>
      </w:tr>
      <w:tr>
        <w:trPr>
          <w:trHeight w:val="27"/>
        </w:trPr>
        <w:tc>
          <w:tcPr>
            <w:tcW w:w="360" w:type="dxa"/>
            <w:vAlign w:val="bottom"/>
            <w:tcBorders>
              <w:top w:val="single" w:sz="8" w:color="CCEEFF"/>
            </w:tcBorders>
            <w:shd w:val="clear" w:color="auto" w:fill="CCEEFF"/>
          </w:tcPr>
          <w:p>
            <w:pPr>
              <w:spacing w:after="0"/>
              <w:rPr>
                <w:sz w:val="2"/>
                <w:szCs w:val="2"/>
                <w:color w:val="auto"/>
              </w:rPr>
            </w:pPr>
          </w:p>
        </w:tc>
        <w:tc>
          <w:tcPr>
            <w:tcW w:w="51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amortized cost and fair value of debt securities at December 31, 2018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Available for Sale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Held to Maturity</w:t>
            </w:r>
          </w:p>
        </w:tc>
        <w:tc>
          <w:tcPr>
            <w:tcW w:w="100" w:type="dxa"/>
            <w:vAlign w:val="bottom"/>
          </w:tcPr>
          <w:p>
            <w:pPr>
              <w:spacing w:after="0"/>
              <w:rPr>
                <w:sz w:val="16"/>
                <w:szCs w:val="16"/>
                <w:color w:val="auto"/>
              </w:rPr>
            </w:pPr>
          </w:p>
        </w:tc>
      </w:tr>
      <w:tr>
        <w:trPr>
          <w:trHeight w:val="160"/>
        </w:trPr>
        <w:tc>
          <w:tcPr>
            <w:tcW w:w="5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76"/>
              <w:spacing w:after="0" w:line="160"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40"/>
              <w:spacing w:after="0" w:line="160"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2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54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5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37"/>
        </w:trPr>
        <w:tc>
          <w:tcPr>
            <w:tcW w:w="5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77,891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7,287</w:t>
            </w:r>
          </w:p>
        </w:tc>
        <w:tc>
          <w:tcPr>
            <w:tcW w:w="12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49"/>
        </w:trPr>
        <w:tc>
          <w:tcPr>
            <w:tcW w:w="5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8,850</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After 10 years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22,740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22,989</w:t>
            </w:r>
          </w:p>
        </w:tc>
        <w:tc>
          <w:tcPr>
            <w:tcW w:w="120" w:type="dxa"/>
            <w:vAlign w:val="bottom"/>
          </w:tcPr>
          <w:p>
            <w:pPr>
              <w:spacing w:after="0"/>
              <w:rPr>
                <w:sz w:val="20"/>
                <w:szCs w:val="20"/>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49"/>
        </w:trPr>
        <w:tc>
          <w:tcPr>
            <w:tcW w:w="5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224,066</w:t>
            </w: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221,179</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341,036</w:t>
            </w:r>
          </w:p>
        </w:tc>
        <w:tc>
          <w:tcPr>
            <w:tcW w:w="20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338,196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2018, all 122 securities designated as HTM were transferred to AFS based on ASU 2017-12. These securities had a book value of $75.2 million and a fair value of $77.6 million as of January 1, 2018, the effective date of the transfer. The unrealized gain is recorded in the change in unrealized loss on securities in other comprehensive income.</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year-end 2018 and 2017, there were no holdings of securities of any one issuer, other than the U.S. Government and its agencies, in an amount greater than 10% of stockholders’ equity.</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Securities with a carrying value of approximately $200.0 million and $188.1 million at December 31, 2018 and 2017, respectively, were pledged to collateralize public deposits and for other purposes as required or permitted by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SECURITIES (Continued)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segregates securities with unrealized losses at year-end, by the period they have been in a loss position: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3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Fair</w:t>
            </w:r>
          </w:p>
        </w:tc>
        <w:tc>
          <w:tcPr>
            <w:tcW w:w="960" w:type="dxa"/>
            <w:vAlign w:val="bottom"/>
            <w:gridSpan w:val="3"/>
          </w:tcPr>
          <w:p>
            <w:pPr>
              <w:jc w:val="right"/>
              <w:ind w:right="240"/>
              <w:spacing w:after="0" w:line="160" w:lineRule="exact"/>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13"/>
                <w:szCs w:val="13"/>
                <w:color w:val="auto"/>
              </w:rPr>
            </w:pPr>
          </w:p>
        </w:tc>
        <w:tc>
          <w:tcPr>
            <w:tcW w:w="820" w:type="dxa"/>
            <w:vAlign w:val="bottom"/>
            <w:gridSpan w:val="2"/>
          </w:tcPr>
          <w:p>
            <w:pPr>
              <w:jc w:val="right"/>
              <w:ind w:right="440"/>
              <w:spacing w:after="0" w:line="160" w:lineRule="exact"/>
              <w:rPr>
                <w:sz w:val="20"/>
                <w:szCs w:val="20"/>
                <w:color w:val="auto"/>
              </w:rPr>
            </w:pPr>
            <w:r>
              <w:rPr>
                <w:rFonts w:ascii="Arial" w:cs="Arial" w:eastAsia="Arial" w:hAnsi="Arial"/>
                <w:sz w:val="14"/>
                <w:szCs w:val="14"/>
                <w:b w:val="1"/>
                <w:bCs w:val="1"/>
                <w:color w:val="auto"/>
              </w:rPr>
              <w:t>Fair</w:t>
            </w:r>
          </w:p>
        </w:tc>
        <w:tc>
          <w:tcPr>
            <w:tcW w:w="940" w:type="dxa"/>
            <w:vAlign w:val="bottom"/>
            <w:gridSpan w:val="3"/>
          </w:tcPr>
          <w:p>
            <w:pPr>
              <w:ind w:left="40"/>
              <w:spacing w:after="0" w:line="160"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80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rPr>
              <w:t>Fair</w:t>
            </w:r>
          </w:p>
        </w:tc>
        <w:tc>
          <w:tcPr>
            <w:tcW w:w="840" w:type="dxa"/>
            <w:vAlign w:val="bottom"/>
            <w:gridSpan w:val="3"/>
          </w:tcPr>
          <w:p>
            <w:pPr>
              <w:jc w:val="right"/>
              <w:ind w:right="100"/>
              <w:spacing w:after="0" w:line="160" w:lineRule="exact"/>
              <w:rPr>
                <w:sz w:val="20"/>
                <w:szCs w:val="20"/>
                <w:color w:val="auto"/>
              </w:rPr>
            </w:pPr>
            <w:r>
              <w:rPr>
                <w:rFonts w:ascii="Arial" w:cs="Arial" w:eastAsia="Arial" w:hAnsi="Arial"/>
                <w:sz w:val="14"/>
                <w:szCs w:val="14"/>
                <w:b w:val="1"/>
                <w:bCs w:val="1"/>
                <w:color w:val="auto"/>
              </w:rPr>
              <w:t>Unrealized</w:t>
            </w:r>
          </w:p>
        </w:tc>
      </w:tr>
      <w:tr>
        <w:trPr>
          <w:trHeight w:val="185"/>
        </w:trPr>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Loss</w:t>
            </w:r>
          </w:p>
        </w:tc>
        <w:tc>
          <w:tcPr>
            <w:tcW w:w="120" w:type="dxa"/>
            <w:vAlign w:val="bottom"/>
          </w:tcPr>
          <w:p>
            <w:pPr>
              <w:spacing w:after="0"/>
              <w:rPr>
                <w:sz w:val="16"/>
                <w:szCs w:val="16"/>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6"/>
                <w:szCs w:val="16"/>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Loss</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2018</w:t>
            </w:r>
          </w:p>
        </w:tc>
        <w:tc>
          <w:tcPr>
            <w:tcW w:w="36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37"/>
        </w:trPr>
        <w:tc>
          <w:tcPr>
            <w:tcW w:w="4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U.S. government and agencies</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77,891</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2,048</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79,939</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76</w:t>
            </w:r>
          </w:p>
        </w:tc>
      </w:tr>
      <w:tr>
        <w:trPr>
          <w:trHeight w:val="249"/>
        </w:trPr>
        <w:tc>
          <w:tcPr>
            <w:tcW w:w="4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5,662</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9,781</w:t>
            </w: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15,443</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w:t>
            </w:r>
          </w:p>
        </w:tc>
      </w:tr>
      <w:tr>
        <w:trPr>
          <w:trHeight w:val="237"/>
        </w:trPr>
        <w:tc>
          <w:tcPr>
            <w:tcW w:w="400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108,962</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54,035</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1,747</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162,997</w:t>
            </w:r>
          </w:p>
        </w:tc>
        <w:tc>
          <w:tcPr>
            <w:tcW w:w="1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2,040</w:t>
            </w:r>
          </w:p>
        </w:tc>
      </w:tr>
      <w:tr>
        <w:trPr>
          <w:trHeight w:val="249"/>
        </w:trPr>
        <w:tc>
          <w:tcPr>
            <w:tcW w:w="4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Asset-backed and other amortizing securities</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37,351</w:t>
            </w: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877</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37,351</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w:t>
            </w:r>
          </w:p>
        </w:tc>
      </w:tr>
      <w:tr>
        <w:trPr>
          <w:trHeight w:val="20"/>
        </w:trPr>
        <w:tc>
          <w:tcPr>
            <w:tcW w:w="360" w:type="dxa"/>
            <w:vAlign w:val="bottom"/>
            <w:shd w:val="clear" w:color="auto" w:fill="CCEEFF"/>
          </w:tcPr>
          <w:p>
            <w:pPr>
              <w:spacing w:after="0" w:line="20" w:lineRule="exact"/>
              <w:rPr>
                <w:sz w:val="1"/>
                <w:szCs w:val="1"/>
                <w:color w:val="auto"/>
              </w:rPr>
            </w:pPr>
          </w:p>
        </w:tc>
        <w:tc>
          <w:tcPr>
            <w:tcW w:w="36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192,515</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103,215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2,956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295,730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3,368</w:t>
            </w:r>
          </w:p>
        </w:tc>
      </w:tr>
      <w:tr>
        <w:trPr>
          <w:trHeight w:val="28"/>
        </w:trPr>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4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Held to maturity:</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8"/>
        </w:trPr>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360" w:type="dxa"/>
            <w:vAlign w:val="bottom"/>
            <w:shd w:val="clear" w:color="auto" w:fill="CCEEFF"/>
          </w:tcPr>
          <w:p>
            <w:pPr>
              <w:spacing w:after="0"/>
              <w:rPr>
                <w:sz w:val="21"/>
                <w:szCs w:val="21"/>
                <w:color w:val="auto"/>
              </w:rPr>
            </w:pPr>
          </w:p>
        </w:tc>
        <w:tc>
          <w:tcPr>
            <w:tcW w:w="36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89"/>
        </w:trPr>
        <w:tc>
          <w:tcPr>
            <w:tcW w:w="3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w w:val="84"/>
              </w:rPr>
              <w:t>2017</w:t>
            </w: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4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r>
      <w:tr>
        <w:trPr>
          <w:trHeight w:val="237"/>
        </w:trPr>
        <w:tc>
          <w:tcPr>
            <w:tcW w:w="400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30,247</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6,389</w:t>
            </w: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36,636</w:t>
            </w:r>
          </w:p>
        </w:tc>
        <w:tc>
          <w:tcPr>
            <w:tcW w:w="1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368</w:t>
            </w:r>
          </w:p>
        </w:tc>
      </w:tr>
      <w:tr>
        <w:trPr>
          <w:trHeight w:val="249"/>
        </w:trPr>
        <w:tc>
          <w:tcPr>
            <w:tcW w:w="4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47,477</w:t>
            </w:r>
          </w:p>
        </w:tc>
        <w:tc>
          <w:tcPr>
            <w:tcW w:w="18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11,623</w:t>
            </w:r>
          </w:p>
        </w:tc>
        <w:tc>
          <w:tcPr>
            <w:tcW w:w="16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59,100</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w:t>
            </w:r>
          </w:p>
        </w:tc>
      </w:tr>
      <w:tr>
        <w:trPr>
          <w:trHeight w:val="243"/>
        </w:trPr>
        <w:tc>
          <w:tcPr>
            <w:tcW w:w="4000" w:type="dxa"/>
            <w:vAlign w:val="bottom"/>
            <w:gridSpan w:val="2"/>
          </w:tcPr>
          <w:p>
            <w:pPr>
              <w:spacing w:after="0"/>
              <w:rPr>
                <w:sz w:val="20"/>
                <w:szCs w:val="20"/>
                <w:color w:val="auto"/>
              </w:rPr>
            </w:pPr>
            <w:r>
              <w:rPr>
                <w:rFonts w:ascii="Arial" w:cs="Arial" w:eastAsia="Arial" w:hAnsi="Arial"/>
                <w:sz w:val="18"/>
                <w:szCs w:val="18"/>
                <w:color w:val="auto"/>
              </w:rPr>
              <w:t>Asset-backed and other amortizing securities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41,197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41,197</w:t>
            </w:r>
          </w:p>
        </w:tc>
        <w:tc>
          <w:tcPr>
            <w:tcW w:w="1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342</w:t>
            </w:r>
          </w:p>
        </w:tc>
      </w:tr>
      <w:tr>
        <w:trPr>
          <w:trHeight w:val="20"/>
        </w:trPr>
        <w:tc>
          <w:tcPr>
            <w:tcW w:w="360" w:type="dxa"/>
            <w:vAlign w:val="bottom"/>
          </w:tcPr>
          <w:p>
            <w:pPr>
              <w:spacing w:after="0" w:line="20" w:lineRule="exact"/>
              <w:rPr>
                <w:sz w:val="1"/>
                <w:szCs w:val="1"/>
                <w:color w:val="auto"/>
              </w:rPr>
            </w:pPr>
          </w:p>
        </w:tc>
        <w:tc>
          <w:tcPr>
            <w:tcW w:w="36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1"/>
        </w:trPr>
        <w:tc>
          <w:tcPr>
            <w:tcW w:w="360" w:type="dxa"/>
            <w:vAlign w:val="bottom"/>
            <w:shd w:val="clear" w:color="auto" w:fill="CCEEFF"/>
          </w:tcPr>
          <w:p>
            <w:pPr>
              <w:spacing w:after="0"/>
              <w:rPr>
                <w:sz w:val="23"/>
                <w:szCs w:val="23"/>
                <w:color w:val="auto"/>
              </w:rPr>
            </w:pPr>
          </w:p>
        </w:tc>
        <w:tc>
          <w:tcPr>
            <w:tcW w:w="364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120,994</w:t>
            </w: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139,006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w:t>
            </w:r>
          </w:p>
        </w:tc>
      </w:tr>
      <w:tr>
        <w:trPr>
          <w:trHeight w:val="237"/>
        </w:trPr>
        <w:tc>
          <w:tcPr>
            <w:tcW w:w="4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Held to maturity:</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56"/>
        </w:trPr>
        <w:tc>
          <w:tcPr>
            <w:tcW w:w="4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7"/>
        </w:trPr>
        <w:tc>
          <w:tcPr>
            <w:tcW w:w="36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There were 83 securities with an unrealized loss at December 31, 2018.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December 31, 2018, management believes the impairments detailed in the table above are temporary and no impairment loss has been realized in the Company’s CFS.</w:t>
      </w:r>
    </w:p>
    <w:p>
      <w:pPr>
        <w:spacing w:after="0" w:line="5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3.</w:t>
        <w:tab/>
        <w:t>LOANS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Loans are summarized by category at year-end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7"/>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4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538,037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506,894</w:t>
            </w: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305,022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329,119</w:t>
            </w:r>
          </w:p>
        </w:tc>
      </w:tr>
      <w:tr>
        <w:trPr>
          <w:trHeight w:val="24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374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427,728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410,057</w:t>
            </w: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Consumer:</w:t>
            </w: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374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346,153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313,350</w:t>
            </w:r>
          </w:p>
        </w:tc>
      </w:tr>
      <w:tr>
        <w:trPr>
          <w:trHeight w:val="237"/>
        </w:trPr>
        <w:tc>
          <w:tcPr>
            <w:tcW w:w="32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191,647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146,622</w:t>
            </w:r>
          </w:p>
        </w:tc>
      </w:tr>
      <w:tr>
        <w:trPr>
          <w:trHeight w:val="24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374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70,209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66,191</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Construction</w:t>
            </w:r>
          </w:p>
        </w:tc>
        <w:tc>
          <w:tcPr>
            <w:tcW w:w="3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78,401</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65,922</w:t>
            </w:r>
          </w:p>
        </w:tc>
      </w:tr>
      <w:tr>
        <w:trPr>
          <w:trHeight w:val="20"/>
        </w:trPr>
        <w:tc>
          <w:tcPr>
            <w:tcW w:w="3240" w:type="dxa"/>
            <w:vAlign w:val="bottom"/>
          </w:tcPr>
          <w:p>
            <w:pPr>
              <w:spacing w:after="0" w:line="20" w:lineRule="exact"/>
              <w:rPr>
                <w:sz w:val="1"/>
                <w:szCs w:val="1"/>
                <w:color w:val="auto"/>
              </w:rPr>
            </w:pPr>
          </w:p>
        </w:tc>
        <w:tc>
          <w:tcPr>
            <w:tcW w:w="37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240" w:type="dxa"/>
            <w:vAlign w:val="bottom"/>
            <w:shd w:val="clear" w:color="auto" w:fill="CCEEFF"/>
          </w:tcPr>
          <w:p>
            <w:pPr>
              <w:spacing w:after="0"/>
              <w:rPr>
                <w:sz w:val="20"/>
                <w:szCs w:val="20"/>
                <w:color w:val="auto"/>
              </w:rPr>
            </w:pPr>
          </w:p>
        </w:tc>
        <w:tc>
          <w:tcPr>
            <w:tcW w:w="374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1,957,197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1,838,155</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3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(23,126)</w:t>
            </w:r>
          </w:p>
        </w:tc>
        <w:tc>
          <w:tcPr>
            <w:tcW w:w="2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(21,461)</w:t>
            </w:r>
          </w:p>
        </w:tc>
      </w:tr>
      <w:tr>
        <w:trPr>
          <w:trHeight w:val="20"/>
        </w:trPr>
        <w:tc>
          <w:tcPr>
            <w:tcW w:w="3240" w:type="dxa"/>
            <w:vAlign w:val="bottom"/>
          </w:tcPr>
          <w:p>
            <w:pPr>
              <w:spacing w:after="0" w:line="20" w:lineRule="exact"/>
              <w:rPr>
                <w:sz w:val="1"/>
                <w:szCs w:val="1"/>
                <w:color w:val="auto"/>
              </w:rPr>
            </w:pPr>
          </w:p>
        </w:tc>
        <w:tc>
          <w:tcPr>
            <w:tcW w:w="37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3740" w:type="dxa"/>
            <w:vAlign w:val="bottom"/>
            <w:tcBorders>
              <w:right w:val="single" w:sz="8" w:color="CCEEFF"/>
            </w:tcBorders>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1,934,071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1,816,694</w:t>
            </w:r>
          </w:p>
        </w:tc>
      </w:tr>
      <w:tr>
        <w:trPr>
          <w:trHeight w:val="432"/>
        </w:trPr>
        <w:tc>
          <w:tcPr>
            <w:tcW w:w="324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tcPr>
          <w:p>
            <w:pPr>
              <w:ind w:left="1380"/>
              <w:spacing w:after="0"/>
              <w:rPr>
                <w:sz w:val="20"/>
                <w:szCs w:val="20"/>
                <w:color w:val="auto"/>
              </w:rPr>
            </w:pPr>
            <w:r>
              <w:rPr>
                <w:rFonts w:ascii="Arial" w:cs="Arial" w:eastAsia="Arial" w:hAnsi="Arial"/>
                <w:sz w:val="18"/>
                <w:szCs w:val="18"/>
                <w:color w:val="auto"/>
              </w:rPr>
              <w:t>F-16</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32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240" w:type="dxa"/>
            <w:vAlign w:val="bottom"/>
            <w:shd w:val="clear" w:color="auto" w:fill="000000"/>
          </w:tcPr>
          <w:p>
            <w:pPr>
              <w:spacing w:after="0"/>
              <w:rPr>
                <w:sz w:val="5"/>
                <w:szCs w:val="5"/>
                <w:color w:val="auto"/>
              </w:rPr>
            </w:pPr>
          </w:p>
        </w:tc>
        <w:tc>
          <w:tcPr>
            <w:tcW w:w="3740" w:type="dxa"/>
            <w:vAlign w:val="bottom"/>
            <w:tcBorders>
              <w:right w:val="single" w:sz="8" w:color="auto"/>
            </w:tcBorders>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ind w:right="-19"/>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53"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u w:val="single" w:color="auto"/>
          <w:color w:val="auto"/>
        </w:rPr>
        <w:t>Commercial – General and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 Commercial loans are underwritten after evaluating and understanding the borrower’s</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7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 Commercial real estate loans are also subject to underwriting standards and processes similar to</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u w:val="single" w:color="auto"/>
          <w:color w:val="auto"/>
        </w:rPr>
        <w:t>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 Loans for residential construction are for single-family properties to developers, builders, or end-users. These loans</w:t>
      </w:r>
      <w:r>
        <w:rPr>
          <w:rFonts w:ascii="Arial" w:cs="Arial" w:eastAsia="Arial" w:hAnsi="Arial"/>
          <w:sz w:val="18"/>
          <w:szCs w:val="18"/>
          <w:i w:val="1"/>
          <w:iCs w:val="1"/>
          <w:color w:val="auto"/>
        </w:rPr>
        <w:t xml:space="preserve"> </w:t>
      </w:r>
      <w:r>
        <w:rPr>
          <w:rFonts w:ascii="Arial" w:cs="Arial" w:eastAsia="Arial" w:hAnsi="Arial"/>
          <w:sz w:val="18"/>
          <w:szCs w:val="18"/>
          <w:color w:val="auto"/>
        </w:rPr>
        <w:t>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to consumers include 1-4 family residential loans, auto loans, and other loans for recreational vehicles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 the Company’s risk. The Company generally requires mortgage title insurance and hazard insurance on 1-4 family residential loans.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40"/>
          </w:cols>
          <w:pgMar w:left="1160" w:top="279" w:right="119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following table details the activity in the allowance for loan losses during 2018 and 2017. Allocation of a portion of the allowance to one category of loans does not preclude its availability to absorb losses in other categories.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Beginning</w:t>
            </w:r>
          </w:p>
        </w:tc>
        <w:tc>
          <w:tcPr>
            <w:tcW w:w="20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9"/>
              </w:rPr>
              <w:t>Provision for</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Ending</w:t>
            </w:r>
          </w:p>
        </w:tc>
      </w:tr>
      <w:tr>
        <w:trPr>
          <w:trHeight w:val="185"/>
        </w:trPr>
        <w:tc>
          <w:tcPr>
            <w:tcW w:w="3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31"/>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loan losses</w:t>
            </w:r>
          </w:p>
        </w:tc>
        <w:tc>
          <w:tcPr>
            <w:tcW w:w="10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Charge-offs</w:t>
            </w:r>
          </w:p>
        </w:tc>
        <w:tc>
          <w:tcPr>
            <w:tcW w:w="8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Recoveries</w:t>
            </w:r>
          </w:p>
        </w:tc>
        <w:tc>
          <w:tcPr>
            <w:tcW w:w="12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Balance</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2018</w:t>
            </w:r>
          </w:p>
        </w:tc>
        <w:tc>
          <w:tcPr>
            <w:tcW w:w="41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7"/>
        </w:trPr>
        <w:tc>
          <w:tcPr>
            <w:tcW w:w="45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3,769</w:t>
            </w:r>
          </w:p>
        </w:tc>
        <w:tc>
          <w:tcPr>
            <w:tcW w:w="3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1,728</w:t>
            </w:r>
          </w:p>
        </w:tc>
        <w:tc>
          <w:tcPr>
            <w:tcW w:w="240" w:type="dxa"/>
            <w:vAlign w:val="bottom"/>
            <w:tcBorders>
              <w:top w:val="single" w:sz="8" w:color="CCEEFF"/>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(1,540)</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1,622</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5,579</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10,151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1,539</w:t>
            </w:r>
          </w:p>
        </w:tc>
        <w:tc>
          <w:tcPr>
            <w:tcW w:w="2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(4,291)</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8,173</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r>
      <w:tr>
        <w:trPr>
          <w:trHeight w:val="249"/>
        </w:trPr>
        <w:tc>
          <w:tcPr>
            <w:tcW w:w="45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1,733</w:t>
            </w: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w:t>
            </w:r>
          </w:p>
        </w:tc>
      </w:tr>
      <w:tr>
        <w:trPr>
          <w:trHeight w:val="237"/>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974</w:t>
            </w:r>
          </w:p>
        </w:tc>
        <w:tc>
          <w:tcPr>
            <w:tcW w:w="2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1,192</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r>
      <w:tr>
        <w:trPr>
          <w:trHeight w:val="20"/>
        </w:trPr>
        <w:tc>
          <w:tcPr>
            <w:tcW w:w="360" w:type="dxa"/>
            <w:vAlign w:val="bottom"/>
            <w:shd w:val="clear" w:color="auto" w:fill="CCEEFF"/>
          </w:tcPr>
          <w:p>
            <w:pPr>
              <w:spacing w:after="0" w:line="20" w:lineRule="exact"/>
              <w:rPr>
                <w:sz w:val="1"/>
                <w:szCs w:val="1"/>
                <w:color w:val="auto"/>
              </w:rPr>
            </w:pPr>
          </w:p>
        </w:tc>
        <w:tc>
          <w:tcPr>
            <w:tcW w:w="4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21,461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6,901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23,126</w:t>
            </w:r>
          </w:p>
        </w:tc>
      </w:tr>
      <w:tr>
        <w:trPr>
          <w:trHeight w:val="28"/>
        </w:trPr>
        <w:tc>
          <w:tcPr>
            <w:tcW w:w="3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60" w:type="dxa"/>
            <w:vAlign w:val="bottom"/>
            <w:shd w:val="clear" w:color="auto" w:fill="CCEEFF"/>
          </w:tcPr>
          <w:p>
            <w:pPr>
              <w:spacing w:after="0"/>
              <w:rPr>
                <w:sz w:val="21"/>
                <w:szCs w:val="21"/>
                <w:color w:val="auto"/>
              </w:rPr>
            </w:pPr>
          </w:p>
        </w:tc>
        <w:tc>
          <w:tcPr>
            <w:tcW w:w="4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89"/>
        </w:trPr>
        <w:tc>
          <w:tcPr>
            <w:tcW w:w="3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w w:val="84"/>
              </w:rPr>
              <w:t>2017</w:t>
            </w:r>
          </w:p>
        </w:tc>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3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3,769</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(1,724)</w:t>
            </w:r>
          </w:p>
        </w:tc>
        <w:tc>
          <w:tcPr>
            <w:tcW w:w="2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r>
      <w:tr>
        <w:trPr>
          <w:trHeight w:val="249"/>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2,653</w:t>
            </w: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(2,658)</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10,151</w:t>
            </w: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5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r>
      <w:tr>
        <w:trPr>
          <w:trHeight w:val="237"/>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1,522</w:t>
            </w:r>
          </w:p>
        </w:tc>
        <w:tc>
          <w:tcPr>
            <w:tcW w:w="2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2,068</w:t>
            </w:r>
          </w:p>
        </w:tc>
      </w:tr>
      <w:tr>
        <w:trPr>
          <w:trHeight w:val="249"/>
        </w:trPr>
        <w:tc>
          <w:tcPr>
            <w:tcW w:w="45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w:t>
            </w:r>
          </w:p>
        </w:tc>
        <w:tc>
          <w:tcPr>
            <w:tcW w:w="2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(1,495)</w:t>
            </w:r>
          </w:p>
        </w:tc>
        <w:tc>
          <w:tcPr>
            <w:tcW w:w="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r>
      <w:tr>
        <w:trPr>
          <w:trHeight w:val="20"/>
        </w:trPr>
        <w:tc>
          <w:tcPr>
            <w:tcW w:w="360" w:type="dxa"/>
            <w:vAlign w:val="bottom"/>
          </w:tcPr>
          <w:p>
            <w:pPr>
              <w:spacing w:after="0" w:line="20" w:lineRule="exact"/>
              <w:rPr>
                <w:sz w:val="1"/>
                <w:szCs w:val="1"/>
                <w:color w:val="auto"/>
              </w:rPr>
            </w:pPr>
          </w:p>
        </w:tc>
        <w:tc>
          <w:tcPr>
            <w:tcW w:w="4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21,461</w:t>
            </w:r>
          </w:p>
        </w:tc>
      </w:tr>
      <w:tr>
        <w:trPr>
          <w:trHeight w:val="27"/>
        </w:trPr>
        <w:tc>
          <w:tcPr>
            <w:tcW w:w="360" w:type="dxa"/>
            <w:vAlign w:val="bottom"/>
            <w:tcBorders>
              <w:top w:val="single" w:sz="8" w:color="CCEEFF"/>
            </w:tcBorders>
            <w:shd w:val="clear" w:color="auto" w:fill="CCEEFF"/>
          </w:tcPr>
          <w:p>
            <w:pPr>
              <w:spacing w:after="0"/>
              <w:rPr>
                <w:sz w:val="2"/>
                <w:szCs w:val="2"/>
                <w:color w:val="auto"/>
              </w:rPr>
            </w:pPr>
          </w:p>
        </w:tc>
        <w:tc>
          <w:tcPr>
            <w:tcW w:w="414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Company’s investment in loans disaggregated based on the method of evaluating impairment: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Recorded Investment</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8"/>
              </w:rPr>
              <w:t>Allowance for Loan Losses</w:t>
            </w:r>
          </w:p>
        </w:tc>
        <w:tc>
          <w:tcPr>
            <w:tcW w:w="100" w:type="dxa"/>
            <w:vAlign w:val="bottom"/>
          </w:tcPr>
          <w:p>
            <w:pPr>
              <w:spacing w:after="0"/>
              <w:rPr>
                <w:sz w:val="16"/>
                <w:szCs w:val="16"/>
                <w:color w:val="auto"/>
              </w:rPr>
            </w:pPr>
          </w:p>
        </w:tc>
      </w:tr>
      <w:tr>
        <w:trPr>
          <w:trHeight w:val="160"/>
        </w:trPr>
        <w:tc>
          <w:tcPr>
            <w:tcW w:w="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35"/>
              <w:spacing w:after="0" w:line="160" w:lineRule="exact"/>
              <w:rPr>
                <w:sz w:val="20"/>
                <w:szCs w:val="20"/>
                <w:color w:val="auto"/>
              </w:rPr>
            </w:pPr>
            <w:r>
              <w:rPr>
                <w:rFonts w:ascii="Arial" w:cs="Arial" w:eastAsia="Arial" w:hAnsi="Arial"/>
                <w:sz w:val="14"/>
                <w:szCs w:val="14"/>
                <w:b w:val="1"/>
                <w:bCs w:val="1"/>
                <w:color w:val="auto"/>
                <w:w w:val="96"/>
              </w:rPr>
              <w:t>Individually</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40"/>
              <w:spacing w:after="0" w:line="160" w:lineRule="exact"/>
              <w:rPr>
                <w:sz w:val="20"/>
                <w:szCs w:val="20"/>
                <w:color w:val="auto"/>
              </w:rPr>
            </w:pPr>
            <w:r>
              <w:rPr>
                <w:rFonts w:ascii="Arial" w:cs="Arial" w:eastAsia="Arial" w:hAnsi="Arial"/>
                <w:sz w:val="14"/>
                <w:szCs w:val="14"/>
                <w:b w:val="1"/>
                <w:bCs w:val="1"/>
                <w:color w:val="auto"/>
                <w:w w:val="95"/>
              </w:rPr>
              <w:t>Collectively</w:t>
            </w:r>
          </w:p>
        </w:tc>
        <w:tc>
          <w:tcPr>
            <w:tcW w:w="100" w:type="dxa"/>
            <w:vAlign w:val="bottom"/>
          </w:tcPr>
          <w:p>
            <w:pPr>
              <w:spacing w:after="0"/>
              <w:rPr>
                <w:sz w:val="13"/>
                <w:szCs w:val="13"/>
                <w:color w:val="auto"/>
              </w:rPr>
            </w:pPr>
          </w:p>
        </w:tc>
        <w:tc>
          <w:tcPr>
            <w:tcW w:w="10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8"/>
              </w:rPr>
              <w:t>Individually</w:t>
            </w:r>
          </w:p>
        </w:tc>
        <w:tc>
          <w:tcPr>
            <w:tcW w:w="120" w:type="dxa"/>
            <w:vAlign w:val="bottom"/>
          </w:tcPr>
          <w:p>
            <w:pPr>
              <w:spacing w:after="0"/>
              <w:rPr>
                <w:sz w:val="13"/>
                <w:szCs w:val="13"/>
                <w:color w:val="auto"/>
              </w:rPr>
            </w:pPr>
          </w:p>
        </w:tc>
        <w:tc>
          <w:tcPr>
            <w:tcW w:w="920" w:type="dxa"/>
            <w:vAlign w:val="bottom"/>
            <w:gridSpan w:val="2"/>
          </w:tcPr>
          <w:p>
            <w:pPr>
              <w:jc w:val="right"/>
              <w:ind w:right="180"/>
              <w:spacing w:after="0" w:line="160" w:lineRule="exact"/>
              <w:rPr>
                <w:sz w:val="20"/>
                <w:szCs w:val="20"/>
                <w:color w:val="auto"/>
              </w:rPr>
            </w:pPr>
            <w:r>
              <w:rPr>
                <w:rFonts w:ascii="Arial" w:cs="Arial" w:eastAsia="Arial" w:hAnsi="Arial"/>
                <w:sz w:val="14"/>
                <w:szCs w:val="14"/>
                <w:b w:val="1"/>
                <w:bCs w:val="1"/>
                <w:color w:val="auto"/>
                <w:w w:val="92"/>
              </w:rPr>
              <w:t>Collectively</w:t>
            </w:r>
          </w:p>
        </w:tc>
      </w:tr>
      <w:tr>
        <w:trPr>
          <w:trHeight w:val="185"/>
        </w:trPr>
        <w:tc>
          <w:tcPr>
            <w:tcW w:w="3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rPr>
              <w:t>Evaluated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Evaluated</w:t>
            </w:r>
          </w:p>
        </w:tc>
        <w:tc>
          <w:tcPr>
            <w:tcW w:w="10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Evaluated</w:t>
            </w: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Evaluated</w:t>
            </w:r>
          </w:p>
        </w:tc>
      </w:tr>
      <w:tr>
        <w:trPr>
          <w:trHeight w:val="221"/>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2018</w:t>
            </w:r>
          </w:p>
        </w:tc>
        <w:tc>
          <w:tcPr>
            <w:tcW w:w="286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7"/>
        </w:trPr>
        <w:tc>
          <w:tcPr>
            <w:tcW w:w="32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w:t>
            </w:r>
          </w:p>
        </w:tc>
        <w:tc>
          <w:tcPr>
            <w:tcW w:w="18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1,819</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536,218</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5,579</w:t>
            </w:r>
          </w:p>
        </w:tc>
      </w:tr>
      <w:tr>
        <w:trPr>
          <w:trHeight w:val="249"/>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7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302,906</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w:t>
            </w:r>
          </w:p>
        </w:tc>
      </w:tr>
      <w:tr>
        <w:trPr>
          <w:trHeight w:val="237"/>
        </w:trPr>
        <w:tc>
          <w:tcPr>
            <w:tcW w:w="32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424,778</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7,940</w:t>
            </w:r>
          </w:p>
        </w:tc>
      </w:tr>
      <w:tr>
        <w:trPr>
          <w:trHeight w:val="249"/>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7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343,678</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2,241</w:t>
            </w:r>
          </w:p>
        </w:tc>
      </w:tr>
      <w:tr>
        <w:trPr>
          <w:trHeight w:val="249"/>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17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191,647</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70,209</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1,192</w:t>
            </w:r>
          </w:p>
        </w:tc>
      </w:tr>
      <w:tr>
        <w:trPr>
          <w:trHeight w:val="249"/>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7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78,401</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r>
      <w:tr>
        <w:trPr>
          <w:trHeight w:val="20"/>
        </w:trPr>
        <w:tc>
          <w:tcPr>
            <w:tcW w:w="36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7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9,360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1,947,837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22,885</w:t>
            </w:r>
          </w:p>
        </w:tc>
      </w:tr>
      <w:tr>
        <w:trPr>
          <w:trHeight w:val="21"/>
        </w:trPr>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F-18</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6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c>
          <w:tcPr>
            <w:tcW w:w="176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80" w:type="dxa"/>
            <w:vAlign w:val="bottom"/>
            <w:tcBorders>
              <w:right w:val="single" w:sz="8" w:color="auto"/>
            </w:tcBorders>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3.</w:t>
        <w:tab/>
        <w:t>LOANS (Continued)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9"/>
          </w:tcPr>
          <w:p>
            <w:pPr>
              <w:jc w:val="right"/>
              <w:ind w:right="333"/>
              <w:spacing w:after="0"/>
              <w:rPr>
                <w:sz w:val="20"/>
                <w:szCs w:val="20"/>
                <w:color w:val="auto"/>
              </w:rPr>
            </w:pPr>
            <w:r>
              <w:rPr>
                <w:rFonts w:ascii="Arial" w:cs="Arial" w:eastAsia="Arial" w:hAnsi="Arial"/>
                <w:sz w:val="14"/>
                <w:szCs w:val="14"/>
                <w:b w:val="1"/>
                <w:bCs w:val="1"/>
                <w:color w:val="auto"/>
                <w:w w:val="95"/>
              </w:rPr>
              <w:t>Recorded Investment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7"/>
              </w:rPr>
              <w:t>Allowance for Loan Losses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gridSpan w:val="6"/>
          </w:tcPr>
          <w:p>
            <w:pPr>
              <w:jc w:val="center"/>
              <w:ind w:right="80"/>
              <w:spacing w:after="0" w:line="160" w:lineRule="exact"/>
              <w:rPr>
                <w:sz w:val="20"/>
                <w:szCs w:val="20"/>
                <w:color w:val="auto"/>
              </w:rPr>
            </w:pPr>
            <w:r>
              <w:rPr>
                <w:rFonts w:ascii="Arial" w:cs="Arial" w:eastAsia="Arial" w:hAnsi="Arial"/>
                <w:sz w:val="14"/>
                <w:szCs w:val="14"/>
                <w:b w:val="1"/>
                <w:bCs w:val="1"/>
                <w:color w:val="auto"/>
                <w:w w:val="98"/>
              </w:rPr>
              <w:t>Individually</w:t>
            </w:r>
          </w:p>
        </w:tc>
        <w:tc>
          <w:tcPr>
            <w:tcW w:w="80" w:type="dxa"/>
            <w:vAlign w:val="bottom"/>
          </w:tcPr>
          <w:p>
            <w:pPr>
              <w:spacing w:after="0"/>
              <w:rPr>
                <w:sz w:val="13"/>
                <w:szCs w:val="13"/>
                <w:color w:val="auto"/>
              </w:rPr>
            </w:pPr>
          </w:p>
        </w:tc>
        <w:tc>
          <w:tcPr>
            <w:tcW w:w="1040" w:type="dxa"/>
            <w:vAlign w:val="bottom"/>
            <w:gridSpan w:val="4"/>
          </w:tcPr>
          <w:p>
            <w:pPr>
              <w:jc w:val="right"/>
              <w:ind w:right="53"/>
              <w:spacing w:after="0" w:line="160" w:lineRule="exact"/>
              <w:rPr>
                <w:sz w:val="20"/>
                <w:szCs w:val="20"/>
                <w:color w:val="auto"/>
              </w:rPr>
            </w:pPr>
            <w:r>
              <w:rPr>
                <w:rFonts w:ascii="Arial" w:cs="Arial" w:eastAsia="Arial" w:hAnsi="Arial"/>
                <w:sz w:val="14"/>
                <w:szCs w:val="14"/>
                <w:b w:val="1"/>
                <w:bCs w:val="1"/>
                <w:color w:val="auto"/>
              </w:rPr>
              <w:t>Collectively</w:t>
            </w:r>
          </w:p>
        </w:tc>
        <w:tc>
          <w:tcPr>
            <w:tcW w:w="200" w:type="dxa"/>
            <w:vAlign w:val="bottom"/>
          </w:tcPr>
          <w:p>
            <w:pPr>
              <w:spacing w:after="0"/>
              <w:rPr>
                <w:sz w:val="13"/>
                <w:szCs w:val="13"/>
                <w:color w:val="auto"/>
              </w:rPr>
            </w:pPr>
          </w:p>
        </w:tc>
        <w:tc>
          <w:tcPr>
            <w:tcW w:w="1100" w:type="dxa"/>
            <w:vAlign w:val="bottom"/>
            <w:gridSpan w:val="5"/>
          </w:tcPr>
          <w:p>
            <w:pPr>
              <w:jc w:val="right"/>
              <w:ind w:right="280"/>
              <w:spacing w:after="0" w:line="160" w:lineRule="exact"/>
              <w:rPr>
                <w:sz w:val="20"/>
                <w:szCs w:val="20"/>
                <w:color w:val="auto"/>
              </w:rPr>
            </w:pPr>
            <w:r>
              <w:rPr>
                <w:rFonts w:ascii="Arial" w:cs="Arial" w:eastAsia="Arial" w:hAnsi="Arial"/>
                <w:sz w:val="14"/>
                <w:szCs w:val="14"/>
                <w:b w:val="1"/>
                <w:bCs w:val="1"/>
                <w:color w:val="auto"/>
              </w:rPr>
              <w:t>Individually</w:t>
            </w:r>
          </w:p>
        </w:tc>
        <w:tc>
          <w:tcPr>
            <w:tcW w:w="960" w:type="dxa"/>
            <w:vAlign w:val="bottom"/>
            <w:gridSpan w:val="3"/>
          </w:tcPr>
          <w:p>
            <w:pPr>
              <w:jc w:val="right"/>
              <w:ind w:right="140"/>
              <w:spacing w:after="0" w:line="160" w:lineRule="exact"/>
              <w:rPr>
                <w:sz w:val="20"/>
                <w:szCs w:val="20"/>
                <w:color w:val="auto"/>
              </w:rPr>
            </w:pPr>
            <w:r>
              <w:rPr>
                <w:rFonts w:ascii="Arial" w:cs="Arial" w:eastAsia="Arial" w:hAnsi="Arial"/>
                <w:sz w:val="14"/>
                <w:szCs w:val="14"/>
                <w:b w:val="1"/>
                <w:bCs w:val="1"/>
                <w:color w:val="auto"/>
              </w:rPr>
              <w:t>Collectively</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Evaluated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w w:val="93"/>
              </w:rPr>
              <w:t>Evaluated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4"/>
              </w:rPr>
              <w:t>Evaluated</w:t>
            </w: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Evaluated</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right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left w:val="single" w:sz="8" w:color="CCEEFF"/>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
                <w:szCs w:val="2"/>
                <w:color w:val="auto"/>
              </w:rPr>
            </w:pPr>
          </w:p>
        </w:tc>
        <w:tc>
          <w:tcPr>
            <w:tcW w:w="20" w:type="dxa"/>
            <w:vAlign w:val="bottom"/>
            <w:tcBorders>
              <w:top w:val="single" w:sz="8" w:color="auto"/>
            </w:tcBorders>
            <w:vMerge w:val="restart"/>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80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7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Commercial -</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7,360</w:t>
            </w: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499,534</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323,752</w:t>
            </w: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4,975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405,082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2"/>
          </w:tcPr>
          <w:p>
            <w:pPr>
              <w:ind w:left="160"/>
              <w:spacing w:after="0"/>
              <w:rPr>
                <w:sz w:val="20"/>
                <w:szCs w:val="20"/>
                <w:color w:val="auto"/>
              </w:rPr>
            </w:pPr>
            <w:r>
              <w:rPr>
                <w:rFonts w:ascii="Arial" w:cs="Arial" w:eastAsia="Arial" w:hAnsi="Arial"/>
                <w:sz w:val="18"/>
                <w:szCs w:val="18"/>
                <w:color w:val="auto"/>
              </w:rPr>
              <w:t>1-4 family residential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3,287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310,063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4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146,622</w:t>
            </w: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40" w:type="dxa"/>
            <w:vAlign w:val="bottom"/>
            <w:gridSpan w:val="2"/>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66,191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4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65,922</w:t>
            </w:r>
          </w:p>
        </w:tc>
        <w:tc>
          <w:tcPr>
            <w:tcW w:w="20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auto"/>
            </w:tcBorders>
            <w:shd w:val="clear" w:color="auto" w:fill="CCEEFF"/>
          </w:tcPr>
          <w:p>
            <w:pPr>
              <w:spacing w:after="0"/>
              <w:rPr>
                <w:sz w:val="21"/>
                <w:szCs w:val="21"/>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gridSpan w:val="4"/>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20,989</w:t>
            </w:r>
          </w:p>
        </w:tc>
        <w:tc>
          <w:tcPr>
            <w:tcW w:w="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1,817,166</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21,318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20" w:type="dxa"/>
            <w:vAlign w:val="bottom"/>
            <w:gridSpan w:val="4"/>
            <w:vMerge w:val="restart"/>
          </w:tcPr>
          <w:p>
            <w:pPr>
              <w:spacing w:after="0"/>
              <w:rPr>
                <w:sz w:val="20"/>
                <w:szCs w:val="20"/>
                <w:color w:val="auto"/>
              </w:rPr>
            </w:pPr>
            <w:r>
              <w:rPr>
                <w:rFonts w:ascii="Arial" w:cs="Arial" w:eastAsia="Arial" w:hAnsi="Arial"/>
                <w:sz w:val="18"/>
                <w:szCs w:val="18"/>
                <w:color w:val="auto"/>
                <w:w w:val="95"/>
              </w:rPr>
              <w:t>Impaired loan information at year-end follows:</w:t>
            </w: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5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Unpaid</w:t>
            </w:r>
          </w:p>
        </w:tc>
        <w:tc>
          <w:tcPr>
            <w:tcW w:w="100" w:type="dxa"/>
            <w:vAlign w:val="bottom"/>
          </w:tcPr>
          <w:p>
            <w:pPr>
              <w:spacing w:after="0"/>
              <w:rPr>
                <w:sz w:val="19"/>
                <w:szCs w:val="19"/>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89"/>
              </w:rPr>
              <w:t>Recorded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Contractual</w:t>
            </w:r>
          </w:p>
        </w:tc>
        <w:tc>
          <w:tcPr>
            <w:tcW w:w="9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4"/>
                <w:szCs w:val="14"/>
                <w:color w:val="auto"/>
              </w:rPr>
            </w:pPr>
          </w:p>
        </w:tc>
        <w:tc>
          <w:tcPr>
            <w:tcW w:w="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With No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w w:val="98"/>
              </w:rPr>
              <w:t>With</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4"/>
                <w:szCs w:val="14"/>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Related</w:t>
            </w: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6"/>
                <w:szCs w:val="16"/>
                <w:color w:val="auto"/>
              </w:rPr>
            </w:pPr>
          </w:p>
        </w:tc>
        <w:tc>
          <w:tcPr>
            <w:tcW w:w="104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w w:val="94"/>
              </w:rPr>
              <w:t>Investment</w:t>
            </w:r>
          </w:p>
        </w:tc>
        <w:tc>
          <w:tcPr>
            <w:tcW w:w="9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Allowance</w:t>
            </w:r>
          </w:p>
        </w:tc>
        <w:tc>
          <w:tcPr>
            <w:tcW w:w="12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2018</w:t>
            </w: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2,274</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1,819</w:t>
            </w: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3"/>
          </w:tcPr>
          <w:p>
            <w:pPr>
              <w:jc w:val="right"/>
              <w:ind w:right="108"/>
              <w:spacing w:after="0"/>
              <w:rPr>
                <w:sz w:val="20"/>
                <w:szCs w:val="20"/>
                <w:color w:val="auto"/>
              </w:rPr>
            </w:pPr>
            <w:r>
              <w:rPr>
                <w:rFonts w:ascii="Arial" w:cs="Arial" w:eastAsia="Arial" w:hAnsi="Arial"/>
                <w:sz w:val="18"/>
                <w:szCs w:val="18"/>
                <w:color w:val="auto"/>
              </w:rPr>
              <w:t>1,819</w:t>
            </w:r>
          </w:p>
        </w:tc>
        <w:tc>
          <w:tcPr>
            <w:tcW w:w="1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tcBorders>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49"/>
        </w:trPr>
        <w:tc>
          <w:tcPr>
            <w:tcW w:w="35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2,116</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37"/>
        </w:trPr>
        <w:tc>
          <w:tcPr>
            <w:tcW w:w="3520" w:type="dxa"/>
            <w:vAlign w:val="bottom"/>
            <w:gridSpan w:val="4"/>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2,710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108"/>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49"/>
        </w:trPr>
        <w:tc>
          <w:tcPr>
            <w:tcW w:w="35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20" w:type="dxa"/>
            <w:vAlign w:val="bottom"/>
            <w:gridSpan w:val="4"/>
          </w:tcPr>
          <w:p>
            <w:pPr>
              <w:ind w:left="18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364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108"/>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49"/>
        </w:trPr>
        <w:tc>
          <w:tcPr>
            <w:tcW w:w="3520" w:type="dxa"/>
            <w:vAlign w:val="bottom"/>
            <w:tcBorders>
              <w:right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20" w:type="dxa"/>
            <w:vAlign w:val="bottom"/>
            <w:gridSpan w:val="4"/>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5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12,042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3,074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9,360</w:t>
            </w:r>
          </w:p>
        </w:tc>
        <w:tc>
          <w:tcPr>
            <w:tcW w:w="1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241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15,176</w:t>
            </w: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w w:val="84"/>
              </w:rPr>
              <w:t>2017</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7,360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37"/>
        </w:trPr>
        <w:tc>
          <w:tcPr>
            <w:tcW w:w="3520" w:type="dxa"/>
            <w:vAlign w:val="bottom"/>
            <w:gridSpan w:val="4"/>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6,074</w:t>
            </w:r>
          </w:p>
        </w:tc>
        <w:tc>
          <w:tcPr>
            <w:tcW w:w="10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108"/>
              <w:spacing w:after="0"/>
              <w:rPr>
                <w:sz w:val="20"/>
                <w:szCs w:val="20"/>
                <w:color w:val="auto"/>
              </w:rPr>
            </w:pPr>
            <w:r>
              <w:rPr>
                <w:rFonts w:ascii="Arial" w:cs="Arial" w:eastAsia="Arial" w:hAnsi="Arial"/>
                <w:sz w:val="18"/>
                <w:szCs w:val="18"/>
                <w:color w:val="auto"/>
              </w:rPr>
              <w:t>5,367</w:t>
            </w:r>
          </w:p>
        </w:tc>
        <w:tc>
          <w:tcPr>
            <w:tcW w:w="12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49"/>
        </w:trPr>
        <w:tc>
          <w:tcPr>
            <w:tcW w:w="35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3,659</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4,975</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4,901</w:t>
            </w:r>
          </w:p>
        </w:tc>
        <w:tc>
          <w:tcPr>
            <w:tcW w:w="0" w:type="dxa"/>
            <w:vAlign w:val="bottom"/>
          </w:tcPr>
          <w:p>
            <w:pPr>
              <w:spacing w:after="0"/>
              <w:rPr>
                <w:sz w:val="1"/>
                <w:szCs w:val="1"/>
                <w:color w:val="auto"/>
              </w:rPr>
            </w:pPr>
          </w:p>
        </w:tc>
      </w:tr>
      <w:tr>
        <w:trPr>
          <w:trHeight w:val="237"/>
        </w:trPr>
        <w:tc>
          <w:tcPr>
            <w:tcW w:w="3520" w:type="dxa"/>
            <w:vAlign w:val="bottom"/>
            <w:gridSpan w:val="4"/>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20" w:type="dxa"/>
            <w:vAlign w:val="bottom"/>
            <w:tcBorders>
              <w:right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3,937</w:t>
            </w:r>
          </w:p>
        </w:tc>
        <w:tc>
          <w:tcPr>
            <w:tcW w:w="1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2,888</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399</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3,287</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37"/>
        </w:trPr>
        <w:tc>
          <w:tcPr>
            <w:tcW w:w="3520" w:type="dxa"/>
            <w:vAlign w:val="bottom"/>
            <w:gridSpan w:val="4"/>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520" w:type="dxa"/>
            <w:vAlign w:val="bottom"/>
            <w:tcBorders>
              <w:right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80" w:type="dxa"/>
            <w:vAlign w:val="bottom"/>
            <w:tcBorders>
              <w:right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20" w:type="dxa"/>
            <w:vAlign w:val="bottom"/>
            <w:gridSpan w:val="4"/>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20,989</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17,922</w:t>
            </w:r>
          </w:p>
        </w:tc>
        <w:tc>
          <w:tcPr>
            <w:tcW w:w="0" w:type="dxa"/>
            <w:vAlign w:val="bottom"/>
          </w:tcPr>
          <w:p>
            <w:pPr>
              <w:spacing w:after="0"/>
              <w:rPr>
                <w:sz w:val="1"/>
                <w:szCs w:val="1"/>
                <w:color w:val="auto"/>
              </w:rPr>
            </w:pPr>
          </w:p>
        </w:tc>
      </w:tr>
      <w:tr>
        <w:trPr>
          <w:trHeight w:val="27"/>
        </w:trPr>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8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right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left w:val="single" w:sz="8" w:color="auto"/>
            </w:tcBorders>
            <w:shd w:val="clear" w:color="auto" w:fill="000000"/>
          </w:tcPr>
          <w:p>
            <w:pPr>
              <w:spacing w:after="0"/>
              <w:rPr>
                <w:sz w:val="2"/>
                <w:szCs w:val="2"/>
                <w:color w:val="auto"/>
              </w:rPr>
            </w:pPr>
          </w:p>
        </w:tc>
        <w:tc>
          <w:tcPr>
            <w:tcW w:w="76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All impaired loans $250,000 and greater were specifically evaluated for impairment. Interest income recognized using a cash-basis method on impaired loans for 2018 and 2017 was not significant. Additional funds committed to be advanced on impaired loans are not significant.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age analysis on accruing past-due loans and nonaccrual loans at year-end: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30-89 Days</w:t>
            </w:r>
          </w:p>
        </w:tc>
        <w:tc>
          <w:tcPr>
            <w:tcW w:w="12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90 Days or</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3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Past Due</w:t>
            </w:r>
          </w:p>
        </w:tc>
        <w:tc>
          <w:tcPr>
            <w:tcW w:w="120" w:type="dxa"/>
            <w:vAlign w:val="bottom"/>
          </w:tcPr>
          <w:p>
            <w:pPr>
              <w:spacing w:after="0"/>
              <w:rPr>
                <w:sz w:val="16"/>
                <w:szCs w:val="16"/>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More Past Due</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Nonaccrual</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2018</w:t>
            </w:r>
          </w:p>
        </w:tc>
        <w:tc>
          <w:tcPr>
            <w:tcW w:w="56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37"/>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1,748</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217</w:t>
            </w:r>
          </w:p>
        </w:tc>
      </w:tr>
      <w:tr>
        <w:trPr>
          <w:trHeight w:val="249"/>
        </w:trPr>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2,550</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2,134</w:t>
            </w:r>
          </w:p>
        </w:tc>
      </w:tr>
      <w:tr>
        <w:trPr>
          <w:trHeight w:val="249"/>
        </w:trPr>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1,489</w:t>
            </w:r>
          </w:p>
        </w:tc>
      </w:tr>
      <w:tr>
        <w:trPr>
          <w:trHeight w:val="249"/>
        </w:trPr>
        <w:tc>
          <w:tcPr>
            <w:tcW w:w="5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60" w:type="dxa"/>
            <w:vAlign w:val="bottom"/>
            <w:shd w:val="clear" w:color="auto" w:fill="CCEEFF"/>
          </w:tcPr>
          <w:p>
            <w:pPr>
              <w:spacing w:after="0" w:line="20" w:lineRule="exact"/>
              <w:rPr>
                <w:sz w:val="1"/>
                <w:szCs w:val="1"/>
                <w:color w:val="auto"/>
              </w:rPr>
            </w:pPr>
          </w:p>
        </w:tc>
        <w:tc>
          <w:tcPr>
            <w:tcW w:w="56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8,684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6,390</w:t>
            </w:r>
          </w:p>
        </w:tc>
      </w:tr>
      <w:tr>
        <w:trPr>
          <w:trHeight w:val="28"/>
        </w:trPr>
        <w:tc>
          <w:tcPr>
            <w:tcW w:w="3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360" w:type="dxa"/>
            <w:vAlign w:val="bottom"/>
            <w:shd w:val="clear" w:color="auto" w:fill="CCEEFF"/>
          </w:tcPr>
          <w:p>
            <w:pPr>
              <w:spacing w:after="0"/>
              <w:rPr>
                <w:sz w:val="21"/>
                <w:szCs w:val="21"/>
                <w:color w:val="auto"/>
              </w:rPr>
            </w:pPr>
          </w:p>
        </w:tc>
        <w:tc>
          <w:tcPr>
            <w:tcW w:w="56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89"/>
        </w:trPr>
        <w:tc>
          <w:tcPr>
            <w:tcW w:w="36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w w:val="84"/>
              </w:rPr>
              <w:t>2017</w:t>
            </w:r>
          </w:p>
        </w:tc>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
        </w:trPr>
        <w:tc>
          <w:tcPr>
            <w:tcW w:w="3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5,558</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1,587</w:t>
            </w:r>
          </w:p>
        </w:tc>
      </w:tr>
      <w:tr>
        <w:trPr>
          <w:trHeight w:val="249"/>
        </w:trPr>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1,827</w:t>
            </w:r>
          </w:p>
        </w:tc>
        <w:tc>
          <w:tcPr>
            <w:tcW w:w="1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3,385</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3,147</w:t>
            </w:r>
          </w:p>
        </w:tc>
        <w:tc>
          <w:tcPr>
            <w:tcW w:w="1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2,088</w:t>
            </w: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49"/>
        </w:trPr>
        <w:tc>
          <w:tcPr>
            <w:tcW w:w="59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r>
      <w:tr>
        <w:trPr>
          <w:trHeight w:val="20"/>
        </w:trPr>
        <w:tc>
          <w:tcPr>
            <w:tcW w:w="360" w:type="dxa"/>
            <w:vAlign w:val="bottom"/>
          </w:tcPr>
          <w:p>
            <w:pPr>
              <w:spacing w:after="0" w:line="20" w:lineRule="exact"/>
              <w:rPr>
                <w:sz w:val="1"/>
                <w:szCs w:val="1"/>
                <w:color w:val="auto"/>
              </w:rPr>
            </w:pPr>
          </w:p>
        </w:tc>
        <w:tc>
          <w:tcPr>
            <w:tcW w:w="56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12,704</w:t>
            </w:r>
          </w:p>
        </w:tc>
      </w:tr>
      <w:tr>
        <w:trPr>
          <w:trHeight w:val="27"/>
        </w:trPr>
        <w:tc>
          <w:tcPr>
            <w:tcW w:w="360" w:type="dxa"/>
            <w:vAlign w:val="bottom"/>
            <w:tcBorders>
              <w:top w:val="single" w:sz="8" w:color="CCEEFF"/>
            </w:tcBorders>
            <w:shd w:val="clear" w:color="auto" w:fill="CCEEFF"/>
          </w:tcPr>
          <w:p>
            <w:pPr>
              <w:spacing w:after="0"/>
              <w:rPr>
                <w:sz w:val="2"/>
                <w:szCs w:val="2"/>
                <w:color w:val="auto"/>
              </w:rPr>
            </w:pPr>
          </w:p>
        </w:tc>
        <w:tc>
          <w:tcPr>
            <w:tcW w:w="562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1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6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 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b w:val="1"/>
                <w:bCs w:val="1"/>
                <w:i w:val="1"/>
                <w:iCs w:val="1"/>
                <w:color w:val="auto"/>
                <w:w w:val="92"/>
              </w:rPr>
              <w:t>3.</w:t>
            </w:r>
          </w:p>
        </w:tc>
        <w:tc>
          <w:tcPr>
            <w:tcW w:w="20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b w:val="1"/>
                <w:bCs w:val="1"/>
                <w:i w:val="1"/>
                <w:iCs w:val="1"/>
                <w:color w:val="auto"/>
              </w:rPr>
              <w:t>LOANS (Continued)</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60" w:type="dxa"/>
            <w:vAlign w:val="bottom"/>
            <w:gridSpan w:val="9"/>
          </w:tcPr>
          <w:p>
            <w:pPr>
              <w:spacing w:after="0"/>
              <w:rPr>
                <w:sz w:val="20"/>
                <w:szCs w:val="20"/>
                <w:color w:val="auto"/>
              </w:rPr>
            </w:pPr>
            <w:r>
              <w:rPr>
                <w:rFonts w:ascii="Arial" w:cs="Arial" w:eastAsia="Arial" w:hAnsi="Arial"/>
                <w:sz w:val="18"/>
                <w:szCs w:val="18"/>
                <w:color w:val="auto"/>
                <w:w w:val="98"/>
              </w:rPr>
              <w:t>The following table summarizes the internal classifications of loans at year-end:</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Special</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Mention</w:t>
            </w: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Substandard</w:t>
            </w:r>
          </w:p>
        </w:tc>
        <w:tc>
          <w:tcPr>
            <w:tcW w:w="12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Doubtful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2"/>
        </w:trPr>
        <w:tc>
          <w:tcPr>
            <w:tcW w:w="36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84"/>
              </w:rPr>
              <w:t>2018</w:t>
            </w:r>
          </w:p>
        </w:tc>
        <w:tc>
          <w:tcPr>
            <w:tcW w:w="36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514,249</w:t>
            </w: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17,300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6,488</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538,037</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301,289</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3,733</w:t>
            </w: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305,022</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415,675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10,604</w:t>
            </w:r>
          </w:p>
        </w:tc>
        <w:tc>
          <w:tcPr>
            <w:tcW w:w="1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1-4 family residential</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340,836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5,317</w:t>
            </w:r>
          </w:p>
        </w:tc>
        <w:tc>
          <w:tcPr>
            <w:tcW w:w="1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60" w:type="dxa"/>
            <w:vAlign w:val="bottom"/>
            <w:shd w:val="clear" w:color="auto" w:fill="CCEEFF"/>
          </w:tcPr>
          <w:p>
            <w:pPr>
              <w:spacing w:after="0"/>
              <w:rPr>
                <w:sz w:val="21"/>
                <w:szCs w:val="21"/>
                <w:color w:val="auto"/>
              </w:rPr>
            </w:pPr>
          </w:p>
        </w:tc>
        <w:tc>
          <w:tcPr>
            <w:tcW w:w="38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Auto loans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191,435</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Other consumer</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1,911,960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18,749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26,488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1,957,197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 w:type="dxa"/>
            <w:vAlign w:val="bottom"/>
            <w:gridSpan w:val="2"/>
            <w:shd w:val="clear" w:color="auto" w:fill="CCEEFF"/>
          </w:tcPr>
          <w:p>
            <w:pPr>
              <w:spacing w:after="0"/>
              <w:rPr>
                <w:sz w:val="21"/>
                <w:szCs w:val="21"/>
                <w:color w:val="auto"/>
              </w:rPr>
            </w:pPr>
          </w:p>
        </w:tc>
        <w:tc>
          <w:tcPr>
            <w:tcW w:w="36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w w:val="84"/>
              </w:rPr>
              <w:t>2017</w:t>
            </w: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9,801</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506,894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322,424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397,390</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8,150</w:t>
            </w:r>
          </w:p>
        </w:tc>
        <w:tc>
          <w:tcPr>
            <w:tcW w:w="120" w:type="dxa"/>
            <w:vAlign w:val="bottom"/>
            <w:tcBorders>
              <w:left w:val="single" w:sz="8" w:color="CCEEFF"/>
            </w:tcBorders>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410,057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60" w:type="dxa"/>
            <w:vAlign w:val="bottom"/>
            <w:shd w:val="clear" w:color="auto" w:fill="CCEEFF"/>
          </w:tcPr>
          <w:p>
            <w:pPr>
              <w:spacing w:after="0"/>
              <w:rPr>
                <w:sz w:val="21"/>
                <w:szCs w:val="21"/>
                <w:color w:val="auto"/>
              </w:rPr>
            </w:pPr>
          </w:p>
        </w:tc>
        <w:tc>
          <w:tcPr>
            <w:tcW w:w="38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306,743</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6,607</w:t>
            </w: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313,350</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146,489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60" w:type="dxa"/>
            <w:vAlign w:val="bottom"/>
            <w:shd w:val="clear" w:color="auto" w:fill="CCEEFF"/>
          </w:tcPr>
          <w:p>
            <w:pPr>
              <w:spacing w:after="0"/>
              <w:rPr>
                <w:sz w:val="21"/>
                <w:szCs w:val="21"/>
                <w:color w:val="auto"/>
              </w:rPr>
            </w:pPr>
          </w:p>
        </w:tc>
        <w:tc>
          <w:tcPr>
            <w:tcW w:w="38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65,959</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65,847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65,922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1,800,712</w:t>
            </w: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31,693</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1,838,155</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66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left w:val="single" w:sz="8" w:color="auto"/>
            </w:tcBorders>
            <w:shd w:val="clear" w:color="auto" w:fill="000000"/>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right w:val="single" w:sz="8" w:color="auto"/>
            </w:tcBorders>
            <w:shd w:val="clear" w:color="auto" w:fill="000000"/>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00" w:type="dxa"/>
            <w:vAlign w:val="bottom"/>
            <w:gridSpan w:val="5"/>
          </w:tcPr>
          <w:p>
            <w:pPr>
              <w:spacing w:after="0"/>
              <w:rPr>
                <w:sz w:val="20"/>
                <w:szCs w:val="20"/>
                <w:color w:val="auto"/>
              </w:rPr>
            </w:pPr>
            <w:r>
              <w:rPr>
                <w:rFonts w:ascii="Arial" w:cs="Arial" w:eastAsia="Arial" w:hAnsi="Arial"/>
                <w:sz w:val="18"/>
                <w:szCs w:val="18"/>
                <w:color w:val="auto"/>
                <w:w w:val="96"/>
              </w:rPr>
              <w:t>There were no troubled debt restructurings during 2018 and 2017.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 w:type="dxa"/>
            <w:vAlign w:val="bottom"/>
          </w:tcPr>
          <w:p>
            <w:pPr>
              <w:spacing w:after="0"/>
              <w:rPr>
                <w:sz w:val="20"/>
                <w:szCs w:val="20"/>
                <w:color w:val="auto"/>
              </w:rPr>
            </w:pPr>
            <w:r>
              <w:rPr>
                <w:rFonts w:ascii="Arial" w:cs="Arial" w:eastAsia="Arial" w:hAnsi="Arial"/>
                <w:sz w:val="18"/>
                <w:szCs w:val="18"/>
                <w:b w:val="1"/>
                <w:bCs w:val="1"/>
                <w:i w:val="1"/>
                <w:iCs w:val="1"/>
                <w:color w:val="auto"/>
                <w:w w:val="92"/>
              </w:rPr>
              <w:t>4.</w:t>
            </w:r>
          </w:p>
        </w:tc>
        <w:tc>
          <w:tcPr>
            <w:tcW w:w="386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FORECLOSED ASSETS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20" w:type="dxa"/>
            <w:vAlign w:val="bottom"/>
            <w:gridSpan w:val="3"/>
          </w:tcPr>
          <w:p>
            <w:pPr>
              <w:spacing w:after="0"/>
              <w:rPr>
                <w:sz w:val="20"/>
                <w:szCs w:val="20"/>
                <w:color w:val="auto"/>
              </w:rPr>
            </w:pPr>
            <w:r>
              <w:rPr>
                <w:rFonts w:ascii="Arial" w:cs="Arial" w:eastAsia="Arial" w:hAnsi="Arial"/>
                <w:sz w:val="18"/>
                <w:szCs w:val="18"/>
                <w:color w:val="auto"/>
              </w:rPr>
              <w:t>Foreclosed assets activity was as follows: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2,830</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6,473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49"/>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Sales, net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43"/>
        </w:trPr>
        <w:tc>
          <w:tcPr>
            <w:tcW w:w="4020" w:type="dxa"/>
            <w:vAlign w:val="bottom"/>
            <w:gridSpan w:val="3"/>
          </w:tcPr>
          <w:p>
            <w:pPr>
              <w:spacing w:after="0"/>
              <w:rPr>
                <w:sz w:val="20"/>
                <w:szCs w:val="20"/>
                <w:color w:val="auto"/>
              </w:rPr>
            </w:pPr>
            <w:r>
              <w:rPr>
                <w:rFonts w:ascii="Arial" w:cs="Arial" w:eastAsia="Arial" w:hAnsi="Arial"/>
                <w:sz w:val="18"/>
                <w:szCs w:val="18"/>
                <w:color w:val="auto"/>
              </w:rPr>
              <w:t>Current year valuation write-down</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2,285</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324"/>
        </w:trPr>
        <w:tc>
          <w:tcPr>
            <w:tcW w:w="40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Activity in the valuation allowance was as follows:</w:t>
            </w:r>
          </w:p>
        </w:tc>
        <w:tc>
          <w:tcPr>
            <w:tcW w:w="2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1,413</w:t>
            </w:r>
          </w:p>
        </w:tc>
        <w:tc>
          <w:tcPr>
            <w:tcW w:w="60" w:type="dxa"/>
            <w:vAlign w:val="bottom"/>
            <w:tcBorders>
              <w:right w:val="single" w:sz="8" w:color="CCEEFF"/>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3"/>
          </w:tcPr>
          <w:p>
            <w:pPr>
              <w:spacing w:after="0"/>
              <w:rPr>
                <w:sz w:val="20"/>
                <w:szCs w:val="20"/>
                <w:color w:val="auto"/>
              </w:rPr>
            </w:pPr>
            <w:r>
              <w:rPr>
                <w:rFonts w:ascii="Arial" w:cs="Arial" w:eastAsia="Arial" w:hAnsi="Arial"/>
                <w:sz w:val="18"/>
                <w:szCs w:val="18"/>
                <w:color w:val="auto"/>
              </w:rPr>
              <w:t>Current year valuation write-down</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Reductions from sales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8"/>
                <w:szCs w:val="18"/>
                <w:color w:val="auto"/>
              </w:rPr>
              <w:t>F-21</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66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20" w:type="dxa"/>
            <w:vAlign w:val="bottom"/>
            <w:tcBorders>
              <w:left w:val="single" w:sz="8" w:color="auto"/>
            </w:tcBorders>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60" w:type="dxa"/>
            <w:vAlign w:val="bottom"/>
            <w:tcBorders>
              <w:right w:val="single" w:sz="8" w:color="auto"/>
            </w:tcBorders>
            <w:shd w:val="clear" w:color="auto" w:fill="000000"/>
          </w:tcPr>
          <w:p>
            <w:pPr>
              <w:spacing w:after="0"/>
              <w:rPr>
                <w:sz w:val="5"/>
                <w:szCs w:val="5"/>
                <w:color w:val="auto"/>
              </w:rPr>
            </w:pPr>
          </w:p>
        </w:tc>
        <w:tc>
          <w:tcPr>
            <w:tcW w:w="14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60" w:top="279" w:right="117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4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5900" w:type="dxa"/>
            <w:vAlign w:val="bottom"/>
          </w:tcPr>
          <w:p>
            <w:pPr>
              <w:jc w:val="center"/>
              <w:ind w:left="510"/>
              <w:spacing w:after="0"/>
              <w:rPr>
                <w:sz w:val="20"/>
                <w:szCs w:val="20"/>
                <w:color w:val="auto"/>
              </w:rPr>
            </w:pPr>
            <w:r>
              <w:rPr>
                <w:rFonts w:ascii="Arial" w:cs="Arial" w:eastAsia="Arial" w:hAnsi="Arial"/>
                <w:sz w:val="18"/>
                <w:szCs w:val="18"/>
                <w:b w:val="1"/>
                <w:bCs w:val="1"/>
                <w:i w:val="1"/>
                <w:iCs w:val="1"/>
                <w:color w:val="auto"/>
                <w:w w:val="98"/>
              </w:rPr>
              <w:t>SOUTH PLAINS FINANCIAL, INC. AND SUBSIDIARIES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900" w:type="dxa"/>
            <w:vAlign w:val="bottom"/>
          </w:tcPr>
          <w:p>
            <w:pPr>
              <w:jc w:val="center"/>
              <w:ind w:left="510"/>
              <w:spacing w:after="0"/>
              <w:rPr>
                <w:sz w:val="20"/>
                <w:szCs w:val="20"/>
                <w:color w:val="auto"/>
              </w:rPr>
            </w:pPr>
            <w:r>
              <w:rPr>
                <w:rFonts w:ascii="Arial" w:cs="Arial" w:eastAsia="Arial" w:hAnsi="Arial"/>
                <w:sz w:val="18"/>
                <w:szCs w:val="18"/>
                <w:b w:val="1"/>
                <w:bCs w:val="1"/>
                <w:i w:val="1"/>
                <w:iCs w:val="1"/>
                <w:color w:val="auto"/>
                <w:w w:val="96"/>
              </w:rPr>
              <w:t>NOTES TO CONSOLIDATED FINANCIAL STATEMENTS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900" w:type="dxa"/>
            <w:vAlign w:val="bottom"/>
          </w:tcPr>
          <w:p>
            <w:pPr>
              <w:jc w:val="center"/>
              <w:ind w:left="490"/>
              <w:spacing w:after="0"/>
              <w:rPr>
                <w:sz w:val="20"/>
                <w:szCs w:val="20"/>
                <w:color w:val="auto"/>
              </w:rPr>
            </w:pPr>
            <w:r>
              <w:rPr>
                <w:rFonts w:ascii="Arial" w:cs="Arial" w:eastAsia="Arial" w:hAnsi="Arial"/>
                <w:sz w:val="18"/>
                <w:szCs w:val="18"/>
                <w:b w:val="1"/>
                <w:bCs w:val="1"/>
                <w:i w:val="1"/>
                <w:iCs w:val="1"/>
                <w:color w:val="auto"/>
                <w:w w:val="87"/>
              </w:rPr>
              <w:t>(Dollar in thousands except per share data) (Continued)</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720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FORECLOSED ASSETS (Continued)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gridSpan w:val="3"/>
          </w:tcPr>
          <w:p>
            <w:pPr>
              <w:spacing w:after="0"/>
              <w:rPr>
                <w:sz w:val="20"/>
                <w:szCs w:val="20"/>
                <w:color w:val="auto"/>
              </w:rPr>
            </w:pPr>
            <w:r>
              <w:rPr>
                <w:rFonts w:ascii="Arial" w:cs="Arial" w:eastAsia="Arial" w:hAnsi="Arial"/>
                <w:sz w:val="18"/>
                <w:szCs w:val="18"/>
                <w:color w:val="auto"/>
              </w:rPr>
              <w:t>Net expenses related to foreclosed assets include:</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(gain) loss on sales</w:t>
            </w: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7"/>
        </w:trPr>
        <w:tc>
          <w:tcPr>
            <w:tcW w:w="7440" w:type="dxa"/>
            <w:vAlign w:val="bottom"/>
            <w:gridSpan w:val="3"/>
          </w:tcPr>
          <w:p>
            <w:pPr>
              <w:spacing w:after="0"/>
              <w:rPr>
                <w:sz w:val="20"/>
                <w:szCs w:val="20"/>
                <w:color w:val="auto"/>
              </w:rPr>
            </w:pPr>
            <w:r>
              <w:rPr>
                <w:rFonts w:ascii="Arial" w:cs="Arial" w:eastAsia="Arial" w:hAnsi="Arial"/>
                <w:sz w:val="18"/>
                <w:szCs w:val="18"/>
                <w:color w:val="auto"/>
              </w:rPr>
              <w:t>Current year valuation write-down</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220" w:type="dxa"/>
            <w:vAlign w:val="bottom"/>
            <w:tcBorders>
              <w:left w:val="single" w:sz="8" w:color="CCEEFF"/>
            </w:tcBorders>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59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3"/>
          </w:tcPr>
          <w:p>
            <w:pPr>
              <w:spacing w:after="0"/>
              <w:rPr>
                <w:sz w:val="20"/>
                <w:szCs w:val="20"/>
                <w:color w:val="auto"/>
              </w:rPr>
            </w:pPr>
            <w:r>
              <w:rPr>
                <w:rFonts w:ascii="Arial" w:cs="Arial" w:eastAsia="Arial" w:hAnsi="Arial"/>
                <w:sz w:val="18"/>
                <w:szCs w:val="18"/>
                <w:color w:val="auto"/>
              </w:rPr>
              <w:t>Foreclosed assets expense, net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9"/>
                <w:szCs w:val="19"/>
                <w:color w:val="auto"/>
              </w:rPr>
            </w:pPr>
          </w:p>
        </w:tc>
        <w:tc>
          <w:tcPr>
            <w:tcW w:w="220" w:type="dxa"/>
            <w:vAlign w:val="bottom"/>
          </w:tcPr>
          <w:p>
            <w:pPr>
              <w:jc w:val="right"/>
              <w:ind w:right="9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5.</w:t>
            </w:r>
          </w:p>
        </w:tc>
        <w:tc>
          <w:tcPr>
            <w:tcW w:w="7200" w:type="dxa"/>
            <w:vAlign w:val="bottom"/>
            <w:gridSpan w:val="2"/>
            <w:vMerge w:val="restart"/>
          </w:tcPr>
          <w:p>
            <w:pPr>
              <w:ind w:left="120"/>
              <w:spacing w:after="0"/>
              <w:rPr>
                <w:sz w:val="20"/>
                <w:szCs w:val="20"/>
                <w:color w:val="auto"/>
              </w:rPr>
            </w:pPr>
            <w:r>
              <w:rPr>
                <w:rFonts w:ascii="Arial" w:cs="Arial" w:eastAsia="Arial" w:hAnsi="Arial"/>
                <w:sz w:val="18"/>
                <w:szCs w:val="18"/>
                <w:b w:val="1"/>
                <w:bCs w:val="1"/>
                <w:i w:val="1"/>
                <w:iCs w:val="1"/>
                <w:color w:val="auto"/>
              </w:rPr>
              <w:t>PREMISES AND EQUIPMENT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40" w:type="dxa"/>
            <w:vAlign w:val="bottom"/>
            <w:vMerge w:val="continue"/>
          </w:tcPr>
          <w:p>
            <w:pPr>
              <w:spacing w:after="0"/>
              <w:rPr>
                <w:sz w:val="24"/>
                <w:szCs w:val="24"/>
                <w:color w:val="auto"/>
              </w:rPr>
            </w:pPr>
          </w:p>
        </w:tc>
        <w:tc>
          <w:tcPr>
            <w:tcW w:w="7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40" w:type="dxa"/>
            <w:vAlign w:val="bottom"/>
            <w:gridSpan w:val="3"/>
          </w:tcPr>
          <w:p>
            <w:pPr>
              <w:spacing w:after="0"/>
              <w:rPr>
                <w:sz w:val="20"/>
                <w:szCs w:val="20"/>
                <w:color w:val="auto"/>
              </w:rPr>
            </w:pPr>
            <w:r>
              <w:rPr>
                <w:rFonts w:ascii="Arial" w:cs="Arial" w:eastAsia="Arial" w:hAnsi="Arial"/>
                <w:sz w:val="18"/>
                <w:szCs w:val="18"/>
                <w:color w:val="auto"/>
              </w:rPr>
              <w:t>Detail of premises and equipment at year-end follows: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tcBorders>
              <w:left w:val="single" w:sz="8" w:color="CCEEFF"/>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10,121</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10,121</w:t>
            </w:r>
          </w:p>
        </w:tc>
        <w:tc>
          <w:tcPr>
            <w:tcW w:w="0" w:type="dxa"/>
            <w:vAlign w:val="bottom"/>
          </w:tcPr>
          <w:p>
            <w:pPr>
              <w:spacing w:after="0"/>
              <w:rPr>
                <w:sz w:val="1"/>
                <w:szCs w:val="1"/>
                <w:color w:val="auto"/>
              </w:rPr>
            </w:pPr>
          </w:p>
        </w:tc>
      </w:tr>
      <w:tr>
        <w:trPr>
          <w:trHeight w:val="237"/>
        </w:trPr>
        <w:tc>
          <w:tcPr>
            <w:tcW w:w="744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60,799</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60,119</w:t>
            </w:r>
          </w:p>
        </w:tc>
        <w:tc>
          <w:tcPr>
            <w:tcW w:w="0" w:type="dxa"/>
            <w:vAlign w:val="bottom"/>
          </w:tcPr>
          <w:p>
            <w:pPr>
              <w:spacing w:after="0"/>
              <w:rPr>
                <w:sz w:val="1"/>
                <w:szCs w:val="1"/>
                <w:color w:val="auto"/>
              </w:rPr>
            </w:pPr>
          </w:p>
        </w:tc>
      </w:tr>
      <w:tr>
        <w:trPr>
          <w:trHeight w:val="249"/>
        </w:trPr>
        <w:tc>
          <w:tcPr>
            <w:tcW w:w="7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20" w:type="dxa"/>
            <w:vAlign w:val="bottom"/>
            <w:tcBorders>
              <w:left w:val="single" w:sz="8" w:color="CCEEFF"/>
            </w:tcBorders>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41,954</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40,120</w:t>
            </w:r>
          </w:p>
        </w:tc>
        <w:tc>
          <w:tcPr>
            <w:tcW w:w="0" w:type="dxa"/>
            <w:vAlign w:val="bottom"/>
          </w:tcPr>
          <w:p>
            <w:pPr>
              <w:spacing w:after="0"/>
              <w:rPr>
                <w:sz w:val="1"/>
                <w:szCs w:val="1"/>
                <w:color w:val="auto"/>
              </w:rPr>
            </w:pPr>
          </w:p>
        </w:tc>
      </w:tr>
      <w:tr>
        <w:trPr>
          <w:trHeight w:val="243"/>
        </w:trPr>
        <w:tc>
          <w:tcPr>
            <w:tcW w:w="744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672</w:t>
            </w:r>
          </w:p>
        </w:tc>
        <w:tc>
          <w:tcPr>
            <w:tcW w:w="2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900" w:type="dxa"/>
            <w:vAlign w:val="bottom"/>
            <w:tcBorders>
              <w:right w:val="single" w:sz="8" w:color="auto"/>
            </w:tcBorders>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90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113,546</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110,637</w:t>
            </w:r>
          </w:p>
        </w:tc>
        <w:tc>
          <w:tcPr>
            <w:tcW w:w="0" w:type="dxa"/>
            <w:vAlign w:val="bottom"/>
          </w:tcPr>
          <w:p>
            <w:pPr>
              <w:spacing w:after="0"/>
              <w:rPr>
                <w:sz w:val="1"/>
                <w:szCs w:val="1"/>
                <w:color w:val="auto"/>
              </w:rPr>
            </w:pPr>
          </w:p>
        </w:tc>
      </w:tr>
      <w:tr>
        <w:trPr>
          <w:trHeight w:val="243"/>
        </w:trPr>
        <w:tc>
          <w:tcPr>
            <w:tcW w:w="744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(53,759)</w:t>
            </w: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(48,750)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900" w:type="dxa"/>
            <w:vAlign w:val="bottom"/>
            <w:tcBorders>
              <w:right w:val="single" w:sz="8" w:color="auto"/>
            </w:tcBorders>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4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20" w:type="dxa"/>
            <w:vAlign w:val="bottom"/>
            <w:tcBorders>
              <w:left w:val="single" w:sz="8" w:color="CCEEFF"/>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59,787</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61,887</w:t>
            </w:r>
          </w:p>
        </w:tc>
        <w:tc>
          <w:tcPr>
            <w:tcW w:w="0" w:type="dxa"/>
            <w:vAlign w:val="bottom"/>
          </w:tcPr>
          <w:p>
            <w:pPr>
              <w:spacing w:after="0"/>
              <w:rPr>
                <w:sz w:val="1"/>
                <w:szCs w:val="1"/>
                <w:color w:val="auto"/>
              </w:rPr>
            </w:pPr>
          </w:p>
        </w:tc>
      </w:tr>
      <w:tr>
        <w:trPr>
          <w:trHeight w:val="324"/>
        </w:trPr>
        <w:tc>
          <w:tcPr>
            <w:tcW w:w="74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Depreciation expense was approximately $5.2 million in 2018 and $5.3 million in 2017.</w:t>
            </w: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720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DEPOSITS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Time deposits that met or exceeded the FDIC Insurance limit of $250,000 were $130.0 million and $147.1 million at December 31, 2018 and 2017,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At December 31, 2018, the scheduled maturities of time deposits are as follows: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
        </w:trPr>
        <w:tc>
          <w:tcPr>
            <w:tcW w:w="1640" w:type="dxa"/>
            <w:vAlign w:val="bottom"/>
          </w:tcPr>
          <w:p>
            <w:pPr>
              <w:spacing w:after="0"/>
              <w:rPr>
                <w:sz w:val="4"/>
                <w:szCs w:val="4"/>
                <w:color w:val="auto"/>
              </w:rPr>
            </w:pPr>
          </w:p>
        </w:tc>
        <w:tc>
          <w:tcPr>
            <w:tcW w:w="5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7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163,101</w:t>
            </w:r>
          </w:p>
        </w:tc>
        <w:tc>
          <w:tcPr>
            <w:tcW w:w="100" w:type="dxa"/>
            <w:vAlign w:val="bottom"/>
            <w:tcBorders>
              <w:left w:val="single" w:sz="8" w:color="CCEEFF"/>
            </w:tcBorders>
            <w:shd w:val="clear" w:color="auto" w:fill="CCEEFF"/>
          </w:tcPr>
          <w:p>
            <w:pPr>
              <w:spacing w:after="0"/>
              <w:rPr>
                <w:sz w:val="21"/>
                <w:szCs w:val="21"/>
                <w:color w:val="auto"/>
              </w:rPr>
            </w:pPr>
          </w:p>
        </w:tc>
      </w:tr>
      <w:tr>
        <w:trPr>
          <w:trHeight w:val="237"/>
        </w:trPr>
        <w:tc>
          <w:tcPr>
            <w:tcW w:w="1640" w:type="dxa"/>
            <w:vAlign w:val="bottom"/>
          </w:tcPr>
          <w:p>
            <w:pPr>
              <w:spacing w:after="0"/>
              <w:rPr>
                <w:sz w:val="20"/>
                <w:szCs w:val="20"/>
                <w:color w:val="auto"/>
              </w:rPr>
            </w:pPr>
            <w:r>
              <w:rPr>
                <w:rFonts w:ascii="Arial" w:cs="Arial" w:eastAsia="Arial" w:hAnsi="Arial"/>
                <w:sz w:val="18"/>
                <w:szCs w:val="18"/>
                <w:color w:val="auto"/>
              </w:rPr>
              <w:t>2020</w:t>
            </w:r>
          </w:p>
        </w:tc>
        <w:tc>
          <w:tcPr>
            <w:tcW w:w="5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40,099</w:t>
            </w:r>
          </w:p>
        </w:tc>
        <w:tc>
          <w:tcPr>
            <w:tcW w:w="100" w:type="dxa"/>
            <w:vAlign w:val="bottom"/>
          </w:tcPr>
          <w:p>
            <w:pPr>
              <w:spacing w:after="0"/>
              <w:rPr>
                <w:sz w:val="20"/>
                <w:szCs w:val="20"/>
                <w:color w:val="auto"/>
              </w:rPr>
            </w:pPr>
          </w:p>
        </w:tc>
      </w:tr>
      <w:tr>
        <w:trPr>
          <w:trHeight w:val="249"/>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7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100" w:type="dxa"/>
            <w:vAlign w:val="bottom"/>
            <w:tcBorders>
              <w:left w:val="single" w:sz="8" w:color="CCEEFF"/>
            </w:tcBorders>
            <w:shd w:val="clear" w:color="auto" w:fill="CCEEFF"/>
          </w:tcPr>
          <w:p>
            <w:pPr>
              <w:spacing w:after="0"/>
              <w:rPr>
                <w:sz w:val="21"/>
                <w:szCs w:val="21"/>
                <w:color w:val="auto"/>
              </w:rPr>
            </w:pPr>
          </w:p>
        </w:tc>
      </w:tr>
      <w:tr>
        <w:trPr>
          <w:trHeight w:val="237"/>
        </w:trPr>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5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57,806</w:t>
            </w:r>
          </w:p>
        </w:tc>
        <w:tc>
          <w:tcPr>
            <w:tcW w:w="100" w:type="dxa"/>
            <w:vAlign w:val="bottom"/>
          </w:tcPr>
          <w:p>
            <w:pPr>
              <w:spacing w:after="0"/>
              <w:rPr>
                <w:sz w:val="20"/>
                <w:szCs w:val="20"/>
                <w:color w:val="auto"/>
              </w:rPr>
            </w:pPr>
          </w:p>
        </w:tc>
      </w:tr>
      <w:tr>
        <w:trPr>
          <w:trHeight w:val="249"/>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7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36,870</w:t>
            </w:r>
          </w:p>
        </w:tc>
        <w:tc>
          <w:tcPr>
            <w:tcW w:w="100" w:type="dxa"/>
            <w:vAlign w:val="bottom"/>
            <w:tcBorders>
              <w:left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r>
      <w:tr>
        <w:trPr>
          <w:trHeight w:val="20"/>
        </w:trPr>
        <w:tc>
          <w:tcPr>
            <w:tcW w:w="16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1640" w:type="dxa"/>
            <w:vAlign w:val="bottom"/>
            <w:shd w:val="clear" w:color="auto" w:fill="CCEEFF"/>
          </w:tcPr>
          <w:p>
            <w:pPr>
              <w:spacing w:after="0"/>
              <w:rPr>
                <w:sz w:val="23"/>
                <w:szCs w:val="23"/>
                <w:color w:val="auto"/>
              </w:rPr>
            </w:pPr>
          </w:p>
        </w:tc>
        <w:tc>
          <w:tcPr>
            <w:tcW w:w="578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311,537</w:t>
            </w:r>
          </w:p>
        </w:tc>
        <w:tc>
          <w:tcPr>
            <w:tcW w:w="100" w:type="dxa"/>
            <w:vAlign w:val="bottom"/>
            <w:tcBorders>
              <w:left w:val="single" w:sz="8" w:color="CCEEFF"/>
            </w:tcBorders>
            <w:shd w:val="clear" w:color="auto" w:fill="CCEEFF"/>
          </w:tcPr>
          <w:p>
            <w:pPr>
              <w:spacing w:after="0"/>
              <w:rPr>
                <w:sz w:val="23"/>
                <w:szCs w:val="23"/>
                <w:color w:val="auto"/>
              </w:rPr>
            </w:pPr>
          </w:p>
        </w:tc>
      </w:tr>
      <w:tr>
        <w:trPr>
          <w:trHeight w:val="324"/>
        </w:trPr>
        <w:tc>
          <w:tcPr>
            <w:tcW w:w="74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i w:val="1"/>
                <w:iCs w:val="1"/>
                <w:color w:val="auto"/>
              </w:rPr>
              <w:t>7.   BORROWING ARRANGEMENTS</w:t>
            </w:r>
          </w:p>
        </w:tc>
        <w:tc>
          <w:tcPr>
            <w:tcW w:w="2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83"/>
        </w:trPr>
        <w:tc>
          <w:tcPr>
            <w:tcW w:w="742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7420" w:type="dxa"/>
            <w:vAlign w:val="bottom"/>
            <w:gridSpan w:val="2"/>
          </w:tcPr>
          <w:p>
            <w:pPr>
              <w:spacing w:after="0"/>
              <w:rPr>
                <w:sz w:val="20"/>
                <w:szCs w:val="20"/>
                <w:color w:val="auto"/>
              </w:rPr>
            </w:pPr>
            <w:r>
              <w:rPr>
                <w:rFonts w:ascii="Arial" w:cs="Arial" w:eastAsia="Arial" w:hAnsi="Arial"/>
                <w:sz w:val="18"/>
                <w:szCs w:val="18"/>
                <w:color w:val="auto"/>
              </w:rPr>
              <w:t>The following table summarizes our short-term borrowings at year-end: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64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r>
      <w:tr>
        <w:trPr>
          <w:trHeight w:val="236"/>
        </w:trPr>
        <w:tc>
          <w:tcPr>
            <w:tcW w:w="7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15,550</w:t>
            </w:r>
          </w:p>
        </w:tc>
      </w:tr>
      <w:tr>
        <w:trPr>
          <w:trHeight w:val="243"/>
        </w:trPr>
        <w:tc>
          <w:tcPr>
            <w:tcW w:w="7420" w:type="dxa"/>
            <w:vAlign w:val="bottom"/>
            <w:gridSpan w:val="2"/>
          </w:tcPr>
          <w:p>
            <w:pPr>
              <w:spacing w:after="0"/>
              <w:rPr>
                <w:sz w:val="20"/>
                <w:szCs w:val="20"/>
                <w:color w:val="auto"/>
              </w:rPr>
            </w:pPr>
            <w:r>
              <w:rPr>
                <w:rFonts w:ascii="Arial" w:cs="Arial" w:eastAsia="Arial" w:hAnsi="Arial"/>
                <w:sz w:val="18"/>
                <w:szCs w:val="18"/>
                <w:color w:val="auto"/>
              </w:rPr>
              <w:t>FHLB advances - short-term</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640" w:type="dxa"/>
            <w:vAlign w:val="bottom"/>
          </w:tcPr>
          <w:p>
            <w:pPr>
              <w:spacing w:after="0" w:line="20" w:lineRule="exact"/>
              <w:rPr>
                <w:sz w:val="1"/>
                <w:szCs w:val="1"/>
                <w:color w:val="auto"/>
              </w:rPr>
            </w:pPr>
          </w:p>
        </w:tc>
        <w:tc>
          <w:tcPr>
            <w:tcW w:w="57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44"/>
        </w:trPr>
        <w:tc>
          <w:tcPr>
            <w:tcW w:w="7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15,550</w:t>
            </w:r>
          </w:p>
        </w:tc>
      </w:tr>
      <w:tr>
        <w:trPr>
          <w:trHeight w:val="27"/>
        </w:trPr>
        <w:tc>
          <w:tcPr>
            <w:tcW w:w="1640" w:type="dxa"/>
            <w:vAlign w:val="bottom"/>
            <w:tcBorders>
              <w:top w:val="single" w:sz="8" w:color="CCEEFF"/>
            </w:tcBorders>
            <w:shd w:val="clear" w:color="auto" w:fill="CCEEFF"/>
          </w:tcPr>
          <w:p>
            <w:pPr>
              <w:spacing w:after="0"/>
              <w:rPr>
                <w:sz w:val="2"/>
                <w:szCs w:val="2"/>
                <w:color w:val="auto"/>
              </w:rPr>
            </w:pPr>
          </w:p>
        </w:tc>
        <w:tc>
          <w:tcPr>
            <w:tcW w:w="57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auto"/>
            </w:tcBorders>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Federal funds purchased are short-term borrowings that generally have one-day maturities.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6" w:right="117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right="5620" w:firstLine="5"/>
        <w:spacing w:after="0" w:line="340" w:lineRule="auto"/>
        <w:tabs>
          <w:tab w:leader="none" w:pos="364"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BORROWING ARRANGEMENTS (Continued) </w:t>
      </w:r>
      <w:r>
        <w:rPr>
          <w:rFonts w:ascii="Arial" w:cs="Arial" w:eastAsia="Arial" w:hAnsi="Arial"/>
          <w:sz w:val="18"/>
          <w:szCs w:val="18"/>
          <w:u w:val="single" w:color="auto"/>
          <w:color w:val="auto"/>
        </w:rPr>
        <w:t>Lines of credit</w:t>
      </w:r>
    </w:p>
    <w:p>
      <w:pPr>
        <w:spacing w:after="0" w:line="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bank subsidiary has a line of credit with FHLB. The amount of the line is determined by FHLB on a quarterly basis. The line can be used to purchase Federal funds or to secure letters of credit to pledge as collateral against certain public deposits. Use and availability of the line at year-end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r>
      <w:tr>
        <w:trPr>
          <w:trHeight w:val="237"/>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 and short-term advances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Long-term advances</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95,000</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95,000</w:t>
            </w:r>
          </w:p>
        </w:tc>
      </w:tr>
      <w:tr>
        <w:trPr>
          <w:trHeight w:val="249"/>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Letters of credit</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199,000</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145,000</w:t>
            </w:r>
          </w:p>
        </w:tc>
      </w:tr>
      <w:tr>
        <w:trPr>
          <w:trHeight w:val="243"/>
        </w:trPr>
        <w:tc>
          <w:tcPr>
            <w:tcW w:w="7420" w:type="dxa"/>
            <w:vAlign w:val="bottom"/>
          </w:tcPr>
          <w:p>
            <w:pPr>
              <w:spacing w:after="0"/>
              <w:rPr>
                <w:sz w:val="20"/>
                <w:szCs w:val="20"/>
                <w:color w:val="auto"/>
              </w:rPr>
            </w:pPr>
            <w:r>
              <w:rPr>
                <w:rFonts w:ascii="Arial" w:cs="Arial" w:eastAsia="Arial" w:hAnsi="Arial"/>
                <w:sz w:val="18"/>
                <w:szCs w:val="18"/>
                <w:color w:val="auto"/>
              </w:rPr>
              <w:t>Available funds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425,366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456,616</w:t>
            </w:r>
          </w:p>
        </w:tc>
      </w:tr>
      <w:tr>
        <w:trPr>
          <w:trHeight w:val="20"/>
        </w:trPr>
        <w:tc>
          <w:tcPr>
            <w:tcW w:w="74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4"/>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719,366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696,616</w:t>
            </w:r>
          </w:p>
        </w:tc>
      </w:tr>
      <w:tr>
        <w:trPr>
          <w:trHeight w:val="27"/>
        </w:trPr>
        <w:tc>
          <w:tcPr>
            <w:tcW w:w="742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line is collateralized by a blanket floating lien on all first mortgage loans and commercial real estate loans as well as all FHLB stock, which has a carrying amount of $3.5 million at December 31, 2018.</w:t>
      </w:r>
    </w:p>
    <w:p>
      <w:pPr>
        <w:spacing w:after="0" w:line="6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$532.0 million and $466.0 million at December 31, 2018 and 2017, respectively. This line was not used at December 31, 2018 or 2017.</w:t>
      </w:r>
    </w:p>
    <w:p>
      <w:pPr>
        <w:spacing w:after="0" w:line="7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bank subsidiary also has uncollateralized lines of credit with multiple banks. The total amount of the lines was $135.0 and $135.0 million as of December 31, 2018 and 2017, respectively. These lines were not used at December 31, 2018 or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payable and other borrowings</w:t>
      </w:r>
    </w:p>
    <w:p>
      <w:pPr>
        <w:spacing w:after="0" w:line="11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 xml:space="preserve">There was a note for the Company’s ESOP to a bank, dated May 2007, payable in ten equal annual principal payments of $677,000, beginning January 2008. The note bore interest at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WSJ)</w:t>
      </w:r>
      <w:r>
        <w:rPr>
          <w:rFonts w:ascii="Arial" w:cs="Arial" w:eastAsia="Arial" w:hAnsi="Arial"/>
          <w:sz w:val="16"/>
          <w:szCs w:val="16"/>
          <w:color w:val="auto"/>
        </w:rPr>
        <w:t xml:space="preserve"> prime minus 0.5% payable quarterly, and was secured by unallocated shares of SPFI stock and guaranteed by the Company. The Company repaid the note in 2017.</w:t>
      </w:r>
    </w:p>
    <w:p>
      <w:pPr>
        <w:spacing w:after="0" w:line="41"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color w:val="auto"/>
        </w:rPr>
        <w:t>The bank subsidiary has multiple advances from FHLB. The advances are collateralized through the line of credit with FHLB with interest payable monthly and principal due at maturity. The following table is a detail of the advances as of December 31:</w:t>
      </w: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8"/>
              </w:rPr>
              <w:t>Original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Interest Rate at</w:t>
            </w:r>
          </w:p>
        </w:tc>
      </w:tr>
      <w:tr>
        <w:trPr>
          <w:trHeight w:val="162"/>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4"/>
                <w:szCs w:val="14"/>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2"/>
              </w:rPr>
              <w:t>Advance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2018 Balance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2017 Balance</w:t>
            </w:r>
          </w:p>
        </w:tc>
        <w:tc>
          <w:tcPr>
            <w:tcW w:w="20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r>
      <w:tr>
        <w:trPr>
          <w:trHeight w:val="237"/>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2020</w:t>
            </w:r>
          </w:p>
        </w:tc>
        <w:tc>
          <w:tcPr>
            <w:tcW w:w="1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Fixed; 1.50%</w:t>
            </w:r>
          </w:p>
        </w:tc>
      </w:tr>
      <w:tr>
        <w:trPr>
          <w:trHeight w:val="237"/>
        </w:trPr>
        <w:tc>
          <w:tcPr>
            <w:tcW w:w="336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2025</w:t>
            </w:r>
          </w:p>
        </w:tc>
        <w:tc>
          <w:tcPr>
            <w:tcW w:w="1640" w:type="dxa"/>
            <w:vAlign w:val="bottom"/>
            <w:gridSpan w:val="3"/>
          </w:tcPr>
          <w:p>
            <w:pPr>
              <w:ind w:left="100"/>
              <w:spacing w:after="0"/>
              <w:rPr>
                <w:sz w:val="20"/>
                <w:szCs w:val="20"/>
                <w:color w:val="auto"/>
              </w:rPr>
            </w:pPr>
            <w:r>
              <w:rPr>
                <w:rFonts w:ascii="Arial" w:cs="Arial" w:eastAsia="Arial" w:hAnsi="Arial"/>
                <w:sz w:val="18"/>
                <w:szCs w:val="18"/>
                <w:color w:val="auto"/>
              </w:rPr>
              <w:t>Variable; 2.46%</w:t>
            </w:r>
          </w:p>
        </w:tc>
      </w:tr>
      <w:tr>
        <w:trPr>
          <w:trHeight w:val="249"/>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2025</w:t>
            </w:r>
          </w:p>
        </w:tc>
        <w:tc>
          <w:tcPr>
            <w:tcW w:w="1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Variable; 2.46%</w:t>
            </w: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2025</w:t>
            </w:r>
          </w:p>
        </w:tc>
        <w:tc>
          <w:tcPr>
            <w:tcW w:w="1640" w:type="dxa"/>
            <w:vAlign w:val="bottom"/>
            <w:gridSpan w:val="3"/>
          </w:tcPr>
          <w:p>
            <w:pPr>
              <w:ind w:left="100"/>
              <w:spacing w:after="0"/>
              <w:rPr>
                <w:sz w:val="20"/>
                <w:szCs w:val="20"/>
                <w:color w:val="auto"/>
              </w:rPr>
            </w:pPr>
            <w:r>
              <w:rPr>
                <w:rFonts w:ascii="Arial" w:cs="Arial" w:eastAsia="Arial" w:hAnsi="Arial"/>
                <w:sz w:val="18"/>
                <w:szCs w:val="18"/>
                <w:color w:val="auto"/>
              </w:rPr>
              <w:t>Variable; 2.53%</w:t>
            </w:r>
          </w:p>
        </w:tc>
      </w:tr>
      <w:tr>
        <w:trPr>
          <w:trHeight w:val="20"/>
        </w:trPr>
        <w:tc>
          <w:tcPr>
            <w:tcW w:w="33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33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
        </w:trPr>
        <w:tc>
          <w:tcPr>
            <w:tcW w:w="33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Junior subordinated deferrable interest debentures and Trust preferred securities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Company’s consolidated balance sheets. The Company records interest expense on the debentures in its CFS.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BORROWING ARRANGEMENTS (Continued)</w:t>
      </w:r>
    </w:p>
    <w:p>
      <w:pPr>
        <w:spacing w:after="0" w:line="6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common capital securities issued by the trusts ($1.4 million) are included in other assets in the Company’s consolidated balance sheets under the equity method of accounting. The amount of the capital securities represents the Company’s maximum exposure to loss.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required by the Board of Governors of the Federal Reserve System (the Federal Reserve Board)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 Board.</w:t>
      </w:r>
    </w:p>
    <w:p>
      <w:pPr>
        <w:spacing w:after="0" w:line="7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Although the trusts are not consolidated in these CFS, the TPS remain outstanding with terms substantially the same as the debentures. The Company’s interest payments on its debentures are the sole source of repayment for the TPS. Additionally, the Company guarantees payment of interest and principal on the TPS.</w:t>
      </w:r>
    </w:p>
    <w:p>
      <w:pPr>
        <w:spacing w:after="0" w:line="7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terms of the debentures and TPS allow for interest to be deferred for up to five years consecutively. During this time, shareholder dividends are not allowed to be paid.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detail of the debentures and TPS at December 31, 2018:</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Stated Maturity</w:t>
            </w:r>
          </w:p>
        </w:tc>
        <w:tc>
          <w:tcPr>
            <w:tcW w:w="120" w:type="dxa"/>
            <w:vAlign w:val="bottom"/>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Interest Rate of</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Issue</w:t>
            </w: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Amount of</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Date of TPS and</w:t>
            </w:r>
          </w:p>
        </w:tc>
        <w:tc>
          <w:tcPr>
            <w:tcW w:w="120" w:type="dxa"/>
            <w:vAlign w:val="bottom"/>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TPS and</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TPS</w:t>
            </w:r>
          </w:p>
        </w:tc>
        <w:tc>
          <w:tcPr>
            <w:tcW w:w="18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Debentures</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Debentures (1)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Debentures (2)(3)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3-mo. LIBOR +</w:t>
            </w:r>
          </w:p>
        </w:tc>
        <w:tc>
          <w:tcPr>
            <w:tcW w:w="0" w:type="dxa"/>
            <w:vAlign w:val="bottom"/>
          </w:tcPr>
          <w:p>
            <w:pPr>
              <w:spacing w:after="0"/>
              <w:rPr>
                <w:sz w:val="1"/>
                <w:szCs w:val="1"/>
                <w:color w:val="auto"/>
              </w:rPr>
            </w:pPr>
          </w:p>
        </w:tc>
      </w:tr>
      <w:tr>
        <w:trPr>
          <w:trHeight w:val="244"/>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66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10,310</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2034</w:t>
            </w:r>
          </w:p>
        </w:tc>
        <w:tc>
          <w:tcPr>
            <w:tcW w:w="1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265bps; 5.13%</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3-mo. LIBOR +</w:t>
            </w:r>
          </w:p>
        </w:tc>
        <w:tc>
          <w:tcPr>
            <w:tcW w:w="0" w:type="dxa"/>
            <w:vAlign w:val="bottom"/>
          </w:tcPr>
          <w:p>
            <w:pPr>
              <w:spacing w:after="0"/>
              <w:rPr>
                <w:sz w:val="1"/>
                <w:szCs w:val="1"/>
                <w:color w:val="auto"/>
              </w:rPr>
            </w:pPr>
          </w:p>
        </w:tc>
      </w:tr>
      <w:tr>
        <w:trPr>
          <w:trHeight w:val="237"/>
        </w:trPr>
        <w:tc>
          <w:tcPr>
            <w:tcW w:w="378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IV</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20,619</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2035</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139bps; 4.18%</w:t>
            </w:r>
          </w:p>
        </w:tc>
        <w:tc>
          <w:tcPr>
            <w:tcW w:w="0" w:type="dxa"/>
            <w:vAlign w:val="bottom"/>
          </w:tcPr>
          <w:p>
            <w:pPr>
              <w:spacing w:after="0"/>
              <w:rPr>
                <w:sz w:val="1"/>
                <w:szCs w:val="1"/>
                <w:color w:val="auto"/>
              </w:rPr>
            </w:pPr>
          </w:p>
        </w:tc>
      </w:tr>
      <w:tr>
        <w:trPr>
          <w:trHeight w:val="222"/>
        </w:trPr>
        <w:tc>
          <w:tcPr>
            <w:tcW w:w="14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15,464</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3-mo. LIBOR +</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66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2037</w:t>
            </w:r>
          </w:p>
        </w:tc>
        <w:tc>
          <w:tcPr>
            <w:tcW w:w="1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150bps; 4.29%</w:t>
            </w:r>
          </w:p>
        </w:tc>
        <w:tc>
          <w:tcPr>
            <w:tcW w:w="0" w:type="dxa"/>
            <w:vAlign w:val="bottom"/>
          </w:tcPr>
          <w:p>
            <w:pPr>
              <w:spacing w:after="0"/>
              <w:rPr>
                <w:sz w:val="1"/>
                <w:szCs w:val="1"/>
                <w:color w:val="auto"/>
              </w:rPr>
            </w:pPr>
          </w:p>
        </w:tc>
      </w:tr>
      <w:tr>
        <w:trPr>
          <w:trHeight w:val="20"/>
        </w:trPr>
        <w:tc>
          <w:tcPr>
            <w:tcW w:w="144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45,000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46,393</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0" w:right="60" w:hanging="355"/>
        <w:spacing w:after="0" w:line="273" w:lineRule="auto"/>
        <w:tabs>
          <w:tab w:leader="none" w:pos="3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May be redeemed five years from the issue date, the Company has no current plans to redeem; (2) Interest payable quarterly with principal due at maturity; (3) Rate as of last reset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Subordinated debt securities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January 2014, the Company issued $20.9 million in subordinated debt securities. These securities pay interest quarterly and mature January 2024. There was $6.5 million issued at a current rate of 4% and $14.4 million at a current rate of 5%. These rates are fixed for five years and then float at </w:t>
      </w:r>
      <w:r>
        <w:rPr>
          <w:rFonts w:ascii="Arial" w:cs="Arial" w:eastAsia="Arial" w:hAnsi="Arial"/>
          <w:sz w:val="17"/>
          <w:szCs w:val="17"/>
          <w:i w:val="1"/>
          <w:iCs w:val="1"/>
          <w:color w:val="auto"/>
        </w:rPr>
        <w:t>WSJ</w:t>
      </w:r>
      <w:r>
        <w:rPr>
          <w:rFonts w:ascii="Arial" w:cs="Arial" w:eastAsia="Arial" w:hAnsi="Arial"/>
          <w:sz w:val="17"/>
          <w:szCs w:val="17"/>
          <w:color w:val="auto"/>
        </w:rPr>
        <w:t xml:space="preserve"> prime, with a floor of 4% and a ceiling of 7.5%. These securities are unsecured and could be called by the Company at any time after January 2019, and they qualified for Tier 2 capital treatment, subject to regulatory limitations. In December 2018, the Company notified all holders that it intended to call these securities in January of 2019 and were given the option to subscribe to a new offering (see following paragraph) or to be redeemed. Holders of $13.4 million elected to subscribe to the new offering while holders of $7.5 million elected to have their securities redeemed in January 2019. As a result, the outstanding balance of these securities at December 31, 2018 was $7.5 million.</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ind w:left="360" w:hanging="355"/>
        <w:spacing w:after="0"/>
        <w:tabs>
          <w:tab w:leader="none" w:pos="36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sponsors the ESOP, an employee stock ownership and 401(k) plan, that covers all employees who have completed one month of service. Under the 401(k) provisions of the ESOP, participants may elect to contribute pre-tax salary deferrals and direct investment of those salary deferrals among investments offered in the ESOP (excluding SPFI stock). Although the ESOP provides for Company contributions under the 401(k) provisions, the Company has not made any contributions of this type and has no plans to do so in the foreseeable future. All Company contributions to date have been allocated to service debt related to employee stock ownership.</w:t>
      </w:r>
    </w:p>
    <w:p>
      <w:pPr>
        <w:spacing w:after="0" w:line="84"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The ESOP may be leveraged to purchase shares of SPFI stock. Shares are released from collateral and allocated to active employees, in proportion to annual debt service. The Company recognizes the debt of the ESOP as notes payable and the shares pledged as collateral are deducted from the stockholders’ equity as unearned ESOP shares in the accompanying consolidated balance sheets. All ESOP shares have been allocated. See Note 7: Notes payable and other borrowings.</w:t>
      </w:r>
    </w:p>
    <w:p>
      <w:pPr>
        <w:spacing w:after="0" w:line="4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makes contributions to the ESOP as approved by the Board of Directors on an annual basis. These contributions, plus dividends received, are used to service any ESOP debt and repurchase allocated shares from participants and terminating vested participants. Contributions to the ESOP were $2.0 million and $1.7 million in 2018 and 2017, respectively.</w:t>
      </w:r>
    </w:p>
    <w:p>
      <w:pPr>
        <w:spacing w:after="0" w:line="4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ESOP participants have a mandatory put option to the Company, which may be assumed by the ESOP (but ESOP assumption cannot be required), whereby the Company must settle any SPFI stock benefits under the ESOP by providing cash to the participant in exchange for SPFI stock that would otherwise be distributed. Therefore, the Company is obligated to repurchase allocated shares, at fair value as determined by independent appraisal, from participants that (a) elect to diversify their holdings as they approach retirement, (b) retire or (c) are vested in all or a portion of their SPFI stock in the ESOP and terminate employment. An amount of equity equal to the fair value of the shares is deducted from permanent stockholders’ equity and reflected in a line item below liabilities and above stockholders’ equity.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SPFI stock held by the ESOP at year-end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r>
      <w:tr>
        <w:trPr>
          <w:trHeight w:val="243"/>
        </w:trPr>
        <w:tc>
          <w:tcPr>
            <w:tcW w:w="7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ESOP shares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99,949</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99,949</w:t>
            </w:r>
          </w:p>
        </w:tc>
      </w:tr>
      <w:tr>
        <w:trPr>
          <w:trHeight w:val="27"/>
        </w:trPr>
        <w:tc>
          <w:tcPr>
            <w:tcW w:w="742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right w:val="single" w:sz="8" w:color="auto"/>
            </w:tcBorders>
            <w:shd w:val="clear" w:color="auto" w:fill="000000"/>
          </w:tcPr>
          <w:p>
            <w:pPr>
              <w:spacing w:after="0"/>
              <w:rPr>
                <w:sz w:val="2"/>
                <w:szCs w:val="2"/>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Fair value of ESOP shares subject to repurchase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58,195</w:t>
            </w: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57,121</w:t>
            </w:r>
          </w:p>
        </w:tc>
      </w:tr>
      <w:tr>
        <w:trPr>
          <w:trHeight w:val="20"/>
        </w:trPr>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u w:val="single" w:color="auto"/>
          <w:color w:val="auto"/>
        </w:rPr>
        <w:t>Employee Health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has a self-insured welfare benefit plan which provides health and dental benefits. For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of the Company, there is no 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 was approximately $4.9 million and $3.8 million for the years ending December 31, 2018 and 2017, respectively. In addition, benefit obligations have been accrued and include reported claims payable and claims incurred but not reported, for approximately $377,000 and $498,000 as of December 31, 2018 and 2017, respectively. The Company has limited its risk exposure for these benefits through a stop-loss policy with an independent third party insurer which reimburses benefits paid that exceed $100,000 per participant per year.</w:t>
      </w:r>
    </w:p>
    <w:p>
      <w:pPr>
        <w:spacing w:after="0" w:line="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u w:val="single" w:color="auto"/>
          <w:color w:val="auto"/>
        </w:rPr>
        <w:t>Non-Qualified Plans</w:t>
      </w:r>
      <w:r>
        <w:rPr>
          <w:rFonts w:ascii="Arial" w:cs="Arial" w:eastAsia="Arial" w:hAnsi="Arial"/>
          <w:sz w:val="18"/>
          <w:szCs w:val="18"/>
          <w:i w:val="1"/>
          <w:iCs w:val="1"/>
          <w:color w:val="auto"/>
        </w:rPr>
        <w:t xml:space="preserve"> </w:t>
      </w:r>
      <w:r>
        <w:rPr>
          <w:rFonts w:ascii="Arial" w:cs="Arial" w:eastAsia="Arial" w:hAnsi="Arial"/>
          <w:sz w:val="18"/>
          <w:szCs w:val="18"/>
          <w:color w:val="auto"/>
        </w:rPr>
        <w:t>– Certain Company executives, as determined by the Company’s Board from time-to-time, are granted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based on grant date values. The rights have varying vesting provisions. Exercise and payment options for the rights vary and are governed by the program they were issued under as well as the specific award agreement. The Company accrues the liabilities for these rights under the intrinsic value method; approximately $10.6 million and $8.1 million was accrued at December 31, 2018 and 2017,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BENEFITS (Continued)</w:t>
      </w:r>
    </w:p>
    <w:p>
      <w:pPr>
        <w:spacing w:after="0" w:line="6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Certain Company executives, as determined by the Company’s Board from time-to-time, have post-retirement salary continuation agreements under an Executive Salary Continuation Plan. Retirement ages and retirement salary amounts are specified in each agreement. The Company accrues actuarial estimates of the costs of these benefits over the respective service periods; approximately $11.1 million and $10.3 million was accrued at December 31, 2018 and 2017, respectively.</w:t>
      </w:r>
    </w:p>
    <w:p>
      <w:pPr>
        <w:spacing w:after="0" w:line="6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Both of these plans are nonqualified, noncontributory, and unfunded. The charges to income for the plans during 2018 and 2017 were approximately $4.1 million and $5.2 million, respectively.</w:t>
      </w:r>
    </w:p>
    <w:p>
      <w:pPr>
        <w:spacing w:after="0" w:line="6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9.</w:t>
        <w:tab/>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Years Ended December 31,</w:t>
            </w:r>
          </w:p>
        </w:tc>
      </w:tr>
      <w:tr>
        <w:trPr>
          <w:trHeight w:val="183"/>
        </w:trPr>
        <w:tc>
          <w:tcPr>
            <w:tcW w:w="74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74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2,873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37"/>
        </w:trPr>
        <w:tc>
          <w:tcPr>
            <w:tcW w:w="7480" w:type="dxa"/>
            <w:vAlign w:val="bottom"/>
          </w:tcPr>
          <w:p>
            <w:pPr>
              <w:spacing w:after="0"/>
              <w:rPr>
                <w:sz w:val="20"/>
                <w:szCs w:val="20"/>
                <w:color w:val="auto"/>
              </w:rPr>
            </w:pPr>
            <w:r>
              <w:rPr>
                <w:rFonts w:ascii="Arial" w:cs="Arial" w:eastAsia="Arial" w:hAnsi="Arial"/>
                <w:sz w:val="18"/>
                <w:szCs w:val="18"/>
                <w:color w:val="auto"/>
              </w:rPr>
              <w:t>Deferred expense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(6,895)</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4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(3,901)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0"/>
        </w:trPr>
        <w:tc>
          <w:tcPr>
            <w:tcW w:w="7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Effective tax rates differ from the federal statutory rate of 21% for 2018 applied to income before income taxes due to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42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Federal statutory rate times financial statement income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Effect of:</w:t>
            </w: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recognition of net deferred tax asset</w:t>
            </w:r>
          </w:p>
        </w:tc>
        <w:tc>
          <w:tcPr>
            <w:tcW w:w="3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(6,741)</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S Corp taxable income</w:t>
            </w: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(2,267)</w:t>
            </w:r>
          </w:p>
        </w:tc>
        <w:tc>
          <w:tcPr>
            <w:tcW w:w="160" w:type="dxa"/>
            <w:vAlign w:val="bottom"/>
          </w:tcPr>
          <w:p>
            <w:pPr>
              <w:spacing w:after="0"/>
              <w:rPr>
                <w:sz w:val="20"/>
                <w:szCs w:val="20"/>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Tax-exempt income</w:t>
            </w:r>
          </w:p>
        </w:tc>
        <w:tc>
          <w:tcPr>
            <w:tcW w:w="3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State taxes, net of federal benefit</w:t>
            </w: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0"/>
                <w:szCs w:val="20"/>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from bank owned life insurance</w:t>
            </w:r>
          </w:p>
        </w:tc>
        <w:tc>
          <w:tcPr>
            <w:tcW w:w="3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ind w:left="180"/>
              <w:spacing w:after="0"/>
              <w:rPr>
                <w:sz w:val="20"/>
                <w:szCs w:val="20"/>
                <w:color w:val="auto"/>
              </w:rPr>
            </w:pPr>
            <w:r>
              <w:rPr>
                <w:rFonts w:ascii="Arial" w:cs="Arial" w:eastAsia="Arial" w:hAnsi="Arial"/>
                <w:sz w:val="18"/>
                <w:szCs w:val="18"/>
                <w:color w:val="auto"/>
              </w:rPr>
              <w:t>Non deductible expenses</w:t>
            </w:r>
          </w:p>
        </w:tc>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0"/>
                <w:szCs w:val="20"/>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4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4280" w:type="dxa"/>
            <w:vAlign w:val="bottom"/>
            <w:shd w:val="clear" w:color="auto" w:fill="CCEEFF"/>
          </w:tcPr>
          <w:p>
            <w:pPr>
              <w:spacing w:after="0" w:line="20" w:lineRule="exact"/>
              <w:rPr>
                <w:sz w:val="1"/>
                <w:szCs w:val="1"/>
                <w:color w:val="auto"/>
              </w:rPr>
            </w:pPr>
          </w:p>
        </w:tc>
        <w:tc>
          <w:tcPr>
            <w:tcW w:w="3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280" w:type="dxa"/>
            <w:vAlign w:val="bottom"/>
          </w:tcPr>
          <w:p>
            <w:pPr>
              <w:ind w:left="18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(3,901)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0"/>
        </w:trPr>
        <w:tc>
          <w:tcPr>
            <w:tcW w:w="4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280" w:type="dxa"/>
            <w:vAlign w:val="bottom"/>
          </w:tcPr>
          <w:p>
            <w:pPr>
              <w:spacing w:after="0"/>
              <w:rPr>
                <w:sz w:val="24"/>
                <w:szCs w:val="24"/>
                <w:color w:val="auto"/>
              </w:rPr>
            </w:pPr>
          </w:p>
        </w:tc>
        <w:tc>
          <w:tcPr>
            <w:tcW w:w="3340" w:type="dxa"/>
            <w:vAlign w:val="bottom"/>
            <w:gridSpan w:val="2"/>
          </w:tcPr>
          <w:p>
            <w:pPr>
              <w:jc w:val="right"/>
              <w:ind w:right="2570"/>
              <w:spacing w:after="0"/>
              <w:rPr>
                <w:sz w:val="20"/>
                <w:szCs w:val="20"/>
                <w:color w:val="auto"/>
              </w:rPr>
            </w:pPr>
            <w:r>
              <w:rPr>
                <w:rFonts w:ascii="Arial" w:cs="Arial" w:eastAsia="Arial" w:hAnsi="Arial"/>
                <w:sz w:val="18"/>
                <w:szCs w:val="18"/>
                <w:color w:val="auto"/>
              </w:rPr>
              <w:t>F-26</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280" w:type="dxa"/>
            <w:vAlign w:val="bottom"/>
            <w:shd w:val="clear" w:color="auto" w:fill="000000"/>
          </w:tcPr>
          <w:p>
            <w:pPr>
              <w:spacing w:after="0"/>
              <w:rPr>
                <w:sz w:val="5"/>
                <w:szCs w:val="5"/>
                <w:color w:val="auto"/>
              </w:rPr>
            </w:pPr>
          </w:p>
        </w:tc>
        <w:tc>
          <w:tcPr>
            <w:tcW w:w="32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9.</w:t>
        <w:tab/>
        <w:t>INCOME TAXES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Year-end deferred tax assets and liabilities were due to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7480" w:type="dxa"/>
            <w:vAlign w:val="bottom"/>
          </w:tcPr>
          <w:p>
            <w:pPr>
              <w:ind w:left="180"/>
              <w:spacing w:after="0"/>
              <w:rPr>
                <w:sz w:val="20"/>
                <w:szCs w:val="20"/>
                <w:color w:val="auto"/>
              </w:rPr>
            </w:pPr>
            <w:r>
              <w:rPr>
                <w:rFonts w:ascii="Arial" w:cs="Arial" w:eastAsia="Arial" w:hAnsi="Arial"/>
                <w:sz w:val="18"/>
                <w:szCs w:val="18"/>
                <w:color w:val="auto"/>
              </w:rPr>
              <w:t>Allowance for loan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4,857</w:t>
            </w:r>
          </w:p>
        </w:tc>
        <w:tc>
          <w:tcPr>
            <w:tcW w:w="20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49"/>
        </w:trPr>
        <w:tc>
          <w:tcPr>
            <w:tcW w:w="7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2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37"/>
        </w:trPr>
        <w:tc>
          <w:tcPr>
            <w:tcW w:w="7480" w:type="dxa"/>
            <w:vAlign w:val="bottom"/>
          </w:tcPr>
          <w:p>
            <w:pPr>
              <w:ind w:left="180"/>
              <w:spacing w:after="0"/>
              <w:rPr>
                <w:sz w:val="20"/>
                <w:szCs w:val="20"/>
                <w:color w:val="auto"/>
              </w:rPr>
            </w:pPr>
            <w:r>
              <w:rPr>
                <w:rFonts w:ascii="Arial" w:cs="Arial" w:eastAsia="Arial" w:hAnsi="Arial"/>
                <w:sz w:val="18"/>
                <w:szCs w:val="18"/>
                <w:color w:val="auto"/>
              </w:rPr>
              <w:t>Other real estate owned</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49"/>
        </w:trPr>
        <w:tc>
          <w:tcPr>
            <w:tcW w:w="7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Nonaccrual loans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37"/>
        </w:trPr>
        <w:tc>
          <w:tcPr>
            <w:tcW w:w="7480" w:type="dxa"/>
            <w:vAlign w:val="bottom"/>
          </w:tcPr>
          <w:p>
            <w:pPr>
              <w:ind w:left="180"/>
              <w:spacing w:after="0"/>
              <w:rPr>
                <w:sz w:val="20"/>
                <w:szCs w:val="20"/>
                <w:color w:val="auto"/>
              </w:rPr>
            </w:pPr>
            <w:r>
              <w:rPr>
                <w:rFonts w:ascii="Arial" w:cs="Arial" w:eastAsia="Arial" w:hAnsi="Arial"/>
                <w:sz w:val="18"/>
                <w:szCs w:val="18"/>
                <w:color w:val="auto"/>
              </w:rPr>
              <w:t>Unrealized loss on available-for-sale securities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49"/>
        </w:trPr>
        <w:tc>
          <w:tcPr>
            <w:tcW w:w="7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
        </w:trPr>
        <w:tc>
          <w:tcPr>
            <w:tcW w:w="74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74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10,676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37"/>
        </w:trPr>
        <w:tc>
          <w:tcPr>
            <w:tcW w:w="748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74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(2,331)</w:t>
            </w:r>
          </w:p>
        </w:tc>
        <w:tc>
          <w:tcPr>
            <w:tcW w:w="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37"/>
        </w:trPr>
        <w:tc>
          <w:tcPr>
            <w:tcW w:w="7480" w:type="dxa"/>
            <w:vAlign w:val="bottom"/>
          </w:tcPr>
          <w:p>
            <w:pPr>
              <w:ind w:left="180"/>
              <w:spacing w:after="0"/>
              <w:rPr>
                <w:sz w:val="20"/>
                <w:szCs w:val="20"/>
                <w:color w:val="auto"/>
              </w:rPr>
            </w:pPr>
            <w:r>
              <w:rPr>
                <w:rFonts w:ascii="Arial" w:cs="Arial" w:eastAsia="Arial" w:hAnsi="Arial"/>
                <w:sz w:val="18"/>
                <w:szCs w:val="18"/>
                <w:color w:val="auto"/>
              </w:rPr>
              <w:t>Prepaids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20"/>
                <w:szCs w:val="20"/>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49"/>
        </w:trPr>
        <w:tc>
          <w:tcPr>
            <w:tcW w:w="74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 servicing rights</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21"/>
                <w:szCs w:val="21"/>
                <w:color w:val="auto"/>
              </w:rPr>
            </w:pP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0"/>
        </w:trPr>
        <w:tc>
          <w:tcPr>
            <w:tcW w:w="74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(3,185)</w:t>
            </w:r>
          </w:p>
        </w:tc>
        <w:tc>
          <w:tcPr>
            <w:tcW w:w="2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
        </w:trPr>
        <w:tc>
          <w:tcPr>
            <w:tcW w:w="74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7,491</w:t>
            </w:r>
          </w:p>
        </w:tc>
        <w:tc>
          <w:tcPr>
            <w:tcW w:w="20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
        </w:trPr>
        <w:tc>
          <w:tcPr>
            <w:tcW w:w="7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RELATED-PARTY TRANSACTIONS</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Direct and indirect loans to executive officers, directors, significant stockholders and their related affiliates as of December 31, 2018 and 2017 aggregated approximately $10.0 million and $9.4 million, respectively. There were no charge-offs related to these loans in 2018 or 2017 and advance and repayment activity was routine. Deposits from these related parties in the CFS were not significant.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OFF-BALANCE-SHEET ACTIVITIES, COMMITMENTS AND CONTINGENCIES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Financial instruments with off-balance-sheet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party to financial instruments with off-balance-sheet risk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normal course of business to meet the financing needs of its customers. These financial instruments include commitments to extend credit and standby letters-of-credit. Such commitments involve, to varying degrees, elements of credit and interest rate risk in excess of the amount recognized in the CFS.</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exposure to credit loss is represented by the contractual amount of these commitments. The Company follows the same credit policies in making commitments as it does for recorded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whose contract amounts represent credit risk outstanding at year-end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346,255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290,441</w:t>
            </w: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Standby letters-of-credit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5,062</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9,255</w:t>
            </w:r>
          </w:p>
        </w:tc>
      </w:tr>
    </w:tbl>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11.</w:t>
      </w:r>
      <w:r>
        <w:rPr>
          <w:sz w:val="20"/>
          <w:szCs w:val="20"/>
          <w:color w:val="auto"/>
        </w:rPr>
        <w:tab/>
      </w:r>
      <w:r>
        <w:rPr>
          <w:rFonts w:ascii="Arial" w:cs="Arial" w:eastAsia="Arial" w:hAnsi="Arial"/>
          <w:sz w:val="17"/>
          <w:szCs w:val="17"/>
          <w:b w:val="1"/>
          <w:bCs w:val="1"/>
          <w:i w:val="1"/>
          <w:iCs w:val="1"/>
          <w:color w:val="auto"/>
        </w:rPr>
        <w:t>OFF-BALANCE-SHEET ACTIVITIES, COMMITMENTS AND CONTINGENCIES (Continued)</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Standby letters-of-credit are conditional commitments issued by the Company to guarantee the performance of a customer to a third party. Those letters-of-credit are primarily issued to support public and private borrowing arrangements. Essentially all letters-of-credit issued have expiration dates within one year. The credit risk involved in issuing letters-of-credit is essentially the same as that involved in extending loan facilities to customers. The Company requires collateral supporting those commitments if deemed necessary.</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u w:val="single" w:color="auto"/>
          <w:color w:val="auto"/>
        </w:rPr>
        <w:t>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defendant in legal actions arising from time to time in the normal course of business.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the ultimate liability, if any, arising from these matters will not materially affect the CFS, based on information known as of the date the CFS were available to be issued.</w:t>
      </w:r>
    </w:p>
    <w:p>
      <w:pPr>
        <w:spacing w:after="0" w:line="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u w:val="single" w:color="auto"/>
          <w:color w:val="auto"/>
        </w:rPr>
        <w:t>FHLB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uses letters of credit to pledge to certain public deposits. The balance of these letters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was $199.0 million and $145.0 million at December 31, 2018 and 2017, respectively.</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Lease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leases certain office facilities and office equipment under operating leases. Rent expense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leases totaled approximately $2.0 million in 2018 and $2.2 million in 2017. Occupancy expense was reduced by approximately $911,000 and $904,000 for rental income during 2018 and 2017, respectively. Future minimum lease payments due under non-cancelable operating leases as of December 31, 2018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r>
      <w:tr>
        <w:trPr>
          <w:trHeight w:val="237"/>
        </w:trPr>
        <w:tc>
          <w:tcPr>
            <w:tcW w:w="8380" w:type="dxa"/>
            <w:vAlign w:val="bottom"/>
          </w:tcPr>
          <w:p>
            <w:pPr>
              <w:spacing w:after="0"/>
              <w:rPr>
                <w:sz w:val="20"/>
                <w:szCs w:val="20"/>
                <w:color w:val="auto"/>
              </w:rPr>
            </w:pPr>
            <w:r>
              <w:rPr>
                <w:rFonts w:ascii="Arial" w:cs="Arial" w:eastAsia="Arial" w:hAnsi="Arial"/>
                <w:sz w:val="18"/>
                <w:szCs w:val="18"/>
                <w:color w:val="auto"/>
              </w:rPr>
              <w:t>2020</w:t>
            </w:r>
          </w:p>
        </w:tc>
        <w:tc>
          <w:tcPr>
            <w:tcW w:w="3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r>
      <w:tr>
        <w:trPr>
          <w:trHeight w:val="24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r>
      <w:tr>
        <w:trPr>
          <w:trHeight w:val="237"/>
        </w:trPr>
        <w:tc>
          <w:tcPr>
            <w:tcW w:w="838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r>
      <w:tr>
        <w:trPr>
          <w:trHeight w:val="24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r>
      <w:tr>
        <w:trPr>
          <w:trHeight w:val="243"/>
        </w:trPr>
        <w:tc>
          <w:tcPr>
            <w:tcW w:w="838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5,095</w:t>
            </w:r>
          </w:p>
        </w:tc>
      </w:tr>
      <w:tr>
        <w:trPr>
          <w:trHeight w:val="20"/>
        </w:trPr>
        <w:tc>
          <w:tcPr>
            <w:tcW w:w="8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83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10,985</w:t>
            </w:r>
          </w:p>
        </w:tc>
      </w:tr>
      <w:tr>
        <w:trPr>
          <w:trHeight w:val="27"/>
        </w:trPr>
        <w:tc>
          <w:tcPr>
            <w:tcW w:w="8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CAPITAL AND REGULATORY MATTERS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July 2013, the Federal Reserve Board published final rules for the adoption of the Basel III regulatory capital framework (Basel III). Basel III, among other things, (i) introduces a new capital measure called Common Equity Tier 1 (CET1), (ii) specifies that Tier 1 capital consists of CET1 and Additional Tier 1 Capital instruments meeting specified requirements, (iii) defines Common Equity Tier 1 narrowly by requiring that most deductions/adjustments to regulatory capital measures be made to CET1 and not to the other components of capital and (iv) expands the scope of the deductions/adjustments as compared to existing regulations. Basel III became effective for the Company and its bank subsidiary on January 1, 2016 with certain transition provisions fully phased-in on January 1, 2019. The Company was in compliance with the fully phased in requirements at December 31, 2018 and expects to be in compliance beginning the first reporting period in 2019.</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CAPITAL AND REGULATORY MATTERS (Continued)</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assets (as defined). Management believes, as of December 31, 2018 and 2017, that the Company and its bank subsidiary met all capital adequacy requirements to which they are subject.</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2018,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December 31, 2018 that management believes have changed the bank subsidiary’s category.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bank subsidiary’s actual capital amounts and ratios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92"/>
              </w:rPr>
              <w:t>To Be Well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8"/>
              </w:rPr>
              <w:t>For Capital</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Capitalized Under</w:t>
            </w:r>
          </w:p>
        </w:tc>
      </w:tr>
      <w:tr>
        <w:trPr>
          <w:trHeight w:val="162"/>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w w:val="92"/>
              </w:rPr>
              <w:t>Adequacy</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Prompt Corrective</w:t>
            </w:r>
          </w:p>
        </w:tc>
      </w:tr>
      <w:tr>
        <w:trPr>
          <w:trHeight w:val="185"/>
        </w:trPr>
        <w:tc>
          <w:tcPr>
            <w:tcW w:w="3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Actual</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274"/>
              <w:spacing w:after="0"/>
              <w:rPr>
                <w:sz w:val="20"/>
                <w:szCs w:val="20"/>
                <w:color w:val="auto"/>
              </w:rPr>
            </w:pPr>
            <w:r>
              <w:rPr>
                <w:rFonts w:ascii="Arial" w:cs="Arial" w:eastAsia="Arial" w:hAnsi="Arial"/>
                <w:sz w:val="14"/>
                <w:szCs w:val="14"/>
                <w:b w:val="1"/>
                <w:bCs w:val="1"/>
                <w:color w:val="auto"/>
                <w:w w:val="87"/>
              </w:rPr>
              <w:t>Purposes</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Action Provisions</w:t>
            </w:r>
          </w:p>
        </w:tc>
        <w:tc>
          <w:tcPr>
            <w:tcW w:w="100" w:type="dxa"/>
            <w:vAlign w:val="bottom"/>
          </w:tcPr>
          <w:p>
            <w:pPr>
              <w:spacing w:after="0"/>
              <w:rPr>
                <w:sz w:val="16"/>
                <w:szCs w:val="16"/>
                <w:color w:val="auto"/>
              </w:rPr>
            </w:pPr>
          </w:p>
        </w:tc>
      </w:tr>
      <w:tr>
        <w:trPr>
          <w:trHeight w:val="183"/>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Ratio</w:t>
            </w:r>
          </w:p>
        </w:tc>
        <w:tc>
          <w:tcPr>
            <w:tcW w:w="16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Ratio</w:t>
            </w:r>
          </w:p>
        </w:tc>
      </w:tr>
      <w:tr>
        <w:trPr>
          <w:trHeight w:val="237"/>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309,798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214,301</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City Bank</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294,572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214,246</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216,958</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Consolidated</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260,020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170,898</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271,266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170,855</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173,567</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Common Tier 1 (CET1):</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215,020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138,346</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City Bank</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271,266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138,311</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141,023</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Consolidated</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260,020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108,033</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271,266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107,940</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134,925</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3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303,301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185,220</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City Bank</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276,153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184,982</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199,980</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Consolidated</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260,773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145,173</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254,512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144,986</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159,984</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Common Tier 1 (CET1):</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215,773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115,137</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City Bank</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254,512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114,989</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129,987</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Consolidated</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260,773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103,643</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N/A</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4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254,512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103,484</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129,355</w:t>
            </w: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DERIVATIVES</w:t>
      </w:r>
    </w:p>
    <w:p>
      <w:pPr>
        <w:spacing w:after="0" w:line="11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utilizes interest rate swap agreements as part of its asset-liability management strategy to help manage its interest-rate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reflects the changes in fair value hedges included in the Consolidated Statements of Comprehensive Income 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Interest Rate Contracts</w:t>
            </w:r>
          </w:p>
        </w:tc>
        <w:tc>
          <w:tcPr>
            <w:tcW w:w="200" w:type="dxa"/>
            <w:vAlign w:val="bottom"/>
          </w:tcPr>
          <w:p>
            <w:pPr>
              <w:spacing w:after="0"/>
              <w:rPr>
                <w:sz w:val="16"/>
                <w:szCs w:val="16"/>
                <w:color w:val="auto"/>
              </w:rPr>
            </w:pPr>
          </w:p>
        </w:tc>
        <w:tc>
          <w:tcPr>
            <w:tcW w:w="14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r>
      <w:tr>
        <w:trPr>
          <w:trHeight w:val="237"/>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on interest rate swaps hedging fixed rate loans</w:t>
            </w: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Change in fair value on fixed rate loans - hedged item</w:t>
            </w: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(79)</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fair value hedges included in the Consolidated Balance Sheets as of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3"/>
                <w:szCs w:val="13"/>
                <w:color w:val="auto"/>
              </w:rPr>
            </w:pPr>
          </w:p>
        </w:tc>
        <w:tc>
          <w:tcPr>
            <w:tcW w:w="66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9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3"/>
                <w:szCs w:val="13"/>
                <w:color w:val="auto"/>
              </w:rPr>
            </w:pPr>
          </w:p>
        </w:tc>
        <w:tc>
          <w:tcPr>
            <w:tcW w:w="54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r>
      <w:tr>
        <w:trPr>
          <w:trHeight w:val="23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020" w:type="dxa"/>
            <w:vAlign w:val="bottom"/>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4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10,917</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59</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banking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net gains (losses) relating to free standing derivative instruments used for risk management are summarized below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r>
      <w:tr>
        <w:trPr>
          <w:trHeight w:val="23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Forward contracts related to mortgage loans held for sale</w:t>
            </w:r>
          </w:p>
        </w:tc>
        <w:tc>
          <w:tcPr>
            <w:tcW w:w="2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gain on sales of loans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Interest rate lock commitments</w:t>
            </w:r>
          </w:p>
        </w:tc>
        <w:tc>
          <w:tcPr>
            <w:tcW w:w="2980" w:type="dxa"/>
            <w:vAlign w:val="bottom"/>
            <w:gridSpan w:val="2"/>
          </w:tcPr>
          <w:p>
            <w:pPr>
              <w:ind w:left="660"/>
              <w:spacing w:after="0"/>
              <w:rPr>
                <w:sz w:val="20"/>
                <w:szCs w:val="20"/>
                <w:color w:val="auto"/>
              </w:rPr>
            </w:pPr>
            <w:r>
              <w:rPr>
                <w:rFonts w:ascii="Arial" w:cs="Arial" w:eastAsia="Arial" w:hAnsi="Arial"/>
                <w:sz w:val="18"/>
                <w:szCs w:val="18"/>
                <w:color w:val="auto"/>
              </w:rPr>
              <w:t>Net gain on sales of loans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amount and fair value of mortgage banking derivatives in the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r>
      <w:tr>
        <w:trPr>
          <w:trHeight w:val="160"/>
        </w:trPr>
        <w:tc>
          <w:tcPr>
            <w:tcW w:w="43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line="160" w:lineRule="exact"/>
              <w:rPr>
                <w:sz w:val="20"/>
                <w:szCs w:val="20"/>
                <w:color w:val="auto"/>
              </w:rPr>
            </w:pPr>
            <w:r>
              <w:rPr>
                <w:rFonts w:ascii="Arial" w:cs="Arial" w:eastAsia="Arial" w:hAnsi="Arial"/>
                <w:sz w:val="14"/>
                <w:szCs w:val="14"/>
                <w:b w:val="1"/>
                <w:bCs w:val="1"/>
                <w:color w:val="auto"/>
                <w:w w:val="96"/>
              </w:rPr>
              <w:t>Notional</w:t>
            </w:r>
          </w:p>
        </w:tc>
        <w:tc>
          <w:tcPr>
            <w:tcW w:w="140" w:type="dxa"/>
            <w:vAlign w:val="bottom"/>
          </w:tcPr>
          <w:p>
            <w:pPr>
              <w:spacing w:after="0"/>
              <w:rPr>
                <w:sz w:val="13"/>
                <w:szCs w:val="13"/>
                <w:color w:val="auto"/>
              </w:rPr>
            </w:pPr>
          </w:p>
        </w:tc>
        <w:tc>
          <w:tcPr>
            <w:tcW w:w="8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9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3"/>
                <w:szCs w:val="13"/>
                <w:color w:val="auto"/>
              </w:rPr>
            </w:pPr>
          </w:p>
        </w:tc>
        <w:tc>
          <w:tcPr>
            <w:tcW w:w="420" w:type="dxa"/>
            <w:vAlign w:val="bottom"/>
          </w:tcPr>
          <w:p>
            <w:pPr>
              <w:jc w:val="right"/>
              <w:ind w:right="53"/>
              <w:spacing w:after="0" w:line="160" w:lineRule="exact"/>
              <w:rPr>
                <w:sz w:val="20"/>
                <w:szCs w:val="20"/>
                <w:color w:val="auto"/>
              </w:rPr>
            </w:pPr>
            <w:r>
              <w:rPr>
                <w:rFonts w:ascii="Arial" w:cs="Arial" w:eastAsia="Arial" w:hAnsi="Arial"/>
                <w:sz w:val="14"/>
                <w:szCs w:val="14"/>
                <w:b w:val="1"/>
                <w:bCs w:val="1"/>
                <w:color w:val="auto"/>
              </w:rPr>
              <w:t>Fair</w:t>
            </w:r>
          </w:p>
        </w:tc>
      </w:tr>
      <w:tr>
        <w:trPr>
          <w:trHeight w:val="185"/>
        </w:trPr>
        <w:tc>
          <w:tcPr>
            <w:tcW w:w="4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Value</w:t>
            </w:r>
          </w:p>
        </w:tc>
      </w:tr>
      <w:tr>
        <w:trPr>
          <w:trHeight w:val="23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4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right w:val="single" w:sz="8" w:color="CCEEFF"/>
            </w:tcBorders>
            <w:shd w:val="clear" w:color="auto" w:fill="CCEEFF"/>
          </w:tcPr>
          <w:p>
            <w:pPr>
              <w:spacing w:after="0"/>
              <w:rPr>
                <w:sz w:val="20"/>
                <w:szCs w:val="20"/>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w w:val="95"/>
              </w:rPr>
              <w:t>Forward contracts related to mortgage loans held for sale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5,227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4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16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46,891</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1,063</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23,170</w:t>
            </w:r>
          </w:p>
        </w:tc>
        <w:tc>
          <w:tcPr>
            <w:tcW w:w="1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0"/>
        </w:trPr>
        <w:tc>
          <w:tcPr>
            <w:tcW w:w="4360" w:type="dxa"/>
            <w:vAlign w:val="bottom"/>
            <w:shd w:val="clear" w:color="auto" w:fill="CCEEFF"/>
          </w:tcPr>
          <w:p>
            <w:pPr>
              <w:spacing w:after="0" w:line="20" w:lineRule="exact"/>
              <w:rPr>
                <w:sz w:val="1"/>
                <w:szCs w:val="1"/>
                <w:color w:val="auto"/>
              </w:rPr>
            </w:pPr>
          </w:p>
        </w:tc>
        <w:tc>
          <w:tcPr>
            <w:tcW w:w="16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included in other assets</w:t>
            </w:r>
          </w:p>
        </w:tc>
        <w:tc>
          <w:tcPr>
            <w:tcW w:w="1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46,891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28,397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8"/>
        </w:trPr>
        <w:tc>
          <w:tcPr>
            <w:tcW w:w="4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6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w w:val="95"/>
              </w:rPr>
              <w:t>Forward contracts related to mortgage loans held for sale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54,998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4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16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4360" w:type="dxa"/>
            <w:vAlign w:val="bottom"/>
            <w:shd w:val="clear" w:color="auto" w:fill="CCEEFF"/>
          </w:tcPr>
          <w:p>
            <w:pPr>
              <w:spacing w:after="0" w:line="20" w:lineRule="exact"/>
              <w:rPr>
                <w:sz w:val="1"/>
                <w:szCs w:val="1"/>
                <w:color w:val="auto"/>
              </w:rPr>
            </w:pPr>
          </w:p>
        </w:tc>
        <w:tc>
          <w:tcPr>
            <w:tcW w:w="16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included in other liabilities</w:t>
            </w:r>
          </w:p>
        </w:tc>
        <w:tc>
          <w:tcPr>
            <w:tcW w:w="1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54,998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33,227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4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439"/>
        </w:trPr>
        <w:tc>
          <w:tcPr>
            <w:tcW w:w="4360" w:type="dxa"/>
            <w:vAlign w:val="bottom"/>
          </w:tcPr>
          <w:p>
            <w:pPr>
              <w:spacing w:after="0"/>
              <w:rPr>
                <w:sz w:val="24"/>
                <w:szCs w:val="24"/>
                <w:color w:val="auto"/>
              </w:rPr>
            </w:pPr>
          </w:p>
        </w:tc>
        <w:tc>
          <w:tcPr>
            <w:tcW w:w="1760" w:type="dxa"/>
            <w:vAlign w:val="bottom"/>
            <w:gridSpan w:val="2"/>
          </w:tcPr>
          <w:p>
            <w:pPr>
              <w:jc w:val="right"/>
              <w:ind w:right="1070"/>
              <w:spacing w:after="0"/>
              <w:rPr>
                <w:sz w:val="20"/>
                <w:szCs w:val="20"/>
                <w:color w:val="auto"/>
              </w:rPr>
            </w:pPr>
            <w:r>
              <w:rPr>
                <w:rFonts w:ascii="Arial" w:cs="Arial" w:eastAsia="Arial" w:hAnsi="Arial"/>
                <w:sz w:val="18"/>
                <w:szCs w:val="18"/>
                <w:color w:val="auto"/>
              </w:rPr>
              <w:t>F-30</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9"/>
        </w:trPr>
        <w:tc>
          <w:tcPr>
            <w:tcW w:w="4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8"/>
        </w:trPr>
        <w:tc>
          <w:tcPr>
            <w:tcW w:w="4360" w:type="dxa"/>
            <w:vAlign w:val="bottom"/>
            <w:shd w:val="clear" w:color="auto" w:fill="000000"/>
          </w:tcPr>
          <w:p>
            <w:pPr>
              <w:spacing w:after="0"/>
              <w:rPr>
                <w:sz w:val="5"/>
                <w:szCs w:val="5"/>
                <w:color w:val="auto"/>
              </w:rPr>
            </w:pPr>
          </w:p>
        </w:tc>
        <w:tc>
          <w:tcPr>
            <w:tcW w:w="164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ind w:right="3560"/>
        <w:spacing w:after="0" w:line="440" w:lineRule="auto"/>
        <w:rPr>
          <w:sz w:val="20"/>
          <w:szCs w:val="20"/>
          <w:color w:val="auto"/>
        </w:rPr>
      </w:pPr>
      <w:r>
        <w:rPr>
          <w:rFonts w:ascii="Arial" w:cs="Arial" w:eastAsia="Arial" w:hAnsi="Arial"/>
          <w:sz w:val="17"/>
          <w:szCs w:val="17"/>
          <w:b w:val="1"/>
          <w:bCs w:val="1"/>
          <w:i w:val="1"/>
          <w:iCs w:val="1"/>
          <w:color w:val="auto"/>
        </w:rPr>
        <w:t xml:space="preserve">14. PARENT COMPANY ONLY CONDENSED FINANCIAL INFORMATION </w:t>
      </w:r>
      <w:r>
        <w:rPr>
          <w:rFonts w:ascii="Arial" w:cs="Arial" w:eastAsia="Arial" w:hAnsi="Arial"/>
          <w:sz w:val="17"/>
          <w:szCs w:val="17"/>
          <w:color w:val="auto"/>
        </w:rPr>
        <w:t>Condensed financial information of South Plains Financial, Inc. follows: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CONDENSED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(In thousands except per share data)</w:t>
            </w:r>
          </w:p>
        </w:tc>
      </w:tr>
      <w:tr>
        <w:trPr>
          <w:trHeight w:val="223"/>
        </w:trPr>
        <w:tc>
          <w:tcPr>
            <w:tcW w:w="6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ASSETS</w:t>
            </w:r>
          </w:p>
        </w:tc>
        <w:tc>
          <w:tcPr>
            <w:tcW w:w="6140" w:type="dxa"/>
            <w:vAlign w:val="bottom"/>
            <w:tcBorders>
              <w:bottom w:val="single" w:sz="8" w:color="CCEEFF"/>
              <w:right w:val="single" w:sz="8" w:color="CCEEFF"/>
            </w:tcBorders>
            <w:gridSpan w:val="2"/>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22,627</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24,556</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Investment in banking subsidiary</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269,022</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254,066</w:t>
            </w: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Investment in other subsidiary</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r>
      <w:tr>
        <w:trPr>
          <w:trHeight w:val="20"/>
        </w:trPr>
        <w:tc>
          <w:tcPr>
            <w:tcW w:w="66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3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800" w:type="dxa"/>
            <w:vAlign w:val="bottom"/>
            <w:gridSpan w:val="3"/>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294,011</w:t>
            </w:r>
          </w:p>
        </w:tc>
        <w:tc>
          <w:tcPr>
            <w:tcW w:w="1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282,981</w:t>
            </w:r>
          </w:p>
        </w:tc>
      </w:tr>
      <w:tr>
        <w:trPr>
          <w:trHeight w:val="28"/>
        </w:trPr>
        <w:tc>
          <w:tcPr>
            <w:tcW w:w="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800" w:type="dxa"/>
            <w:vAlign w:val="bottom"/>
            <w:tcBorders>
              <w:right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3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Debt</w:t>
            </w:r>
          </w:p>
        </w:tc>
        <w:tc>
          <w:tcPr>
            <w:tcW w:w="3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80,395</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67,280</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841</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ESOP-owned shares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58,195</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57,121</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154,580</w:t>
            </w:r>
          </w:p>
        </w:tc>
        <w:tc>
          <w:tcPr>
            <w:tcW w:w="180" w:type="dxa"/>
            <w:vAlign w:val="bottom"/>
            <w:tcBorders>
              <w:right w:val="single" w:sz="8" w:color="CCEEFF"/>
            </w:tcBorders>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158,206</w:t>
            </w:r>
          </w:p>
        </w:tc>
      </w:tr>
      <w:tr>
        <w:trPr>
          <w:trHeight w:val="20"/>
        </w:trPr>
        <w:tc>
          <w:tcPr>
            <w:tcW w:w="66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3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6800" w:type="dxa"/>
            <w:vAlign w:val="bottom"/>
            <w:gridSpan w:val="3"/>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294,011</w:t>
            </w:r>
          </w:p>
        </w:tc>
        <w:tc>
          <w:tcPr>
            <w:tcW w:w="1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282,981</w:t>
            </w:r>
          </w:p>
        </w:tc>
      </w:tr>
      <w:tr>
        <w:trPr>
          <w:trHeight w:val="21"/>
        </w:trPr>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6140" w:type="dxa"/>
            <w:vAlign w:val="bottom"/>
            <w:gridSpan w:val="2"/>
          </w:tcPr>
          <w:p>
            <w:pPr>
              <w:jc w:val="center"/>
              <w:ind w:left="2030"/>
              <w:spacing w:after="0"/>
              <w:rPr>
                <w:sz w:val="20"/>
                <w:szCs w:val="20"/>
                <w:color w:val="auto"/>
              </w:rPr>
            </w:pPr>
            <w:r>
              <w:rPr>
                <w:rFonts w:ascii="Arial" w:cs="Arial" w:eastAsia="Arial" w:hAnsi="Arial"/>
                <w:sz w:val="18"/>
                <w:szCs w:val="18"/>
                <w:b w:val="1"/>
                <w:bCs w:val="1"/>
                <w:i w:val="1"/>
                <w:iCs w:val="1"/>
                <w:color w:val="auto"/>
                <w:w w:val="96"/>
              </w:rPr>
              <w:t>CONDENSED STATEMENTS OF INCOME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6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6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6"/>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Dividends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17,500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ESOP Contribution</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w:t>
            </w:r>
          </w:p>
        </w:tc>
      </w:tr>
      <w:tr>
        <w:trPr>
          <w:trHeight w:val="237"/>
        </w:trPr>
        <w:tc>
          <w:tcPr>
            <w:tcW w:w="68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(2,870)</w:t>
            </w:r>
          </w:p>
        </w:tc>
        <w:tc>
          <w:tcPr>
            <w:tcW w:w="4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(2,342)</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r>
      <w:tr>
        <w:trPr>
          <w:trHeight w:val="20"/>
        </w:trPr>
        <w:tc>
          <w:tcPr>
            <w:tcW w:w="66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3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6800" w:type="dxa"/>
            <w:vAlign w:val="bottom"/>
            <w:gridSpan w:val="3"/>
          </w:tcPr>
          <w:p>
            <w:pPr>
              <w:spacing w:after="0"/>
              <w:rPr>
                <w:sz w:val="20"/>
                <w:szCs w:val="20"/>
                <w:color w:val="auto"/>
              </w:rPr>
            </w:pPr>
            <w:r>
              <w:rPr>
                <w:rFonts w:ascii="Arial" w:cs="Arial" w:eastAsia="Arial" w:hAnsi="Arial"/>
                <w:sz w:val="18"/>
                <w:szCs w:val="18"/>
                <w:color w:val="auto"/>
              </w:rPr>
              <w:t>Income before income tax and undistributed subsidiary income</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11,689</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13,755</w:t>
            </w:r>
          </w:p>
        </w:tc>
      </w:tr>
      <w:tr>
        <w:trPr>
          <w:trHeight w:val="249"/>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800" w:type="dxa"/>
            <w:vAlign w:val="bottom"/>
            <w:gridSpan w:val="3"/>
          </w:tcPr>
          <w:p>
            <w:pPr>
              <w:spacing w:after="0"/>
              <w:rPr>
                <w:sz w:val="20"/>
                <w:szCs w:val="20"/>
                <w:color w:val="auto"/>
              </w:rPr>
            </w:pPr>
            <w:r>
              <w:rPr>
                <w:rFonts w:ascii="Arial" w:cs="Arial" w:eastAsia="Arial" w:hAnsi="Arial"/>
                <w:sz w:val="18"/>
                <w:szCs w:val="18"/>
                <w:color w:val="auto"/>
              </w:rPr>
              <w:t>Equity in undistributed subsidiary income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16,801</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9,880</w:t>
            </w:r>
          </w:p>
        </w:tc>
      </w:tr>
      <w:tr>
        <w:trPr>
          <w:trHeight w:val="20"/>
        </w:trPr>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6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80" w:type="dxa"/>
            <w:vAlign w:val="bottom"/>
            <w:tcBorders>
              <w:right w:val="single" w:sz="8" w:color="CCEEFF"/>
            </w:tcBorders>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23,635</w:t>
            </w:r>
          </w:p>
        </w:tc>
      </w:tr>
      <w:tr>
        <w:trPr>
          <w:trHeight w:val="432"/>
        </w:trPr>
        <w:tc>
          <w:tcPr>
            <w:tcW w:w="660" w:type="dxa"/>
            <w:vAlign w:val="bottom"/>
            <w:tcBorders>
              <w:top w:val="single" w:sz="8" w:color="CCEEFF"/>
            </w:tcBorders>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jc w:val="center"/>
              <w:ind w:right="830"/>
              <w:spacing w:after="0"/>
              <w:rPr>
                <w:sz w:val="20"/>
                <w:szCs w:val="20"/>
                <w:color w:val="auto"/>
              </w:rPr>
            </w:pPr>
            <w:r>
              <w:rPr>
                <w:rFonts w:ascii="Arial" w:cs="Arial" w:eastAsia="Arial" w:hAnsi="Arial"/>
                <w:sz w:val="18"/>
                <w:szCs w:val="18"/>
                <w:color w:val="auto"/>
                <w:w w:val="91"/>
              </w:rPr>
              <w:t>F-31</w:t>
            </w: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66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c>
          <w:tcPr>
            <w:tcW w:w="310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ind w:left="360" w:hanging="355"/>
        <w:spacing w:after="0"/>
        <w:tabs>
          <w:tab w:leader="none" w:pos="3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PARENT COMPANY ONLY CONDENSED FINANCIAL INFORMATION (Continued)</w:t>
      </w:r>
    </w:p>
    <w:p>
      <w:pPr>
        <w:spacing w:after="0" w:line="63" w:lineRule="exact"/>
        <w:rPr>
          <w:rFonts w:ascii="Arial" w:cs="Arial" w:eastAsia="Arial" w:hAnsi="Arial"/>
          <w:sz w:val="18"/>
          <w:szCs w:val="18"/>
          <w:b w:val="1"/>
          <w:bCs w:val="1"/>
          <w:i w:val="1"/>
          <w:iCs w:val="1"/>
          <w:color w:val="auto"/>
        </w:rPr>
      </w:pPr>
    </w:p>
    <w:p>
      <w:pPr>
        <w:ind w:left="288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CONDENSED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r>
      <w:tr>
        <w:trPr>
          <w:trHeight w:val="183"/>
        </w:trPr>
        <w:tc>
          <w:tcPr>
            <w:tcW w:w="4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3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lef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29,290</w:t>
            </w:r>
          </w:p>
        </w:tc>
        <w:tc>
          <w:tcPr>
            <w:tcW w:w="42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23,635</w:t>
            </w:r>
          </w:p>
        </w:tc>
        <w:tc>
          <w:tcPr>
            <w:tcW w:w="100" w:type="dxa"/>
            <w:vAlign w:val="bottom"/>
          </w:tcPr>
          <w:p>
            <w:pPr>
              <w:spacing w:after="0"/>
              <w:rPr>
                <w:sz w:val="20"/>
                <w:szCs w:val="20"/>
                <w:color w:val="auto"/>
              </w:rPr>
            </w:pPr>
          </w:p>
        </w:tc>
      </w:tr>
      <w:tr>
        <w:trPr>
          <w:trHeight w:val="249"/>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3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20" w:type="dxa"/>
            <w:vAlign w:val="bottom"/>
            <w:tcBorders>
              <w:lef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60" w:type="dxa"/>
            <w:vAlign w:val="bottom"/>
          </w:tcPr>
          <w:p>
            <w:pPr>
              <w:ind w:left="360"/>
              <w:spacing w:after="0"/>
              <w:rPr>
                <w:sz w:val="20"/>
                <w:szCs w:val="20"/>
                <w:color w:val="auto"/>
              </w:rPr>
            </w:pPr>
            <w:r>
              <w:rPr>
                <w:rFonts w:ascii="Arial" w:cs="Arial" w:eastAsia="Arial" w:hAnsi="Arial"/>
                <w:sz w:val="18"/>
                <w:szCs w:val="18"/>
                <w:color w:val="auto"/>
              </w:rPr>
              <w:t>Equity in undistributed subsidiary income</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(16,801)</w:t>
            </w:r>
          </w:p>
        </w:tc>
        <w:tc>
          <w:tcPr>
            <w:tcW w:w="4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(9,880)</w:t>
            </w:r>
          </w:p>
        </w:tc>
      </w:tr>
      <w:tr>
        <w:trPr>
          <w:trHeight w:val="249"/>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other assets</w:t>
            </w:r>
          </w:p>
        </w:tc>
        <w:tc>
          <w:tcPr>
            <w:tcW w:w="23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420" w:type="dxa"/>
            <w:vAlign w:val="bottom"/>
            <w:tcBorders>
              <w:lef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37"/>
        </w:trPr>
        <w:tc>
          <w:tcPr>
            <w:tcW w:w="4560" w:type="dxa"/>
            <w:vAlign w:val="bottom"/>
          </w:tcPr>
          <w:p>
            <w:pPr>
              <w:ind w:left="360"/>
              <w:spacing w:after="0"/>
              <w:rPr>
                <w:sz w:val="20"/>
                <w:szCs w:val="20"/>
                <w:color w:val="auto"/>
              </w:rPr>
            </w:pPr>
            <w:r>
              <w:rPr>
                <w:rFonts w:ascii="Arial" w:cs="Arial" w:eastAsia="Arial" w:hAnsi="Arial"/>
                <w:sz w:val="18"/>
                <w:szCs w:val="18"/>
                <w:color w:val="auto"/>
              </w:rPr>
              <w:t>Change in other liabilities</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4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(455)</w:t>
            </w:r>
          </w:p>
        </w:tc>
      </w:tr>
      <w:tr>
        <w:trPr>
          <w:trHeight w:val="249"/>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Release of unearned ESOP shares</w:t>
            </w:r>
          </w:p>
        </w:tc>
        <w:tc>
          <w:tcPr>
            <w:tcW w:w="232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left w:val="single" w:sz="8" w:color="CCEEFF"/>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4560" w:type="dxa"/>
            <w:vAlign w:val="bottom"/>
          </w:tcPr>
          <w:p>
            <w:pPr>
              <w:ind w:left="540"/>
              <w:spacing w:after="0"/>
              <w:rPr>
                <w:sz w:val="20"/>
                <w:szCs w:val="20"/>
                <w:color w:val="auto"/>
              </w:rPr>
            </w:pPr>
            <w:r>
              <w:rPr>
                <w:rFonts w:ascii="Arial" w:cs="Arial" w:eastAsia="Arial" w:hAnsi="Arial"/>
                <w:sz w:val="18"/>
                <w:szCs w:val="18"/>
                <w:color w:val="auto"/>
              </w:rPr>
              <w:t>Net cash from operating activities</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12,501</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13,975</w:t>
            </w:r>
          </w:p>
        </w:tc>
        <w:tc>
          <w:tcPr>
            <w:tcW w:w="100" w:type="dxa"/>
            <w:vAlign w:val="bottom"/>
          </w:tcPr>
          <w:p>
            <w:pPr>
              <w:spacing w:after="0"/>
              <w:rPr>
                <w:sz w:val="20"/>
                <w:szCs w:val="20"/>
                <w:color w:val="auto"/>
              </w:rPr>
            </w:pPr>
          </w:p>
        </w:tc>
      </w:tr>
      <w:tr>
        <w:trPr>
          <w:trHeight w:val="24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3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20" w:type="dxa"/>
            <w:vAlign w:val="bottom"/>
            <w:tcBorders>
              <w:left w:val="single" w:sz="8" w:color="CCEEFF"/>
            </w:tcBorders>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Return of capital from subsidiary</w:t>
            </w:r>
          </w:p>
        </w:tc>
        <w:tc>
          <w:tcPr>
            <w:tcW w:w="2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37"/>
        </w:trPr>
        <w:tc>
          <w:tcPr>
            <w:tcW w:w="4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from investing activities</w:t>
            </w:r>
          </w:p>
        </w:tc>
        <w:tc>
          <w:tcPr>
            <w:tcW w:w="23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420" w:type="dxa"/>
            <w:vAlign w:val="bottom"/>
            <w:tcBorders>
              <w:left w:val="single" w:sz="8" w:color="CCEEFF"/>
            </w:tcBorders>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long-term borrowings</w:t>
            </w:r>
          </w:p>
        </w:tc>
        <w:tc>
          <w:tcPr>
            <w:tcW w:w="23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13,115</w:t>
            </w:r>
          </w:p>
        </w:tc>
        <w:tc>
          <w:tcPr>
            <w:tcW w:w="420" w:type="dxa"/>
            <w:vAlign w:val="bottom"/>
            <w:tcBorders>
              <w:lef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Repayments of long-term borrowings</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r>
      <w:tr>
        <w:trPr>
          <w:trHeight w:val="249"/>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w:t>
            </w:r>
          </w:p>
        </w:tc>
        <w:tc>
          <w:tcPr>
            <w:tcW w:w="23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(30,045)</w:t>
            </w:r>
          </w:p>
        </w:tc>
        <w:tc>
          <w:tcPr>
            <w:tcW w:w="420" w:type="dxa"/>
            <w:vAlign w:val="bottom"/>
            <w:tcBorders>
              <w:lef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(7,874)</w:t>
            </w:r>
          </w:p>
        </w:tc>
      </w:tr>
      <w:tr>
        <w:trPr>
          <w:trHeight w:val="20"/>
        </w:trPr>
        <w:tc>
          <w:tcPr>
            <w:tcW w:w="4560" w:type="dxa"/>
            <w:vAlign w:val="bottom"/>
            <w:shd w:val="clear" w:color="auto" w:fill="CCEEFF"/>
          </w:tcPr>
          <w:p>
            <w:pPr>
              <w:spacing w:after="0" w:line="20" w:lineRule="exact"/>
              <w:rPr>
                <w:sz w:val="1"/>
                <w:szCs w:val="1"/>
                <w:color w:val="auto"/>
              </w:rPr>
            </w:pPr>
          </w:p>
        </w:tc>
        <w:tc>
          <w:tcPr>
            <w:tcW w:w="23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4560" w:type="dxa"/>
            <w:vAlign w:val="bottom"/>
          </w:tcPr>
          <w:p>
            <w:pPr>
              <w:ind w:left="540"/>
              <w:spacing w:after="0"/>
              <w:rPr>
                <w:sz w:val="20"/>
                <w:szCs w:val="20"/>
                <w:color w:val="auto"/>
              </w:rPr>
            </w:pPr>
            <w:r>
              <w:rPr>
                <w:rFonts w:ascii="Arial" w:cs="Arial" w:eastAsia="Arial" w:hAnsi="Arial"/>
                <w:sz w:val="18"/>
                <w:szCs w:val="18"/>
                <w:color w:val="auto"/>
              </w:rPr>
              <w:t>Net cash from financing activities</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(16,930)</w:t>
            </w:r>
          </w:p>
        </w:tc>
        <w:tc>
          <w:tcPr>
            <w:tcW w:w="4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(8,550)</w:t>
            </w:r>
          </w:p>
        </w:tc>
      </w:tr>
      <w:tr>
        <w:trPr>
          <w:trHeight w:val="20"/>
        </w:trPr>
        <w:tc>
          <w:tcPr>
            <w:tcW w:w="4560" w:type="dxa"/>
            <w:vAlign w:val="bottom"/>
          </w:tcPr>
          <w:p>
            <w:pPr>
              <w:spacing w:after="0" w:line="20" w:lineRule="exact"/>
              <w:rPr>
                <w:sz w:val="1"/>
                <w:szCs w:val="1"/>
                <w:color w:val="auto"/>
              </w:rPr>
            </w:pPr>
          </w:p>
        </w:tc>
        <w:tc>
          <w:tcPr>
            <w:tcW w:w="23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3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420" w:type="dxa"/>
            <w:vAlign w:val="bottom"/>
            <w:tcBorders>
              <w:left w:val="single" w:sz="8" w:color="CCEEFF"/>
            </w:tcBorders>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spacing w:after="0"/>
              <w:rPr>
                <w:sz w:val="20"/>
                <w:szCs w:val="20"/>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2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24,556</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19,131</w:t>
            </w:r>
          </w:p>
        </w:tc>
        <w:tc>
          <w:tcPr>
            <w:tcW w:w="100" w:type="dxa"/>
            <w:vAlign w:val="bottom"/>
          </w:tcPr>
          <w:p>
            <w:pPr>
              <w:spacing w:after="0"/>
              <w:rPr>
                <w:sz w:val="21"/>
                <w:szCs w:val="21"/>
                <w:color w:val="auto"/>
              </w:rPr>
            </w:pPr>
          </w:p>
        </w:tc>
      </w:tr>
      <w:tr>
        <w:trPr>
          <w:trHeight w:val="27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22,627</w:t>
            </w:r>
          </w:p>
        </w:tc>
        <w:tc>
          <w:tcPr>
            <w:tcW w:w="420" w:type="dxa"/>
            <w:vAlign w:val="bottom"/>
            <w:tcBorders>
              <w:left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24,556</w:t>
            </w:r>
          </w:p>
        </w:tc>
        <w:tc>
          <w:tcPr>
            <w:tcW w:w="100" w:type="dxa"/>
            <w:vAlign w:val="bottom"/>
            <w:shd w:val="clear" w:color="auto" w:fill="CCEEFF"/>
          </w:tcPr>
          <w:p>
            <w:pPr>
              <w:spacing w:after="0"/>
              <w:rPr>
                <w:sz w:val="23"/>
                <w:szCs w:val="23"/>
                <w:color w:val="auto"/>
              </w:rPr>
            </w:pPr>
          </w:p>
        </w:tc>
      </w:tr>
      <w:tr>
        <w:trPr>
          <w:trHeight w:val="324"/>
        </w:trPr>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15.  EARNINGS PER SHARE</w:t>
            </w:r>
          </w:p>
        </w:tc>
        <w:tc>
          <w:tcPr>
            <w:tcW w:w="23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24"/>
        </w:trPr>
        <w:tc>
          <w:tcPr>
            <w:tcW w:w="4560" w:type="dxa"/>
            <w:vAlign w:val="bottom"/>
          </w:tcPr>
          <w:p>
            <w:pPr>
              <w:spacing w:after="0"/>
              <w:rPr>
                <w:sz w:val="20"/>
                <w:szCs w:val="20"/>
                <w:color w:val="auto"/>
              </w:rPr>
            </w:pPr>
            <w:r>
              <w:rPr>
                <w:rFonts w:ascii="Arial" w:cs="Arial" w:eastAsia="Arial" w:hAnsi="Arial"/>
                <w:sz w:val="18"/>
                <w:szCs w:val="18"/>
                <w:color w:val="auto"/>
                <w:w w:val="91"/>
              </w:rPr>
              <w:t>The factors used in the earnings per share computation follow:</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5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3"/>
        </w:trPr>
        <w:tc>
          <w:tcPr>
            <w:tcW w:w="4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237"/>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6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left w:val="single" w:sz="8" w:color="CCEEFF"/>
            </w:tcBorders>
            <w:shd w:val="clear" w:color="auto" w:fill="CCEEFF"/>
          </w:tcPr>
          <w:p>
            <w:pPr>
              <w:jc w:val="right"/>
              <w:ind w:right="294"/>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23,635</w:t>
            </w: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492,384</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492,303</w:t>
            </w:r>
          </w:p>
        </w:tc>
      </w:tr>
      <w:tr>
        <w:trPr>
          <w:trHeight w:val="24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3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492,384</w:t>
            </w:r>
          </w:p>
        </w:tc>
        <w:tc>
          <w:tcPr>
            <w:tcW w:w="160" w:type="dxa"/>
            <w:vAlign w:val="bottom"/>
            <w:tcBorders>
              <w:right w:val="single" w:sz="8" w:color="CCEEFF"/>
            </w:tcBorders>
            <w:shd w:val="clear" w:color="auto" w:fill="CCEEFF"/>
          </w:tcPr>
          <w:p>
            <w:pPr>
              <w:spacing w:after="0"/>
              <w:rPr>
                <w:sz w:val="21"/>
                <w:szCs w:val="21"/>
                <w:color w:val="auto"/>
              </w:rPr>
            </w:pPr>
          </w:p>
        </w:tc>
        <w:tc>
          <w:tcPr>
            <w:tcW w:w="420" w:type="dxa"/>
            <w:vAlign w:val="bottom"/>
            <w:tcBorders>
              <w:left w:val="single" w:sz="8" w:color="CCEEFF"/>
            </w:tcBorders>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492,384</w:t>
            </w: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59.49</w:t>
            </w:r>
          </w:p>
        </w:tc>
        <w:tc>
          <w:tcPr>
            <w:tcW w:w="160" w:type="dxa"/>
            <w:vAlign w:val="bottom"/>
          </w:tcPr>
          <w:p>
            <w:pPr>
              <w:spacing w:after="0"/>
              <w:rPr>
                <w:sz w:val="20"/>
                <w:szCs w:val="20"/>
                <w:color w:val="auto"/>
              </w:rPr>
            </w:pPr>
          </w:p>
        </w:tc>
        <w:tc>
          <w:tcPr>
            <w:tcW w:w="420" w:type="dxa"/>
            <w:vAlign w:val="bottom"/>
          </w:tcPr>
          <w:p>
            <w:pPr>
              <w:jc w:val="right"/>
              <w:ind w:right="294"/>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48.01</w:t>
            </w:r>
          </w:p>
        </w:tc>
      </w:tr>
      <w:tr>
        <w:trPr>
          <w:trHeight w:val="24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60" w:type="dxa"/>
            <w:vAlign w:val="bottom"/>
            <w:tcBorders>
              <w:right w:val="single" w:sz="8" w:color="CCEEFF"/>
            </w:tcBorders>
            <w:shd w:val="clear" w:color="auto" w:fill="CCEEFF"/>
          </w:tcPr>
          <w:p>
            <w:pPr>
              <w:spacing w:after="0"/>
              <w:rPr>
                <w:sz w:val="21"/>
                <w:szCs w:val="21"/>
                <w:color w:val="auto"/>
              </w:rPr>
            </w:pPr>
          </w:p>
        </w:tc>
        <w:tc>
          <w:tcPr>
            <w:tcW w:w="420" w:type="dxa"/>
            <w:vAlign w:val="bottom"/>
            <w:tcBorders>
              <w:left w:val="single" w:sz="8" w:color="CCEEFF"/>
            </w:tcBorders>
            <w:shd w:val="clear" w:color="auto" w:fill="CCEEFF"/>
          </w:tcPr>
          <w:p>
            <w:pPr>
              <w:jc w:val="right"/>
              <w:ind w:right="294"/>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w:t>
            </w:r>
          </w:p>
        </w:tc>
      </w:tr>
      <w:tr>
        <w:trPr>
          <w:trHeight w:val="432"/>
        </w:trPr>
        <w:tc>
          <w:tcPr>
            <w:tcW w:w="4560" w:type="dxa"/>
            <w:vAlign w:val="bottom"/>
          </w:tcPr>
          <w:p>
            <w:pPr>
              <w:spacing w:after="0"/>
              <w:rPr>
                <w:sz w:val="24"/>
                <w:szCs w:val="24"/>
                <w:color w:val="auto"/>
              </w:rPr>
            </w:pPr>
          </w:p>
        </w:tc>
        <w:tc>
          <w:tcPr>
            <w:tcW w:w="2560" w:type="dxa"/>
            <w:vAlign w:val="bottom"/>
            <w:gridSpan w:val="2"/>
          </w:tcPr>
          <w:p>
            <w:pPr>
              <w:jc w:val="right"/>
              <w:ind w:right="2160"/>
              <w:spacing w:after="0"/>
              <w:rPr>
                <w:sz w:val="20"/>
                <w:szCs w:val="20"/>
                <w:color w:val="auto"/>
              </w:rPr>
            </w:pPr>
            <w:r>
              <w:rPr>
                <w:rFonts w:ascii="Arial" w:cs="Arial" w:eastAsia="Arial" w:hAnsi="Arial"/>
                <w:sz w:val="18"/>
                <w:szCs w:val="18"/>
                <w:color w:val="auto"/>
              </w:rPr>
              <w:t>F-32</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560" w:type="dxa"/>
            <w:vAlign w:val="bottom"/>
            <w:shd w:val="clear" w:color="auto" w:fill="000000"/>
          </w:tcPr>
          <w:p>
            <w:pPr>
              <w:spacing w:after="0"/>
              <w:rPr>
                <w:sz w:val="5"/>
                <w:szCs w:val="5"/>
                <w:color w:val="auto"/>
              </w:rPr>
            </w:pPr>
          </w:p>
        </w:tc>
        <w:tc>
          <w:tcPr>
            <w:tcW w:w="232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0" w:type="dxa"/>
            <w:vAlign w:val="bottom"/>
            <w:tcBorders>
              <w:right w:val="single" w:sz="8" w:color="auto"/>
            </w:tcBorders>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420" w:type="dxa"/>
            <w:vAlign w:val="bottom"/>
            <w:tcBorders>
              <w:left w:val="single" w:sz="8" w:color="auto"/>
            </w:tcBorders>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6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by reportable segment are detailed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Banking</w:t>
            </w:r>
          </w:p>
        </w:tc>
        <w:tc>
          <w:tcPr>
            <w:tcW w:w="10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Insurance</w:t>
            </w:r>
          </w:p>
        </w:tc>
        <w:tc>
          <w:tcPr>
            <w:tcW w:w="140" w:type="dxa"/>
            <w:vAlign w:val="bottom"/>
          </w:tcPr>
          <w:p>
            <w:pPr>
              <w:spacing w:after="0"/>
              <w:rPr>
                <w:sz w:val="16"/>
                <w:szCs w:val="16"/>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Consolidated</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2018</w:t>
            </w:r>
          </w:p>
        </w:tc>
        <w:tc>
          <w:tcPr>
            <w:tcW w:w="5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37"/>
        </w:trPr>
        <w:tc>
          <w:tcPr>
            <w:tcW w:w="60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Net interest income</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95,612</w:t>
            </w: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95,612</w:t>
            </w:r>
          </w:p>
        </w:tc>
      </w:tr>
      <w:tr>
        <w:trPr>
          <w:trHeight w:val="249"/>
        </w:trPr>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(6,901)</w:t>
            </w:r>
          </w:p>
        </w:tc>
      </w:tr>
      <w:tr>
        <w:trPr>
          <w:trHeight w:val="237"/>
        </w:trPr>
        <w:tc>
          <w:tcPr>
            <w:tcW w:w="6000" w:type="dxa"/>
            <w:vAlign w:val="bottom"/>
            <w:gridSpan w:val="3"/>
          </w:tcPr>
          <w:p>
            <w:pPr>
              <w:spacing w:after="0"/>
              <w:rPr>
                <w:sz w:val="20"/>
                <w:szCs w:val="20"/>
                <w:color w:val="auto"/>
              </w:rPr>
            </w:pPr>
            <w:r>
              <w:rPr>
                <w:rFonts w:ascii="Arial" w:cs="Arial" w:eastAsia="Arial" w:hAnsi="Arial"/>
                <w:sz w:val="18"/>
                <w:szCs w:val="18"/>
                <w:color w:val="auto"/>
              </w:rPr>
              <w:t>Noninterest income</w:t>
            </w: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45,247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6,874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52,121</w:t>
            </w:r>
          </w:p>
        </w:tc>
      </w:tr>
      <w:tr>
        <w:trPr>
          <w:trHeight w:val="24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(111,104)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(115,443)</w:t>
            </w:r>
          </w:p>
        </w:tc>
      </w:tr>
      <w:tr>
        <w:trPr>
          <w:trHeight w:val="237"/>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22,854</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25,389</w:t>
            </w:r>
          </w:p>
        </w:tc>
        <w:tc>
          <w:tcPr>
            <w:tcW w:w="60" w:type="dxa"/>
            <w:vAlign w:val="bottom"/>
            <w:tcBorders>
              <w:top w:val="single" w:sz="8" w:color="CCEEFF"/>
            </w:tcBorders>
          </w:tcPr>
          <w:p>
            <w:pPr>
              <w:spacing w:after="0"/>
              <w:rPr>
                <w:sz w:val="20"/>
                <w:szCs w:val="20"/>
                <w:color w:val="auto"/>
              </w:rPr>
            </w:pPr>
          </w:p>
        </w:tc>
      </w:tr>
      <w:tr>
        <w:trPr>
          <w:trHeight w:val="23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3,901</w:t>
            </w:r>
          </w:p>
        </w:tc>
      </w:tr>
      <w:tr>
        <w:trPr>
          <w:trHeight w:val="223"/>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26,983</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29,290</w:t>
            </w:r>
          </w:p>
        </w:tc>
        <w:tc>
          <w:tcPr>
            <w:tcW w:w="60" w:type="dxa"/>
            <w:vAlign w:val="bottom"/>
            <w:tcBorders>
              <w:top w:val="single" w:sz="8" w:color="CCEEFF"/>
            </w:tcBorders>
          </w:tcPr>
          <w:p>
            <w:pPr>
              <w:spacing w:after="0"/>
              <w:rPr>
                <w:sz w:val="19"/>
                <w:szCs w:val="19"/>
                <w:color w:val="auto"/>
              </w:rPr>
            </w:pPr>
          </w:p>
        </w:tc>
      </w:tr>
      <w:tr>
        <w:trPr>
          <w:trHeight w:val="28"/>
        </w:trPr>
        <w:tc>
          <w:tcPr>
            <w:tcW w:w="3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2,614,351</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2,623,896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43"/>
        </w:trPr>
        <w:tc>
          <w:tcPr>
            <w:tcW w:w="36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Banking</w:t>
            </w:r>
          </w:p>
        </w:tc>
        <w:tc>
          <w:tcPr>
            <w:tcW w:w="100" w:type="dxa"/>
            <w:vAlign w:val="bottom"/>
          </w:tcPr>
          <w:p>
            <w:pPr>
              <w:spacing w:after="0"/>
              <w:rPr>
                <w:sz w:val="21"/>
                <w:szCs w:val="21"/>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Insurance</w:t>
            </w:r>
          </w:p>
        </w:tc>
        <w:tc>
          <w:tcPr>
            <w:tcW w:w="14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Consolidated</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2017</w:t>
            </w:r>
          </w:p>
        </w:tc>
        <w:tc>
          <w:tcPr>
            <w:tcW w:w="56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37"/>
        </w:trPr>
        <w:tc>
          <w:tcPr>
            <w:tcW w:w="600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Net interest income (expense)</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88,463</w:t>
            </w:r>
          </w:p>
        </w:tc>
        <w:tc>
          <w:tcPr>
            <w:tcW w:w="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88,463</w:t>
            </w:r>
          </w:p>
        </w:tc>
      </w:tr>
      <w:tr>
        <w:trPr>
          <w:trHeight w:val="249"/>
        </w:trPr>
        <w:tc>
          <w:tcPr>
            <w:tcW w:w="6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(3,966)</w:t>
            </w:r>
          </w:p>
        </w:tc>
      </w:tr>
      <w:tr>
        <w:trPr>
          <w:trHeight w:val="237"/>
        </w:trPr>
        <w:tc>
          <w:tcPr>
            <w:tcW w:w="6000" w:type="dxa"/>
            <w:vAlign w:val="bottom"/>
            <w:gridSpan w:val="3"/>
          </w:tcPr>
          <w:p>
            <w:pPr>
              <w:spacing w:after="0"/>
              <w:rPr>
                <w:sz w:val="20"/>
                <w:szCs w:val="20"/>
                <w:color w:val="auto"/>
              </w:rPr>
            </w:pPr>
            <w:r>
              <w:rPr>
                <w:rFonts w:ascii="Arial" w:cs="Arial" w:eastAsia="Arial" w:hAnsi="Arial"/>
                <w:sz w:val="18"/>
                <w:szCs w:val="18"/>
                <w:color w:val="auto"/>
              </w:rPr>
              <w:t>Noninterest income</w:t>
            </w: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41,197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6,192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47,389</w:t>
            </w:r>
          </w:p>
        </w:tc>
      </w:tr>
      <w:tr>
        <w:trPr>
          <w:trHeight w:val="24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(104,330)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(108,144)</w:t>
            </w:r>
          </w:p>
        </w:tc>
      </w:tr>
      <w:tr>
        <w:trPr>
          <w:trHeight w:val="237"/>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21,364</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23,742</w:t>
            </w:r>
          </w:p>
        </w:tc>
        <w:tc>
          <w:tcPr>
            <w:tcW w:w="60" w:type="dxa"/>
            <w:vAlign w:val="bottom"/>
            <w:tcBorders>
              <w:top w:val="single" w:sz="8" w:color="CCEEFF"/>
            </w:tcBorders>
          </w:tcPr>
          <w:p>
            <w:pPr>
              <w:spacing w:after="0"/>
              <w:rPr>
                <w:sz w:val="20"/>
                <w:szCs w:val="20"/>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21,257</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23,635</w:t>
            </w:r>
          </w:p>
        </w:tc>
        <w:tc>
          <w:tcPr>
            <w:tcW w:w="60" w:type="dxa"/>
            <w:vAlign w:val="bottom"/>
            <w:tcBorders>
              <w:top w:val="single" w:sz="8" w:color="CCEEFF"/>
            </w:tcBorders>
          </w:tcPr>
          <w:p>
            <w:pPr>
              <w:spacing w:after="0"/>
              <w:rPr>
                <w:sz w:val="19"/>
                <w:szCs w:val="19"/>
                <w:color w:val="auto"/>
              </w:rPr>
            </w:pPr>
          </w:p>
        </w:tc>
      </w:tr>
      <w:tr>
        <w:trPr>
          <w:trHeight w:val="28"/>
        </w:trPr>
        <w:tc>
          <w:tcPr>
            <w:tcW w:w="3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2,541,005</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2,548,116</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FAIR VALUE DISCLOSURES</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FAIR VALUE DISCLOSURES (Continued)</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valuation inputs gives the highest priority to quoted prices in active markets for identical assets or liabilities and the lowest priority to unobservable inputs. The fair value hierarchy is as follows:</w:t>
      </w:r>
    </w:p>
    <w:p>
      <w:pPr>
        <w:spacing w:after="0" w:line="62" w:lineRule="exact"/>
        <w:rPr>
          <w:sz w:val="20"/>
          <w:szCs w:val="20"/>
          <w:color w:val="auto"/>
        </w:rPr>
      </w:pPr>
    </w:p>
    <w:p>
      <w:pPr>
        <w:ind w:left="700" w:right="240" w:hanging="344"/>
        <w:spacing w:after="0" w:line="277"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access at the measurement date.</w:t>
      </w:r>
    </w:p>
    <w:p>
      <w:pPr>
        <w:spacing w:after="0" w:line="62" w:lineRule="exact"/>
        <w:rPr>
          <w:rFonts w:ascii="Arial" w:cs="Arial" w:eastAsia="Arial" w:hAnsi="Arial"/>
          <w:sz w:val="18"/>
          <w:szCs w:val="18"/>
          <w:color w:val="auto"/>
        </w:rPr>
      </w:pPr>
    </w:p>
    <w:p>
      <w:pPr>
        <w:ind w:left="700" w:right="20" w:hanging="344"/>
        <w:spacing w:after="0" w:line="275" w:lineRule="auto"/>
        <w:tabs>
          <w:tab w:leader="none" w:pos="70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 xml:space="preserve">Level 2 Inputs </w:t>
      </w:r>
      <w:r>
        <w:rPr>
          <w:rFonts w:ascii="Arial" w:cs="Arial" w:eastAsia="Arial" w:hAnsi="Arial"/>
          <w:sz w:val="17"/>
          <w:szCs w:val="17"/>
          <w:color w:val="auto"/>
        </w:rPr>
        <w:t>– Inputs other than quoted prices included in Level 1 that are observable for the asset or liability, either</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68" w:lineRule="exact"/>
        <w:rPr>
          <w:rFonts w:ascii="Arial" w:cs="Arial" w:eastAsia="Arial" w:hAnsi="Arial"/>
          <w:sz w:val="17"/>
          <w:szCs w:val="17"/>
          <w:color w:val="auto"/>
        </w:rPr>
      </w:pPr>
    </w:p>
    <w:p>
      <w:pPr>
        <w:ind w:left="700" w:right="400" w:hanging="344"/>
        <w:spacing w:after="0" w:line="308" w:lineRule="auto"/>
        <w:tabs>
          <w:tab w:leader="none" w:pos="70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 xml:space="preserve">Level 3 Inputs </w:t>
      </w:r>
      <w:r>
        <w:rPr>
          <w:rFonts w:ascii="Arial" w:cs="Arial" w:eastAsia="Arial" w:hAnsi="Arial"/>
          <w:sz w:val="17"/>
          <w:szCs w:val="17"/>
          <w:color w:val="auto"/>
        </w:rPr>
        <w:t>– Unobservable inputs for determining the fair values of assets or liabilities that reflect an entity’s own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about the assumptions that market participants would use in pricing the assets or liabilities.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fair value measurements as of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7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21"/>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2018</w:t>
            </w:r>
          </w:p>
        </w:tc>
        <w:tc>
          <w:tcPr>
            <w:tcW w:w="4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7"/>
        </w:trPr>
        <w:tc>
          <w:tcPr>
            <w:tcW w:w="45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2"/>
              </w:rPr>
              <w:t>Assets (liabilities) measured at fair value on a recurring basis:</w:t>
            </w:r>
          </w:p>
        </w:tc>
        <w:tc>
          <w:tcPr>
            <w:tcW w:w="14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U.S. government and agencies</w:t>
            </w:r>
          </w:p>
        </w:tc>
        <w:tc>
          <w:tcPr>
            <w:tcW w:w="2280" w:type="dxa"/>
            <w:vAlign w:val="bottom"/>
            <w:gridSpan w:val="6"/>
          </w:tcPr>
          <w:p>
            <w:pPr>
              <w:jc w:val="right"/>
              <w:ind w:right="60"/>
              <w:spacing w:after="0"/>
              <w:rPr>
                <w:sz w:val="20"/>
                <w:szCs w:val="20"/>
                <w:color w:val="auto"/>
              </w:rPr>
            </w:pPr>
            <w:r>
              <w:rPr>
                <w:rFonts w:ascii="Arial" w:cs="Arial" w:eastAsia="Arial" w:hAnsi="Arial"/>
                <w:sz w:val="18"/>
                <w:szCs w:val="18"/>
                <w:color w:val="auto"/>
              </w:rPr>
              <w:t>$ 74,419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10,288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84,707</w:t>
            </w:r>
          </w:p>
        </w:tc>
        <w:tc>
          <w:tcPr>
            <w:tcW w:w="100" w:type="dxa"/>
            <w:vAlign w:val="bottom"/>
          </w:tcPr>
          <w:p>
            <w:pPr>
              <w:spacing w:after="0"/>
              <w:rPr>
                <w:sz w:val="20"/>
                <w:szCs w:val="20"/>
                <w:color w:val="auto"/>
              </w:rPr>
            </w:pPr>
          </w:p>
        </w:tc>
      </w:tr>
      <w:tr>
        <w:trPr>
          <w:trHeight w:val="249"/>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32,310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32,310</w:t>
            </w:r>
          </w:p>
        </w:tc>
        <w:tc>
          <w:tcPr>
            <w:tcW w:w="100" w:type="dxa"/>
            <w:vAlign w:val="bottom"/>
            <w:shd w:val="clear" w:color="auto" w:fill="CCEEFF"/>
          </w:tcPr>
          <w:p>
            <w:pPr>
              <w:spacing w:after="0"/>
              <w:rPr>
                <w:sz w:val="21"/>
                <w:szCs w:val="21"/>
                <w:color w:val="auto"/>
              </w:rPr>
            </w:pPr>
          </w:p>
        </w:tc>
      </w:tr>
      <w:tr>
        <w:trPr>
          <w:trHeight w:val="237"/>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Mortgage-backed securities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182,256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182,256</w:t>
            </w:r>
          </w:p>
        </w:tc>
        <w:tc>
          <w:tcPr>
            <w:tcW w:w="100" w:type="dxa"/>
            <w:vAlign w:val="bottom"/>
          </w:tcPr>
          <w:p>
            <w:pPr>
              <w:spacing w:after="0"/>
              <w:rPr>
                <w:sz w:val="20"/>
                <w:szCs w:val="20"/>
                <w:color w:val="auto"/>
              </w:rPr>
            </w:pPr>
          </w:p>
        </w:tc>
      </w:tr>
      <w:tr>
        <w:trPr>
          <w:trHeight w:val="24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and other amortizing securities</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38,923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38,923</w:t>
            </w:r>
          </w:p>
        </w:tc>
        <w:tc>
          <w:tcPr>
            <w:tcW w:w="100" w:type="dxa"/>
            <w:vAlign w:val="bottom"/>
            <w:shd w:val="clear" w:color="auto" w:fill="CCEEFF"/>
          </w:tcPr>
          <w:p>
            <w:pPr>
              <w:spacing w:after="0"/>
              <w:rPr>
                <w:sz w:val="21"/>
                <w:szCs w:val="21"/>
                <w:color w:val="auto"/>
              </w:rPr>
            </w:pPr>
          </w:p>
        </w:tc>
      </w:tr>
      <w:tr>
        <w:trPr>
          <w:trHeight w:val="237"/>
        </w:trPr>
        <w:tc>
          <w:tcPr>
            <w:tcW w:w="4540" w:type="dxa"/>
            <w:vAlign w:val="bottom"/>
            <w:gridSpan w:val="2"/>
          </w:tcPr>
          <w:p>
            <w:pPr>
              <w:spacing w:after="0"/>
              <w:rPr>
                <w:sz w:val="20"/>
                <w:szCs w:val="20"/>
                <w:color w:val="auto"/>
              </w:rPr>
            </w:pPr>
            <w:r>
              <w:rPr>
                <w:rFonts w:ascii="Arial" w:cs="Arial" w:eastAsia="Arial" w:hAnsi="Arial"/>
                <w:sz w:val="18"/>
                <w:szCs w:val="18"/>
                <w:color w:val="auto"/>
              </w:rPr>
              <w:t>Loans held for sale (mandatory)</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31,874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31,874</w:t>
            </w:r>
          </w:p>
        </w:tc>
        <w:tc>
          <w:tcPr>
            <w:tcW w:w="100" w:type="dxa"/>
            <w:vAlign w:val="bottom"/>
          </w:tcPr>
          <w:p>
            <w:pPr>
              <w:spacing w:after="0"/>
              <w:rPr>
                <w:sz w:val="20"/>
                <w:szCs w:val="20"/>
                <w:color w:val="auto"/>
              </w:rPr>
            </w:pPr>
          </w:p>
        </w:tc>
      </w:tr>
      <w:tr>
        <w:trPr>
          <w:trHeight w:val="24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21"/>
                <w:szCs w:val="21"/>
                <w:color w:val="auto"/>
              </w:rPr>
            </w:pPr>
          </w:p>
        </w:tc>
      </w:tr>
      <w:tr>
        <w:trPr>
          <w:trHeight w:val="237"/>
        </w:trPr>
        <w:tc>
          <w:tcPr>
            <w:tcW w:w="4540" w:type="dxa"/>
            <w:vAlign w:val="bottom"/>
            <w:gridSpan w:val="2"/>
          </w:tcPr>
          <w:p>
            <w:pPr>
              <w:spacing w:after="0"/>
              <w:rPr>
                <w:sz w:val="20"/>
                <w:szCs w:val="20"/>
                <w:color w:val="auto"/>
              </w:rPr>
            </w:pPr>
            <w:r>
              <w:rPr>
                <w:rFonts w:ascii="Arial" w:cs="Arial" w:eastAsia="Arial" w:hAnsi="Arial"/>
                <w:sz w:val="18"/>
                <w:szCs w:val="18"/>
                <w:color w:val="auto"/>
              </w:rPr>
              <w:t>Asset derivatives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0"/>
                <w:szCs w:val="20"/>
                <w:color w:val="auto"/>
              </w:rPr>
            </w:pPr>
          </w:p>
        </w:tc>
      </w:tr>
      <w:tr>
        <w:trPr>
          <w:trHeight w:val="24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Liability derivatives</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r>
      <w:tr>
        <w:trPr>
          <w:trHeight w:val="243"/>
        </w:trPr>
        <w:tc>
          <w:tcPr>
            <w:tcW w:w="36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40" w:type="dxa"/>
            <w:vAlign w:val="bottom"/>
            <w:gridSpan w:val="2"/>
          </w:tcPr>
          <w:p>
            <w:pPr>
              <w:spacing w:after="0"/>
              <w:rPr>
                <w:sz w:val="20"/>
                <w:szCs w:val="20"/>
                <w:color w:val="auto"/>
              </w:rPr>
            </w:pPr>
            <w:r>
              <w:rPr>
                <w:rFonts w:ascii="Arial" w:cs="Arial" w:eastAsia="Arial" w:hAnsi="Arial"/>
                <w:sz w:val="18"/>
                <w:szCs w:val="18"/>
                <w:color w:val="auto"/>
              </w:rPr>
              <w:t>Impaired loans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9,120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9,120</w:t>
            </w:r>
          </w:p>
        </w:tc>
        <w:tc>
          <w:tcPr>
            <w:tcW w:w="100" w:type="dxa"/>
            <w:vAlign w:val="bottom"/>
          </w:tcPr>
          <w:p>
            <w:pPr>
              <w:spacing w:after="0"/>
              <w:rPr>
                <w:sz w:val="20"/>
                <w:szCs w:val="20"/>
                <w:color w:val="auto"/>
              </w:rPr>
            </w:pPr>
          </w:p>
        </w:tc>
      </w:tr>
      <w:tr>
        <w:trPr>
          <w:trHeight w:val="24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2,285</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21"/>
                <w:szCs w:val="2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Loans held for sale (best efforts)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6,508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0"/>
                <w:szCs w:val="20"/>
                <w:color w:val="auto"/>
              </w:rPr>
            </w:pPr>
          </w:p>
        </w:tc>
      </w:tr>
      <w:tr>
        <w:trPr>
          <w:trHeight w:val="256"/>
        </w:trPr>
        <w:tc>
          <w:tcPr>
            <w:tcW w:w="36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8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22"/>
                <w:szCs w:val="22"/>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22"/>
        </w:trPr>
        <w:tc>
          <w:tcPr>
            <w:tcW w:w="36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4"/>
              </w:rPr>
              <w:t>2017</w:t>
            </w:r>
          </w:p>
        </w:tc>
        <w:tc>
          <w:tcPr>
            <w:tcW w:w="4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37"/>
        </w:trPr>
        <w:tc>
          <w:tcPr>
            <w:tcW w:w="45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2"/>
              </w:rPr>
              <w:t>Assets (liabilities) measured at fair value on a recurring basis:</w:t>
            </w:r>
          </w:p>
        </w:tc>
        <w:tc>
          <w:tcPr>
            <w:tcW w:w="14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U.S. government and agencies</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10,392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10,392</w:t>
            </w:r>
          </w:p>
        </w:tc>
      </w:tr>
      <w:tr>
        <w:trPr>
          <w:trHeight w:val="249"/>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74,984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74,984</w:t>
            </w:r>
          </w:p>
        </w:tc>
      </w:tr>
      <w:tr>
        <w:trPr>
          <w:trHeight w:val="237"/>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Mortgage-backed securities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65,783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65,783</w:t>
            </w:r>
          </w:p>
        </w:tc>
      </w:tr>
      <w:tr>
        <w:trPr>
          <w:trHeight w:val="24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and other amortizing securities</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43,020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43,020</w:t>
            </w:r>
          </w:p>
        </w:tc>
      </w:tr>
      <w:tr>
        <w:trPr>
          <w:trHeight w:val="237"/>
        </w:trPr>
        <w:tc>
          <w:tcPr>
            <w:tcW w:w="4540" w:type="dxa"/>
            <w:vAlign w:val="bottom"/>
            <w:gridSpan w:val="2"/>
          </w:tcPr>
          <w:p>
            <w:pPr>
              <w:spacing w:after="0"/>
              <w:rPr>
                <w:sz w:val="20"/>
                <w:szCs w:val="20"/>
                <w:color w:val="auto"/>
              </w:rPr>
            </w:pPr>
            <w:r>
              <w:rPr>
                <w:rFonts w:ascii="Arial" w:cs="Arial" w:eastAsia="Arial" w:hAnsi="Arial"/>
                <w:sz w:val="18"/>
                <w:szCs w:val="18"/>
                <w:color w:val="auto"/>
              </w:rPr>
              <w:t>Loans held for sale (mandatory)</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25,470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25,470</w:t>
            </w:r>
          </w:p>
        </w:tc>
      </w:tr>
      <w:tr>
        <w:trPr>
          <w:trHeight w:val="24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r>
      <w:tr>
        <w:trPr>
          <w:trHeight w:val="237"/>
        </w:trPr>
        <w:tc>
          <w:tcPr>
            <w:tcW w:w="4540" w:type="dxa"/>
            <w:vAlign w:val="bottom"/>
            <w:gridSpan w:val="2"/>
          </w:tcPr>
          <w:p>
            <w:pPr>
              <w:spacing w:after="0"/>
              <w:rPr>
                <w:sz w:val="20"/>
                <w:szCs w:val="20"/>
                <w:color w:val="auto"/>
              </w:rPr>
            </w:pPr>
            <w:r>
              <w:rPr>
                <w:rFonts w:ascii="Arial" w:cs="Arial" w:eastAsia="Arial" w:hAnsi="Arial"/>
                <w:sz w:val="18"/>
                <w:szCs w:val="18"/>
                <w:color w:val="auto"/>
              </w:rPr>
              <w:t>Liability derivatives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49"/>
        </w:trPr>
        <w:tc>
          <w:tcPr>
            <w:tcW w:w="360" w:type="dxa"/>
            <w:vAlign w:val="bottom"/>
            <w:shd w:val="clear" w:color="auto" w:fill="CCEEFF"/>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540" w:type="dxa"/>
            <w:vAlign w:val="bottom"/>
            <w:gridSpan w:val="2"/>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20,846</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20,846</w:t>
            </w:r>
          </w:p>
        </w:tc>
      </w:tr>
      <w:tr>
        <w:trPr>
          <w:trHeight w:val="237"/>
        </w:trPr>
        <w:tc>
          <w:tcPr>
            <w:tcW w:w="454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2,830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2,830</w:t>
            </w:r>
          </w:p>
        </w:tc>
      </w:tr>
      <w:tr>
        <w:trPr>
          <w:trHeight w:val="24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(best efforts)</w:t>
            </w: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w:t>
            </w:r>
          </w:p>
        </w:tc>
      </w:tr>
      <w:tr>
        <w:trPr>
          <w:trHeight w:val="432"/>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20" w:type="dxa"/>
            <w:vAlign w:val="bottom"/>
            <w:gridSpan w:val="3"/>
          </w:tcPr>
          <w:p>
            <w:pPr>
              <w:jc w:val="right"/>
              <w:ind w:right="1128"/>
              <w:spacing w:after="0"/>
              <w:rPr>
                <w:sz w:val="20"/>
                <w:szCs w:val="20"/>
                <w:color w:val="auto"/>
              </w:rPr>
            </w:pPr>
            <w:r>
              <w:rPr>
                <w:rFonts w:ascii="Arial" w:cs="Arial" w:eastAsia="Arial" w:hAnsi="Arial"/>
                <w:sz w:val="18"/>
                <w:szCs w:val="18"/>
                <w:color w:val="auto"/>
              </w:rPr>
              <w:t>F-34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60" w:type="dxa"/>
            <w:vAlign w:val="bottom"/>
            <w:shd w:val="clear" w:color="auto" w:fill="000000"/>
          </w:tcPr>
          <w:p>
            <w:pPr>
              <w:spacing w:after="0"/>
              <w:rPr>
                <w:sz w:val="5"/>
                <w:szCs w:val="5"/>
                <w:color w:val="auto"/>
              </w:rPr>
            </w:pPr>
          </w:p>
        </w:tc>
        <w:tc>
          <w:tcPr>
            <w:tcW w:w="418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60" w:top="279" w:right="117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129" w:lineRule="exact"/>
        <w:rPr>
          <w:sz w:val="20"/>
          <w:szCs w:val="20"/>
          <w:color w:val="auto"/>
        </w:rPr>
      </w:pPr>
    </w:p>
    <w:p>
      <w:pPr>
        <w:ind w:left="252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ind w:left="2700"/>
        <w:spacing w:after="0"/>
        <w:rPr>
          <w:sz w:val="20"/>
          <w:szCs w:val="20"/>
          <w:color w:val="auto"/>
        </w:rPr>
      </w:pPr>
      <w:r>
        <w:rPr>
          <w:rFonts w:ascii="Arial" w:cs="Arial" w:eastAsia="Arial" w:hAnsi="Arial"/>
          <w:sz w:val="18"/>
          <w:szCs w:val="18"/>
          <w:b w:val="1"/>
          <w:bCs w:val="1"/>
          <w:i w:val="1"/>
          <w:iCs w:val="1"/>
          <w:color w:val="auto"/>
        </w:rPr>
        <w:t>(Dollar in thousands except per share data) (Continued)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FAIR VALUE DISCLOSURES (Continued)</w:t>
      </w:r>
    </w:p>
    <w:p>
      <w:pPr>
        <w:spacing w:after="0" w:line="6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Loans held for sale (mandatory)</w:t>
      </w:r>
      <w:r>
        <w:rPr>
          <w:rFonts w:ascii="Arial" w:cs="Arial" w:eastAsia="Arial" w:hAnsi="Arial"/>
          <w:sz w:val="18"/>
          <w:szCs w:val="18"/>
          <w:color w:val="auto"/>
        </w:rPr>
        <w:t xml:space="preserve"> – Loans held for sale originated for mandatory delivery are reported at fair value. Fair value is determined using quoted prices for similar assets, adjusted for specific attributes of that loan.</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 Mortgage servicing rights are reported at fair value. Fair value is based on market prices for comparable mortgage servicing contracts.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Derivatives</w:t>
      </w:r>
      <w:r>
        <w:rPr>
          <w:rFonts w:ascii="Arial" w:cs="Arial" w:eastAsia="Arial" w:hAnsi="Arial"/>
          <w:sz w:val="17"/>
          <w:szCs w:val="17"/>
          <w:color w:val="auto"/>
        </w:rPr>
        <w:t xml:space="preserve"> – Fair value of derivatives is based on valuation models using observable market data as of the measurement date.</w:t>
      </w:r>
    </w:p>
    <w:p>
      <w:pPr>
        <w:spacing w:after="0" w:line="1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Impaired loans</w:t>
      </w:r>
      <w:r>
        <w:rPr>
          <w:rFonts w:ascii="Arial" w:cs="Arial" w:eastAsia="Arial" w:hAnsi="Arial"/>
          <w:sz w:val="18"/>
          <w:szCs w:val="18"/>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76"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u w:val="single" w:color="auto"/>
          <w:color w:val="auto"/>
        </w:rPr>
        <w:t>Foreclosed assets</w:t>
      </w:r>
      <w:r>
        <w:rPr>
          <w:rFonts w:ascii="Arial" w:cs="Arial" w:eastAsia="Arial" w:hAnsi="Arial"/>
          <w:sz w:val="18"/>
          <w:szCs w:val="18"/>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7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u w:val="single" w:color="auto"/>
          <w:color w:val="auto"/>
        </w:rPr>
        <w:t>Loans held for sale (best efforts)</w:t>
      </w:r>
      <w:r>
        <w:rPr>
          <w:rFonts w:ascii="Arial" w:cs="Arial" w:eastAsia="Arial" w:hAnsi="Arial"/>
          <w:sz w:val="16"/>
          <w:szCs w:val="16"/>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quantitative information about non-recurring Level 3 fair value measurements at December 31: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Range of</w:t>
            </w:r>
          </w:p>
        </w:tc>
      </w:tr>
      <w:tr>
        <w:trPr>
          <w:trHeight w:val="185"/>
        </w:trPr>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2760" w:type="dxa"/>
            <w:vAlign w:val="bottom"/>
          </w:tcPr>
          <w:p>
            <w:pPr>
              <w:ind w:left="720"/>
              <w:spacing w:after="0"/>
              <w:rPr>
                <w:sz w:val="20"/>
                <w:szCs w:val="20"/>
                <w:color w:val="auto"/>
              </w:rPr>
            </w:pPr>
            <w:r>
              <w:rPr>
                <w:rFonts w:ascii="Arial" w:cs="Arial" w:eastAsia="Arial" w:hAnsi="Arial"/>
                <w:sz w:val="14"/>
                <w:szCs w:val="14"/>
                <w:b w:val="1"/>
                <w:bCs w:val="1"/>
                <w:color w:val="auto"/>
              </w:rPr>
              <w:t>Valuation Techniques</w:t>
            </w:r>
          </w:p>
        </w:tc>
        <w:tc>
          <w:tcPr>
            <w:tcW w:w="180" w:type="dxa"/>
            <w:vAlign w:val="bottom"/>
          </w:tcPr>
          <w:p>
            <w:pPr>
              <w:spacing w:after="0"/>
              <w:rPr>
                <w:sz w:val="16"/>
                <w:szCs w:val="16"/>
                <w:color w:val="auto"/>
              </w:rPr>
            </w:pPr>
          </w:p>
        </w:tc>
        <w:tc>
          <w:tcPr>
            <w:tcW w:w="2780" w:type="dxa"/>
            <w:vAlign w:val="bottom"/>
          </w:tcPr>
          <w:p>
            <w:pPr>
              <w:ind w:left="760"/>
              <w:spacing w:after="0"/>
              <w:rPr>
                <w:sz w:val="20"/>
                <w:szCs w:val="20"/>
                <w:color w:val="auto"/>
              </w:rPr>
            </w:pPr>
            <w:r>
              <w:rPr>
                <w:rFonts w:ascii="Arial" w:cs="Arial" w:eastAsia="Arial" w:hAnsi="Arial"/>
                <w:sz w:val="14"/>
                <w:szCs w:val="14"/>
                <w:b w:val="1"/>
                <w:bCs w:val="1"/>
                <w:color w:val="auto"/>
              </w:rPr>
              <w:t>Unobservable Inputs</w:t>
            </w:r>
          </w:p>
        </w:tc>
        <w:tc>
          <w:tcPr>
            <w:tcW w:w="180" w:type="dxa"/>
            <w:vAlign w:val="bottom"/>
          </w:tcPr>
          <w:p>
            <w:pPr>
              <w:spacing w:after="0"/>
              <w:rPr>
                <w:sz w:val="16"/>
                <w:szCs w:val="16"/>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Discounts</w:t>
            </w:r>
          </w:p>
        </w:tc>
      </w:tr>
      <w:tr>
        <w:trPr>
          <w:trHeight w:val="169"/>
        </w:trPr>
        <w:tc>
          <w:tcPr>
            <w:tcW w:w="20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2018</w:t>
            </w:r>
          </w:p>
        </w:tc>
        <w:tc>
          <w:tcPr>
            <w:tcW w:w="5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7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34"/>
        </w:trPr>
        <w:tc>
          <w:tcPr>
            <w:tcW w:w="32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0"/>
        </w:trPr>
        <w:tc>
          <w:tcPr>
            <w:tcW w:w="2080" w:type="dxa"/>
            <w:vAlign w:val="bottom"/>
            <w:gridSpan w:val="2"/>
          </w:tcPr>
          <w:p>
            <w:pPr>
              <w:spacing w:after="0"/>
              <w:rPr>
                <w:sz w:val="20"/>
                <w:szCs w:val="20"/>
                <w:color w:val="auto"/>
              </w:rPr>
            </w:pPr>
            <w:r>
              <w:rPr>
                <w:rFonts w:ascii="Arial" w:cs="Arial" w:eastAsia="Arial" w:hAnsi="Arial"/>
                <w:sz w:val="16"/>
                <w:szCs w:val="16"/>
                <w:color w:val="auto"/>
              </w:rPr>
              <w:t>Impaired loans</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  9,119</w:t>
            </w: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gridSpan w:val="2"/>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gridSpan w:val="2"/>
          </w:tcPr>
          <w:p>
            <w:pPr>
              <w:jc w:val="center"/>
              <w:ind w:left="139"/>
              <w:spacing w:after="0"/>
              <w:rPr>
                <w:sz w:val="20"/>
                <w:szCs w:val="20"/>
                <w:color w:val="auto"/>
              </w:rPr>
            </w:pPr>
            <w:r>
              <w:rPr>
                <w:rFonts w:ascii="Arial" w:cs="Arial" w:eastAsia="Arial" w:hAnsi="Arial"/>
                <w:sz w:val="16"/>
                <w:szCs w:val="16"/>
                <w:color w:val="auto"/>
                <w:w w:val="95"/>
              </w:rPr>
              <w:t>0%-100%</w:t>
            </w:r>
          </w:p>
        </w:tc>
        <w:tc>
          <w:tcPr>
            <w:tcW w:w="100" w:type="dxa"/>
            <w:vAlign w:val="bottom"/>
          </w:tcPr>
          <w:p>
            <w:pPr>
              <w:spacing w:after="0"/>
              <w:rPr>
                <w:sz w:val="19"/>
                <w:szCs w:val="19"/>
                <w:color w:val="auto"/>
              </w:rPr>
            </w:pPr>
          </w:p>
        </w:tc>
      </w:tr>
      <w:tr>
        <w:trPr>
          <w:trHeight w:val="239"/>
        </w:trPr>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real estate owned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6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5"/>
              </w:rPr>
              <w:t>15%-66%</w:t>
            </w:r>
          </w:p>
        </w:tc>
        <w:tc>
          <w:tcPr>
            <w:tcW w:w="100" w:type="dxa"/>
            <w:vAlign w:val="bottom"/>
            <w:shd w:val="clear" w:color="auto" w:fill="CCEEFF"/>
          </w:tcPr>
          <w:p>
            <w:pPr>
              <w:spacing w:after="0"/>
              <w:rPr>
                <w:sz w:val="20"/>
                <w:szCs w:val="20"/>
                <w:color w:val="auto"/>
              </w:rPr>
            </w:pPr>
          </w:p>
        </w:tc>
      </w:tr>
      <w:tr>
        <w:trPr>
          <w:trHeight w:val="230"/>
        </w:trPr>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2017</w:t>
            </w: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34"/>
        </w:trPr>
        <w:tc>
          <w:tcPr>
            <w:tcW w:w="32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7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20"/>
        </w:trPr>
        <w:tc>
          <w:tcPr>
            <w:tcW w:w="2080" w:type="dxa"/>
            <w:vAlign w:val="bottom"/>
            <w:gridSpan w:val="2"/>
          </w:tcPr>
          <w:p>
            <w:pPr>
              <w:spacing w:after="0"/>
              <w:rPr>
                <w:sz w:val="20"/>
                <w:szCs w:val="20"/>
                <w:color w:val="auto"/>
              </w:rPr>
            </w:pPr>
            <w:r>
              <w:rPr>
                <w:rFonts w:ascii="Arial" w:cs="Arial" w:eastAsia="Arial" w:hAnsi="Arial"/>
                <w:sz w:val="16"/>
                <w:szCs w:val="16"/>
                <w:color w:val="auto"/>
              </w:rPr>
              <w:t>Impaired loans</w:t>
            </w:r>
          </w:p>
        </w:tc>
        <w:tc>
          <w:tcPr>
            <w:tcW w:w="560" w:type="dxa"/>
            <w:vAlign w:val="bottom"/>
          </w:tcPr>
          <w:p>
            <w:pPr>
              <w:jc w:val="right"/>
              <w:spacing w:after="0"/>
              <w:rPr>
                <w:sz w:val="20"/>
                <w:szCs w:val="20"/>
                <w:color w:val="auto"/>
              </w:rPr>
            </w:pPr>
            <w:r>
              <w:rPr>
                <w:rFonts w:ascii="Arial" w:cs="Arial" w:eastAsia="Arial" w:hAnsi="Arial"/>
                <w:sz w:val="16"/>
                <w:szCs w:val="16"/>
                <w:color w:val="auto"/>
              </w:rPr>
              <w:t>20,846</w:t>
            </w:r>
          </w:p>
        </w:tc>
        <w:tc>
          <w:tcPr>
            <w:tcW w:w="60" w:type="dxa"/>
            <w:vAlign w:val="bottom"/>
          </w:tcPr>
          <w:p>
            <w:pPr>
              <w:spacing w:after="0"/>
              <w:rPr>
                <w:sz w:val="19"/>
                <w:szCs w:val="19"/>
                <w:color w:val="auto"/>
              </w:rPr>
            </w:pPr>
          </w:p>
        </w:tc>
        <w:tc>
          <w:tcPr>
            <w:tcW w:w="2880" w:type="dxa"/>
            <w:vAlign w:val="bottom"/>
            <w:gridSpan w:val="2"/>
          </w:tcPr>
          <w:p>
            <w:pPr>
              <w:ind w:left="6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gridSpan w:val="2"/>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gridSpan w:val="2"/>
          </w:tcPr>
          <w:p>
            <w:pPr>
              <w:jc w:val="center"/>
              <w:ind w:left="139"/>
              <w:spacing w:after="0"/>
              <w:rPr>
                <w:sz w:val="20"/>
                <w:szCs w:val="20"/>
                <w:color w:val="auto"/>
              </w:rPr>
            </w:pPr>
            <w:r>
              <w:rPr>
                <w:rFonts w:ascii="Arial" w:cs="Arial" w:eastAsia="Arial" w:hAnsi="Arial"/>
                <w:sz w:val="16"/>
                <w:szCs w:val="16"/>
                <w:color w:val="auto"/>
                <w:w w:val="95"/>
              </w:rPr>
              <w:t>0%-100%</w:t>
            </w:r>
          </w:p>
        </w:tc>
        <w:tc>
          <w:tcPr>
            <w:tcW w:w="100" w:type="dxa"/>
            <w:vAlign w:val="bottom"/>
          </w:tcPr>
          <w:p>
            <w:pPr>
              <w:spacing w:after="0"/>
              <w:rPr>
                <w:sz w:val="19"/>
                <w:szCs w:val="19"/>
                <w:color w:val="auto"/>
              </w:rPr>
            </w:pPr>
          </w:p>
        </w:tc>
      </w:tr>
      <w:tr>
        <w:trPr>
          <w:trHeight w:val="239"/>
        </w:trPr>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real estate owned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6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Third party appraisals or inspections</w:t>
            </w:r>
          </w:p>
        </w:tc>
        <w:tc>
          <w:tcPr>
            <w:tcW w:w="2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Collateral discounts and selling costs</w:t>
            </w:r>
          </w:p>
        </w:tc>
        <w:tc>
          <w:tcPr>
            <w:tcW w:w="920" w:type="dxa"/>
            <w:vAlign w:val="bottom"/>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5"/>
              </w:rPr>
              <w:t>15%-66%</w:t>
            </w:r>
          </w:p>
        </w:tc>
        <w:tc>
          <w:tcPr>
            <w:tcW w:w="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606933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6933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152400</wp:posOffset>
            </wp:positionV>
            <wp:extent cx="60693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845820</wp:posOffset>
            </wp:positionV>
            <wp:extent cx="3437255" cy="5060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372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160020</wp:posOffset>
            </wp:positionV>
            <wp:extent cx="11487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156845</wp:posOffset>
            </wp:positionV>
            <wp:extent cx="11487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25"/>
          <w:szCs w:val="25"/>
          <w:b w:val="1"/>
          <w:bCs w:val="1"/>
          <w:color w:val="auto"/>
        </w:rPr>
        <w:t>Keefe, Bruyette &amp; Woods</w:t>
      </w:r>
      <w:r>
        <w:rPr>
          <w:sz w:val="20"/>
          <w:szCs w:val="20"/>
          <w:color w:val="auto"/>
        </w:rPr>
        <w:tab/>
      </w:r>
      <w:r>
        <w:rPr>
          <w:rFonts w:ascii="Arial" w:cs="Arial" w:eastAsia="Arial" w:hAnsi="Arial"/>
          <w:sz w:val="23"/>
          <w:szCs w:val="23"/>
          <w:b w:val="1"/>
          <w:bCs w:val="1"/>
          <w:color w:val="auto"/>
        </w:rPr>
        <w:t>Sandler O’Neill + Partners, L.P.</w:t>
      </w:r>
    </w:p>
    <w:p>
      <w:pPr>
        <w:spacing w:after="0" w:line="43" w:lineRule="exact"/>
        <w:rPr>
          <w:sz w:val="20"/>
          <w:szCs w:val="20"/>
          <w:color w:val="auto"/>
        </w:rPr>
      </w:pPr>
    </w:p>
    <w:p>
      <w:pPr>
        <w:ind w:left="1340"/>
        <w:spacing w:after="0"/>
        <w:rPr>
          <w:sz w:val="20"/>
          <w:szCs w:val="20"/>
          <w:color w:val="auto"/>
        </w:rPr>
      </w:pPr>
      <w:r>
        <w:rPr>
          <w:rFonts w:ascii="Arial" w:cs="Arial" w:eastAsia="Arial" w:hAnsi="Arial"/>
          <w:sz w:val="25"/>
          <w:szCs w:val="25"/>
          <w:i w:val="1"/>
          <w:iCs w:val="1"/>
          <w:color w:val="auto"/>
        </w:rPr>
        <w:t>A Stifel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 2019</w:t>
      </w:r>
    </w:p>
    <w:p>
      <w:pPr>
        <w:spacing w:after="0" w:line="117"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Through and including</w:t>
      </w:r>
      <w:r>
        <w:rPr>
          <w:sz w:val="20"/>
          <w:szCs w:val="20"/>
          <w:color w:val="auto"/>
        </w:rPr>
        <w:tab/>
      </w:r>
      <w:r>
        <w:rPr>
          <w:rFonts w:ascii="Arial" w:cs="Arial" w:eastAsia="Arial" w:hAnsi="Arial"/>
          <w:sz w:val="16"/>
          <w:szCs w:val="16"/>
          <w:color w:val="auto"/>
        </w:rPr>
        <w:t>, 2019 (25 days after the date of this prospectus), all dealers that effect transactions in our common</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60693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172720</wp:posOffset>
            </wp:positionV>
            <wp:extent cx="606933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6933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481330</wp:posOffset>
            </wp:positionV>
            <wp:extent cx="6069330" cy="43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460"/>
          </w:cols>
          <w:pgMar w:left="1160" w:top="279" w:right="1279" w:bottom="1440" w:gutter="0" w:footer="0" w:header="0"/>
          <w:type w:val="continuous"/>
        </w:sectPr>
      </w:pPr>
    </w:p>
    <w:bookmarkStart w:id="186" w:name="page187"/>
    <w:bookmarkEnd w:id="18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 </w:t>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jc w:val="both"/>
        <w:ind w:right="200" w:firstLine="360"/>
        <w:spacing w:after="0" w:line="286" w:lineRule="auto"/>
        <w:rPr>
          <w:sz w:val="20"/>
          <w:szCs w:val="20"/>
          <w:color w:val="auto"/>
        </w:rPr>
      </w:pPr>
      <w:r>
        <w:rPr>
          <w:rFonts w:ascii="Arial" w:cs="Arial" w:eastAsia="Arial" w:hAnsi="Arial"/>
          <w:sz w:val="17"/>
          <w:szCs w:val="17"/>
          <w:color w:val="auto"/>
        </w:rPr>
        <w:t>The following table sets forth all costs and expenses, other than underwriting discounts and commissions, in connection with the sale of shares of our common stock being registered, all of which will be paid by us. All amounts shown are estimates, except for the SEC registration fee, the FINRA filing fee and the NASDAQ Global Select Market listing fee.</w:t>
      </w:r>
    </w:p>
    <w:p>
      <w:pPr>
        <w:spacing w:after="0" w:line="22"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6350</wp:posOffset>
            </wp:positionV>
            <wp:extent cx="6686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FINRA filing fee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NASDAQ Global Select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Printing fees and expenses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606933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6933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wp:posOffset>
            </wp:positionV>
            <wp:extent cx="9086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13" w:lineRule="exact"/>
        <w:rPr>
          <w:sz w:val="20"/>
          <w:szCs w:val="20"/>
          <w:color w:val="auto"/>
        </w:rPr>
      </w:pPr>
    </w:p>
    <w:p>
      <w:pPr>
        <w:ind w:left="360" w:hanging="355"/>
        <w:spacing w:after="0"/>
        <w:tabs>
          <w:tab w:leader="none" w:pos="3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Fees payable cannot be estimated at this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jc w:val="both"/>
        <w:ind w:right="20" w:firstLine="360"/>
        <w:spacing w:after="0" w:line="287" w:lineRule="auto"/>
        <w:rPr>
          <w:sz w:val="20"/>
          <w:szCs w:val="20"/>
          <w:color w:val="auto"/>
        </w:rPr>
      </w:pPr>
      <w:r>
        <w:rPr>
          <w:rFonts w:ascii="Arial" w:cs="Arial" w:eastAsia="Arial" w:hAnsi="Arial"/>
          <w:sz w:val="16"/>
          <w:szCs w:val="16"/>
          <w:color w:val="auto"/>
        </w:rPr>
        <w:t>The TBOC permits a Texas corporation to limit in its charter the liability of the corporation’s directors to the corporation or its shareholders for conduct in the performance of such director’s duties. However, Texas law does not permit any limitation of liability of a director who is found liable to the corporation or is found liable because the director improperly received a personal benefit for:</w:t>
      </w:r>
    </w:p>
    <w:p>
      <w:pPr>
        <w:spacing w:after="0" w:line="2" w:lineRule="exact"/>
        <w:rPr>
          <w:sz w:val="20"/>
          <w:szCs w:val="20"/>
          <w:color w:val="auto"/>
        </w:rPr>
      </w:pPr>
    </w:p>
    <w:p>
      <w:pPr>
        <w:ind w:right="40" w:firstLine="5"/>
        <w:spacing w:after="0" w:line="253" w:lineRule="auto"/>
        <w:tabs>
          <w:tab w:leader="none" w:pos="2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breaching a duty of loyalty owed to the corporation; (2) failing to act in good faith that constitutes a breach of a duty owed by the person to the corporation; or (3) engaging in willful or intentional misconduct in the performance of a director’s duty to the corporation. The registrant’s amended and restated certificate of formation provides that a director of the registrant will not be liable to the registrant or its shareholders to the fullest extent permitted by Texas law.</w:t>
      </w:r>
    </w:p>
    <w:p>
      <w:pPr>
        <w:spacing w:after="0" w:line="85" w:lineRule="exact"/>
        <w:rPr>
          <w:sz w:val="20"/>
          <w:szCs w:val="20"/>
          <w:color w:val="auto"/>
        </w:rPr>
      </w:pPr>
    </w:p>
    <w:p>
      <w:pPr>
        <w:ind w:right="20" w:firstLine="360"/>
        <w:spacing w:after="0" w:line="285" w:lineRule="auto"/>
        <w:rPr>
          <w:sz w:val="20"/>
          <w:szCs w:val="20"/>
          <w:color w:val="auto"/>
        </w:rPr>
      </w:pPr>
      <w:r>
        <w:rPr>
          <w:rFonts w:ascii="Arial" w:cs="Arial" w:eastAsia="Arial" w:hAnsi="Arial"/>
          <w:sz w:val="16"/>
          <w:szCs w:val="16"/>
          <w:color w:val="auto"/>
        </w:rPr>
        <w:t>Sections 8.101 and 8.103 of the TBOC provide that a Texas corporation may indemnify a person who was, is, or is threatened to be a named defendant or respondent in a proceeding because the person is or was a director only if a determination is made that such indemnification is permissible under the TBOC: (1) by a majority vote of the directors who at the time of the vote are disinterested and independent, regardless of whether such directors constitute a quorum; (2) by a majority vote of a board committee designated by a majority of disinterested and independent directors and consisting solely of disinterested and independent directors;</w:t>
      </w:r>
    </w:p>
    <w:p>
      <w:pPr>
        <w:spacing w:after="0" w:line="2" w:lineRule="exact"/>
        <w:rPr>
          <w:sz w:val="20"/>
          <w:szCs w:val="20"/>
          <w:color w:val="auto"/>
        </w:rPr>
      </w:pPr>
    </w:p>
    <w:p>
      <w:pPr>
        <w:ind w:firstLine="5"/>
        <w:spacing w:after="0" w:line="270" w:lineRule="auto"/>
        <w:tabs>
          <w:tab w:leader="none" w:pos="255" w:val="left"/>
        </w:tabs>
        <w:numPr>
          <w:ilvl w:val="0"/>
          <w:numId w:val="98"/>
        </w:numPr>
        <w:rPr>
          <w:rFonts w:ascii="Arial" w:cs="Arial" w:eastAsia="Arial" w:hAnsi="Arial"/>
          <w:sz w:val="17"/>
          <w:szCs w:val="17"/>
          <w:color w:val="auto"/>
        </w:rPr>
      </w:pPr>
      <w:r>
        <w:rPr>
          <w:rFonts w:ascii="Arial" w:cs="Arial" w:eastAsia="Arial" w:hAnsi="Arial"/>
          <w:sz w:val="17"/>
          <w:szCs w:val="17"/>
          <w:color w:val="auto"/>
        </w:rPr>
        <w:t>by special legal counsel selected by the board of directors or a committee of the board of directors as set forth in (1) or (2); (4) by the shareholders in a vote that excludes the shares held by directors who are not disinterested and independent; or, (5) by unanimous vote of the shareholders. The power to indemnify applies only if such person acted in good faith and, in the case of conduct in the person’s official capacity as a director, in a manner he reasonably believed to be in the best interest of the corporation, and, in all other cases, that the person’s conduct was not opposed to the best interest of the corporation, and with respect to any criminal action or proceeding, that such person had no reasonable cause to believe his conduct was unlawful.</w:t>
      </w:r>
    </w:p>
    <w:p>
      <w:pPr>
        <w:spacing w:after="0" w:line="70"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Section 8.104 of the TBOC provides that a Texas corporation may pay or reimburse, in advance of the final disposition of the proceeding, reasonable expenses incurred by a present director who was, is, or is threatened to be made a named defendant or respondent in a proceeding after the corporation receives a written affirmation by the director of his good faith belief that he has met the standard of conduct necessary for indemnification under Section 8.101 of the TBOC and a written undertaking by or on behalf of the director to repay the amount paid or reimbursed if it is ultimately determined that he has not met that standard or if it is ultimately determined that indemnification of the director is not otherwise permitted under the TBOC. Section 8.105 of the TBOC also provides that reasonable expenses incurred by a former director or officer, or a present or former employee or agent of the corporation, who was, is, or is threatened to be made a named defendant or respondent in a proceeding may be paid or reimbursed by the corporation, in advance of the final disposition of the action, as the corporation considers appropriate.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5" w:lineRule="auto"/>
        <w:rPr>
          <w:sz w:val="20"/>
          <w:szCs w:val="20"/>
          <w:color w:val="auto"/>
        </w:rPr>
      </w:pPr>
      <w:r>
        <w:rPr>
          <w:rFonts w:ascii="Arial" w:cs="Arial" w:eastAsia="Arial" w:hAnsi="Arial"/>
          <w:sz w:val="17"/>
          <w:szCs w:val="17"/>
          <w:color w:val="auto"/>
        </w:rPr>
        <w:t>Section 8.105 of the TBOC provides that a corporation may indemnify and advance expenses to a person who is not a director, including an officer, employee, or agent of the corporation as provided by: (1) the corporation’s governing documents; (2) an action by the corporation’s governing authority; (3) resolution by the shareholders; (4) contract; or (5) common law. As consistent with Section 8.105 of the TBOC, a corporation may indemnify and advance expenses to persons who are not directors to the same extent that a corporation may indemnify and advance expenses to directors.</w:t>
      </w:r>
    </w:p>
    <w:p>
      <w:pPr>
        <w:spacing w:after="0" w:line="68" w:lineRule="exact"/>
        <w:rPr>
          <w:sz w:val="20"/>
          <w:szCs w:val="20"/>
          <w:color w:val="auto"/>
        </w:rPr>
      </w:pPr>
    </w:p>
    <w:p>
      <w:pPr>
        <w:jc w:val="both"/>
        <w:ind w:right="180" w:firstLine="360"/>
        <w:spacing w:after="0" w:line="286" w:lineRule="auto"/>
        <w:rPr>
          <w:sz w:val="20"/>
          <w:szCs w:val="20"/>
          <w:color w:val="auto"/>
        </w:rPr>
      </w:pPr>
      <w:r>
        <w:rPr>
          <w:rFonts w:ascii="Arial" w:cs="Arial" w:eastAsia="Arial" w:hAnsi="Arial"/>
          <w:sz w:val="17"/>
          <w:szCs w:val="17"/>
          <w:color w:val="auto"/>
        </w:rPr>
        <w:t>The registrant’s amended and restated certificate of formation provides that, to the fullest extent and under the circumstances permitted by Chapter 8 of the TBOC, (1) the registrant must indemnify and advance expenses to directors and officers, and (2) the registrant may purchase and maintain insurance on behalf of our directors and officers.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registrant also maintains directors’ and officers’ liability insurance.</w:t>
      </w:r>
    </w:p>
    <w:p>
      <w:pPr>
        <w:spacing w:after="0" w:line="117" w:lineRule="exact"/>
        <w:rPr>
          <w:sz w:val="20"/>
          <w:szCs w:val="20"/>
          <w:color w:val="auto"/>
        </w:rPr>
      </w:pPr>
    </w:p>
    <w:p>
      <w:pPr>
        <w:ind w:right="280" w:firstLine="360"/>
        <w:spacing w:after="0" w:line="308" w:lineRule="auto"/>
        <w:rPr>
          <w:sz w:val="20"/>
          <w:szCs w:val="20"/>
          <w:color w:val="auto"/>
        </w:rPr>
      </w:pPr>
      <w:r>
        <w:rPr>
          <w:rFonts w:ascii="Arial" w:cs="Arial" w:eastAsia="Arial" w:hAnsi="Arial"/>
          <w:sz w:val="17"/>
          <w:szCs w:val="17"/>
          <w:color w:val="auto"/>
        </w:rPr>
        <w:t>The form of Underwriting Agreement to be filed as Exhibit 1.1 hereto obligates the underwriters to indemnify our directors, officers and controlling persons under limited circumstances against certain liabilities under the Securities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 </w:t>
      </w:r>
      <w:r>
        <w:rPr>
          <w:rFonts w:ascii="Arial" w:cs="Arial" w:eastAsia="Arial" w:hAnsi="Arial"/>
          <w:sz w:val="18"/>
          <w:szCs w:val="18"/>
          <w:b w:val="1"/>
          <w:bCs w:val="1"/>
          <w:i w:val="1"/>
          <w:iCs w:val="1"/>
          <w:color w:val="auto"/>
        </w:rPr>
        <w:t>Recent Sales of Unregistered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Within the past three years, we have engaged in the following transactions that were not registered under the Securities Act.</w:t>
      </w:r>
    </w:p>
    <w:p>
      <w:pPr>
        <w:spacing w:after="0" w:line="140" w:lineRule="exact"/>
        <w:rPr>
          <w:sz w:val="20"/>
          <w:szCs w:val="20"/>
          <w:color w:val="auto"/>
        </w:rPr>
      </w:pPr>
    </w:p>
    <w:p>
      <w:pPr>
        <w:ind w:left="700" w:right="80" w:hanging="344"/>
        <w:spacing w:after="0" w:line="291" w:lineRule="auto"/>
        <w:tabs>
          <w:tab w:leader="none" w:pos="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December 2018, we completed a private offering of $12,372,000 in aggregate principal amount of ten-year subordinated debt securities due in 2028 and $14,100,000 in aggregate principal amount of twelve-year subordinated debt securities due in 2030 to certain “accredited investors,” as defined in SEC Rule 501(a) of Regulation D. These subordinated debt securities were issued to holders of subordinated debt securities due in 2024 in exchange for their 2024 debt securities and to new investors in exchange for cash consideration. No commission was paid in respect of the offer and sale of these securities. The offer and sale of these securities were made in reliance upon exemptions from federal securities registration under Section 4(a)(2) of the Securities Act and SEC Rule 506(b).</w:t>
      </w:r>
    </w:p>
    <w:p>
      <w:pPr>
        <w:spacing w:after="0" w:line="58" w:lineRule="exact"/>
        <w:rPr>
          <w:rFonts w:ascii="Arial" w:cs="Arial" w:eastAsia="Arial" w:hAnsi="Arial"/>
          <w:sz w:val="16"/>
          <w:szCs w:val="16"/>
          <w:color w:val="auto"/>
        </w:rPr>
      </w:pPr>
    </w:p>
    <w:p>
      <w:pPr>
        <w:ind w:left="700" w:hanging="344"/>
        <w:spacing w:after="0"/>
        <w:tabs>
          <w:tab w:leader="none" w:pos="7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 periodically issue grants of certain equity based awards to our directors, executive officers and other employees under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8880" w:type="dxa"/>
            <w:vAlign w:val="bottom"/>
            <w:gridSpan w:val="4"/>
          </w:tcPr>
          <w:p>
            <w:pPr>
              <w:ind w:left="20"/>
              <w:spacing w:after="0"/>
              <w:rPr>
                <w:sz w:val="20"/>
                <w:szCs w:val="20"/>
                <w:color w:val="auto"/>
              </w:rPr>
            </w:pPr>
            <w:r>
              <w:rPr>
                <w:rFonts w:ascii="Arial" w:cs="Arial" w:eastAsia="Arial" w:hAnsi="Arial"/>
                <w:sz w:val="18"/>
                <w:szCs w:val="18"/>
                <w:color w:val="auto"/>
                <w:w w:val="91"/>
              </w:rPr>
              <w:t>our Stock Appreciation Rights Plan, or SARs Plans. Between January 1, 2018 and the filing of this registration statement,</w:t>
            </w:r>
          </w:p>
        </w:tc>
      </w:tr>
      <w:tr>
        <w:trPr>
          <w:trHeight w:val="230"/>
        </w:trPr>
        <w:tc>
          <w:tcPr>
            <w:tcW w:w="680" w:type="dxa"/>
            <w:vAlign w:val="bottom"/>
          </w:tcPr>
          <w:p>
            <w:pPr>
              <w:spacing w:after="0"/>
              <w:rPr>
                <w:sz w:val="20"/>
                <w:szCs w:val="20"/>
                <w:color w:val="auto"/>
              </w:rPr>
            </w:pPr>
          </w:p>
        </w:tc>
        <w:tc>
          <w:tcPr>
            <w:tcW w:w="4460" w:type="dxa"/>
            <w:vAlign w:val="bottom"/>
            <w:gridSpan w:val="2"/>
          </w:tcPr>
          <w:p>
            <w:pPr>
              <w:ind w:left="20"/>
              <w:spacing w:after="0"/>
              <w:rPr>
                <w:sz w:val="20"/>
                <w:szCs w:val="20"/>
                <w:color w:val="auto"/>
              </w:rPr>
            </w:pPr>
            <w:r>
              <w:rPr>
                <w:rFonts w:ascii="Arial" w:cs="Arial" w:eastAsia="Arial" w:hAnsi="Arial"/>
                <w:sz w:val="18"/>
                <w:szCs w:val="18"/>
                <w:color w:val="auto"/>
                <w:w w:val="95"/>
              </w:rPr>
              <w:t>the total liability of the Company for the SARs Plans was $</w:t>
            </w: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million.</w:t>
            </w:r>
          </w:p>
        </w:tc>
      </w:tr>
      <w:tr>
        <w:trPr>
          <w:trHeight w:val="432"/>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16 – </w:t>
            </w:r>
            <w:r>
              <w:rPr>
                <w:rFonts w:ascii="Arial" w:cs="Arial" w:eastAsia="Arial" w:hAnsi="Arial"/>
                <w:sz w:val="18"/>
                <w:szCs w:val="18"/>
                <w:b w:val="1"/>
                <w:bCs w:val="1"/>
                <w:i w:val="1"/>
                <w:iCs w:val="1"/>
                <w:color w:val="auto"/>
              </w:rPr>
              <w:t>Exhibits and Financial Statement Schedules.</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140" w:type="dxa"/>
            <w:vAlign w:val="bottom"/>
            <w:gridSpan w:val="3"/>
          </w:tcPr>
          <w:p>
            <w:pPr>
              <w:spacing w:after="0"/>
              <w:rPr>
                <w:sz w:val="20"/>
                <w:szCs w:val="20"/>
                <w:color w:val="auto"/>
              </w:rPr>
            </w:pPr>
            <w:r>
              <w:rPr>
                <w:rFonts w:ascii="Arial" w:cs="Arial" w:eastAsia="Arial" w:hAnsi="Arial"/>
                <w:sz w:val="18"/>
                <w:szCs w:val="18"/>
                <w:color w:val="auto"/>
              </w:rPr>
              <w:t>(a)  Exhibits</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8600" w:type="dxa"/>
            <w:vAlign w:val="bottom"/>
            <w:tcBorders>
              <w:bottom w:val="single" w:sz="8" w:color="auto"/>
            </w:tcBorders>
            <w:gridSpan w:val="2"/>
          </w:tcPr>
          <w:p>
            <w:pPr>
              <w:ind w:left="398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6"/>
                <w:szCs w:val="16"/>
                <w:color w:val="auto"/>
              </w:rPr>
            </w:pPr>
          </w:p>
        </w:tc>
      </w:tr>
      <w:tr>
        <w:trPr>
          <w:trHeight w:val="237"/>
        </w:trPr>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w:t>
            </w: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Form of Underwriting Agreement*</w:t>
            </w:r>
          </w:p>
        </w:tc>
        <w:tc>
          <w:tcPr>
            <w:tcW w:w="4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80" w:type="dxa"/>
            <w:vAlign w:val="bottom"/>
          </w:tcPr>
          <w:p>
            <w:pPr>
              <w:jc w:val="right"/>
              <w:ind w:right="114"/>
              <w:spacing w:after="0"/>
              <w:rPr>
                <w:sz w:val="20"/>
                <w:szCs w:val="20"/>
                <w:color w:val="auto"/>
              </w:rPr>
            </w:pPr>
            <w:r>
              <w:rPr>
                <w:rFonts w:ascii="Arial" w:cs="Arial" w:eastAsia="Arial" w:hAnsi="Arial"/>
                <w:sz w:val="18"/>
                <w:szCs w:val="18"/>
                <w:color w:val="auto"/>
              </w:rPr>
              <w:t>3.1</w:t>
            </w:r>
          </w:p>
        </w:tc>
        <w:tc>
          <w:tcPr>
            <w:tcW w:w="8880" w:type="dxa"/>
            <w:vAlign w:val="bottom"/>
            <w:gridSpan w:val="4"/>
          </w:tcPr>
          <w:p>
            <w:pPr>
              <w:ind w:left="140"/>
              <w:spacing w:after="0"/>
              <w:rPr>
                <w:sz w:val="20"/>
                <w:szCs w:val="20"/>
                <w:color w:val="auto"/>
              </w:rPr>
            </w:pPr>
            <w:r>
              <w:rPr>
                <w:rFonts w:ascii="Arial" w:cs="Arial" w:eastAsia="Arial" w:hAnsi="Arial"/>
                <w:sz w:val="18"/>
                <w:szCs w:val="18"/>
                <w:color w:val="auto"/>
              </w:rPr>
              <w:t>Amended and Restated Certificate of Formation of South Plains Financial, Inc.*</w:t>
            </w:r>
          </w:p>
        </w:tc>
      </w:tr>
      <w:tr>
        <w:trPr>
          <w:trHeight w:val="249"/>
        </w:trPr>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w:t>
            </w:r>
          </w:p>
        </w:tc>
        <w:tc>
          <w:tcPr>
            <w:tcW w:w="88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Amended and Restated Bylaws of South Plains Financial, Inc.*</w:t>
            </w:r>
          </w:p>
        </w:tc>
      </w:tr>
      <w:tr>
        <w:trPr>
          <w:trHeight w:val="237"/>
        </w:trPr>
        <w:tc>
          <w:tcPr>
            <w:tcW w:w="68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8880" w:type="dxa"/>
            <w:vAlign w:val="bottom"/>
            <w:gridSpan w:val="4"/>
          </w:tcPr>
          <w:p>
            <w:pPr>
              <w:ind w:left="140"/>
              <w:spacing w:after="0"/>
              <w:rPr>
                <w:sz w:val="20"/>
                <w:szCs w:val="20"/>
                <w:color w:val="auto"/>
              </w:rPr>
            </w:pPr>
            <w:r>
              <w:rPr>
                <w:rFonts w:ascii="Arial" w:cs="Arial" w:eastAsia="Arial" w:hAnsi="Arial"/>
                <w:sz w:val="18"/>
                <w:szCs w:val="18"/>
                <w:color w:val="auto"/>
              </w:rPr>
              <w:t>Specimen common stock certificate of South Plains Financial, Inc.*</w:t>
            </w:r>
          </w:p>
        </w:tc>
      </w:tr>
      <w:tr>
        <w:trPr>
          <w:trHeight w:val="249"/>
        </w:trPr>
        <w:tc>
          <w:tcPr>
            <w:tcW w:w="6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w:t>
            </w: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Opinion of Hunton Andrews Kurth LLP*</w:t>
            </w:r>
          </w:p>
        </w:tc>
        <w:tc>
          <w:tcPr>
            <w:tcW w:w="4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ind w:left="180"/>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South Plains Financial, Inc. 2019 Equity Incentive Plan*</w:t>
      </w:r>
    </w:p>
    <w:p>
      <w:pPr>
        <w:spacing w:after="0" w:line="35"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Stock Option Award Agreement under the South Plains Financial, Inc.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Employment Agreement of Cory T. Newsom*</w:t>
      </w:r>
    </w:p>
    <w:p>
      <w:pPr>
        <w:spacing w:after="0" w:line="36"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Deferred Compensation Plan Adoption Agreement of 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Board Representation Agreement between South Plains Financial, Inc. and James C. Henry*</w:t>
      </w:r>
    </w:p>
    <w:p>
      <w:pPr>
        <w:spacing w:after="0" w:line="36"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South Plains Financial, Inc.*</w:t>
      </w:r>
    </w:p>
    <w:p>
      <w:pPr>
        <w:spacing w:after="0" w:line="36"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Weaver and Tidwell,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69330" cy="154305"/>
                    </a:xfrm>
                    <a:prstGeom prst="rect">
                      <a:avLst/>
                    </a:prstGeom>
                    <a:noFill/>
                  </pic:spPr>
                </pic:pic>
              </a:graphicData>
            </a:graphic>
          </wp:anchor>
        </w:drawing>
      </w:r>
    </w:p>
    <w:p>
      <w:pPr>
        <w:spacing w:after="0" w:line="16"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Consent of Hunton Andrews Kurth LLP*</w:t>
      </w:r>
    </w:p>
    <w:p>
      <w:pPr>
        <w:spacing w:after="0" w:line="36" w:lineRule="exact"/>
        <w:rPr>
          <w:sz w:val="20"/>
          <w:szCs w:val="20"/>
          <w:color w:val="auto"/>
        </w:rPr>
      </w:pPr>
    </w:p>
    <w:p>
      <w:pPr>
        <w:ind w:left="200"/>
        <w:spacing w:after="0"/>
        <w:tabs>
          <w:tab w:leader="none" w:pos="8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606933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6933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143510</wp:posOffset>
            </wp:positionV>
            <wp:extent cx="9086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22" w:lineRule="exact"/>
        <w:rPr>
          <w:sz w:val="20"/>
          <w:szCs w:val="20"/>
          <w:color w:val="auto"/>
        </w:rPr>
      </w:pPr>
    </w:p>
    <w:p>
      <w:pPr>
        <w:ind w:left="360" w:hanging="355"/>
        <w:spacing w:after="0"/>
        <w:tabs>
          <w:tab w:leader="none" w:pos="3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09" w:lineRule="exact"/>
        <w:rPr>
          <w:sz w:val="20"/>
          <w:szCs w:val="20"/>
          <w:color w:val="auto"/>
        </w:rPr>
      </w:pPr>
    </w:p>
    <w:p>
      <w:pPr>
        <w:ind w:left="360" w:hanging="355"/>
        <w:spacing w:after="0"/>
        <w:tabs>
          <w:tab w:leader="none" w:pos="3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6069330" cy="431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schedules have been omitted as not applicable or not required under the rules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 </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firstLine="360"/>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6"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registrant hereby further undertakes that:</w:t>
      </w:r>
    </w:p>
    <w:p>
      <w:pPr>
        <w:spacing w:after="0" w:line="117" w:lineRule="exact"/>
        <w:rPr>
          <w:sz w:val="20"/>
          <w:szCs w:val="20"/>
          <w:color w:val="auto"/>
        </w:rPr>
      </w:pPr>
    </w:p>
    <w:p>
      <w:pPr>
        <w:ind w:left="700" w:right="160" w:hanging="344"/>
        <w:spacing w:after="0" w:line="259" w:lineRule="auto"/>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78" w:lineRule="exact"/>
        <w:rPr>
          <w:rFonts w:ascii="Arial" w:cs="Arial" w:eastAsia="Arial" w:hAnsi="Arial"/>
          <w:sz w:val="18"/>
          <w:szCs w:val="18"/>
          <w:color w:val="auto"/>
        </w:rPr>
      </w:pPr>
    </w:p>
    <w:p>
      <w:pPr>
        <w:jc w:val="both"/>
        <w:ind w:left="700" w:right="100" w:hanging="344"/>
        <w:spacing w:after="0" w:line="286" w:lineRule="auto"/>
        <w:tabs>
          <w:tab w:leader="none" w:pos="7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306070</wp:posOffset>
            </wp:positionV>
            <wp:extent cx="6069330" cy="431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69330" cy="43180"/>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w w:val="93"/>
              </w:rPr>
              <w:t>signed on its behalf by the undersigned, thereunto duly authorized, in the City of Lubbock, State of Texas, on</w:t>
            </w:r>
          </w:p>
        </w:tc>
        <w:tc>
          <w:tcPr>
            <w:tcW w:w="72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3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SOUTH PLAINS FINANCIAL, INC.</w:t>
      </w: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6350</wp:posOffset>
            </wp:positionV>
            <wp:extent cx="28371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Curtis C. Griffith,</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and Chief Executive Officer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2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Curtis C. Griffith and Cory T. Newsom and each of them, his or her true and lawful attorneys-in-fact and agents with full power of substitution and resubstitution, for him or her and in his or her name, place and stead, in any and all capacities, to sign any and all amendments (including post-effective amendments and registration statement filed pursuant to Rule 462(b) under the Securities Act)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 This power of attorney may be executed in counterparts.</w:t>
      </w:r>
    </w:p>
    <w:p>
      <w:pPr>
        <w:spacing w:after="0" w:line="58"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7" w:lineRule="exact"/>
        <w:rPr>
          <w:sz w:val="20"/>
          <w:szCs w:val="20"/>
          <w:color w:val="auto"/>
        </w:rPr>
      </w:pPr>
    </w:p>
    <w:p>
      <w:pPr>
        <w:ind w:left="1120"/>
        <w:spacing w:after="0"/>
        <w:tabs>
          <w:tab w:leader="none" w:pos="5200" w:val="left"/>
          <w:tab w:leader="none" w:pos="85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60604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ectPr>
          <w:pgSz w:w="11900" w:h="16838" w:orient="portrait"/>
          <w:cols w:equalWidth="0" w:num="1">
            <w:col w:w="9560"/>
          </w:cols>
          <w:pgMar w:left="1160" w:top="279" w:right="117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18345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8345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18345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18345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18345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Cynthia B.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18345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Allison S. Navitskas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18345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Noe G. Valles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18345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Kyle R. Wargo</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Director (Chairman); Chief Executive Officer</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920" w:type="dxa"/>
            <w:vAlign w:val="bottom"/>
          </w:tcPr>
          <w:p>
            <w:pPr>
              <w:spacing w:after="0"/>
              <w:rPr>
                <w:sz w:val="20"/>
                <w:szCs w:val="20"/>
                <w:color w:val="auto"/>
              </w:rPr>
            </w:pPr>
          </w:p>
        </w:tc>
      </w:tr>
      <w:tr>
        <w:trPr>
          <w:trHeight w:val="527"/>
        </w:trPr>
        <w:tc>
          <w:tcPr>
            <w:tcW w:w="4900" w:type="dxa"/>
            <w:vAlign w:val="bottom"/>
          </w:tcPr>
          <w:p>
            <w:pPr>
              <w:spacing w:after="0"/>
              <w:rPr>
                <w:sz w:val="20"/>
                <w:szCs w:val="20"/>
                <w:color w:val="auto"/>
              </w:rPr>
            </w:pPr>
            <w:r>
              <w:rPr>
                <w:rFonts w:ascii="Arial" w:cs="Arial" w:eastAsia="Arial" w:hAnsi="Arial"/>
                <w:sz w:val="18"/>
                <w:szCs w:val="18"/>
                <w:color w:val="auto"/>
              </w:rPr>
              <w:t>Director and President</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728"/>
        </w:trPr>
        <w:tc>
          <w:tcPr>
            <w:tcW w:w="4900" w:type="dxa"/>
            <w:vAlign w:val="bottom"/>
          </w:tcPr>
          <w:p>
            <w:pPr>
              <w:spacing w:after="0"/>
              <w:rPr>
                <w:sz w:val="20"/>
                <w:szCs w:val="20"/>
                <w:color w:val="auto"/>
              </w:rPr>
            </w:pPr>
            <w:r>
              <w:rPr>
                <w:rFonts w:ascii="Arial" w:cs="Arial" w:eastAsia="Arial" w:hAnsi="Arial"/>
                <w:sz w:val="18"/>
                <w:szCs w:val="18"/>
                <w:color w:val="auto"/>
              </w:rPr>
              <w:t>Chief Financial Officer and Treasurer (principal financial and</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accounting officer)</w:t>
            </w:r>
          </w:p>
        </w:tc>
        <w:tc>
          <w:tcPr>
            <w:tcW w:w="920" w:type="dxa"/>
            <w:vAlign w:val="bottom"/>
          </w:tcPr>
          <w:p>
            <w:pPr>
              <w:spacing w:after="0"/>
              <w:rPr>
                <w:sz w:val="20"/>
                <w:szCs w:val="20"/>
                <w:color w:val="auto"/>
              </w:rPr>
            </w:pPr>
          </w:p>
        </w:tc>
      </w:tr>
      <w:tr>
        <w:trPr>
          <w:trHeight w:val="526"/>
        </w:trPr>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743"/>
        </w:trPr>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743"/>
        </w:trPr>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743"/>
        </w:trPr>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743"/>
        </w:trPr>
        <w:tc>
          <w:tcPr>
            <w:tcW w:w="4900" w:type="dxa"/>
            <w:vAlign w:val="bottom"/>
          </w:tcPr>
          <w:p>
            <w:pPr>
              <w:spacing w:after="0"/>
              <w:rPr>
                <w:sz w:val="20"/>
                <w:szCs w:val="20"/>
                <w:color w:val="auto"/>
              </w:rPr>
            </w:pPr>
            <w:r>
              <w:rPr>
                <w:rFonts w:ascii="Arial" w:cs="Arial" w:eastAsia="Arial" w:hAnsi="Arial"/>
                <w:sz w:val="18"/>
                <w:szCs w:val="18"/>
                <w:color w:val="auto"/>
              </w:rPr>
              <w:t>Director</w:t>
            </w:r>
          </w:p>
        </w:tc>
        <w:tc>
          <w:tcPr>
            <w:tcW w:w="92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702"/>
        </w:trPr>
        <w:tc>
          <w:tcPr>
            <w:tcW w:w="4900" w:type="dxa"/>
            <w:vAlign w:val="bottom"/>
          </w:tcPr>
          <w:p>
            <w:pPr>
              <w:ind w:left="1500"/>
              <w:spacing w:after="0"/>
              <w:rPr>
                <w:sz w:val="20"/>
                <w:szCs w:val="20"/>
                <w:color w:val="auto"/>
              </w:rPr>
            </w:pPr>
            <w:r>
              <w:rPr>
                <w:rFonts w:ascii="Arial" w:cs="Arial" w:eastAsia="Arial" w:hAnsi="Arial"/>
                <w:sz w:val="18"/>
                <w:szCs w:val="18"/>
                <w:color w:val="auto"/>
              </w:rPr>
              <w:t>II-4</w:t>
            </w: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-1990090</wp:posOffset>
            </wp:positionH>
            <wp:positionV relativeFrom="paragraph">
              <wp:posOffset>283210</wp:posOffset>
            </wp:positionV>
            <wp:extent cx="606933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69330" cy="42545"/>
                    </a:xfrm>
                    <a:prstGeom prst="rect">
                      <a:avLst/>
                    </a:prstGeom>
                    <a:noFill/>
                  </pic:spPr>
                </pic:pic>
              </a:graphicData>
            </a:graphic>
          </wp:anchor>
        </w:drawing>
      </w:r>
    </w:p>
    <w:sectPr>
      <w:pgSz w:w="11900" w:h="16838" w:orient="portrait"/>
      <w:cols w:equalWidth="0" w:num="2">
        <w:col w:w="2420" w:space="720"/>
        <w:col w:w="6420"/>
      </w:cols>
      <w:pgMar w:left="1160" w:top="279" w:right="1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decimal"/>
      <w:start w:val="2"/>
    </w:lvl>
  </w:abstractNum>
  <w:abstractNum w:abstractNumId="1">
    <w:nsid w:val="75C6C33A"/>
    <w:multiLevelType w:val="hybridMultilevel"/>
    <w:lvl w:ilvl="0">
      <w:lvlJc w:val="left"/>
      <w:lvlText w:val="(%1)"/>
      <w:numFmt w:val="decimal"/>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1)"/>
      <w:numFmt w:val="decimal"/>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1)"/>
      <w:numFmt w:val="decimal"/>
      <w:start w:val="806"/>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1)"/>
      <w:numFmt w:val="decimal"/>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decimal"/>
      <w:start w:val="1"/>
    </w:lvl>
  </w:abstractNum>
  <w:abstractNum w:abstractNumId="27">
    <w:nsid w:val="2F305DEF"/>
    <w:multiLevelType w:val="hybridMultilevel"/>
    <w:lvl w:ilvl="0">
      <w:lvlJc w:val="left"/>
      <w:lvlText w:val="(%1)"/>
      <w:numFmt w:val="decimal"/>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1)"/>
      <w:numFmt w:val="decimal"/>
      <w:start w:val="1"/>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1)"/>
      <w:numFmt w:val="decimal"/>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lvl w:ilvl="1">
      <w:lvlJc w:val="left"/>
      <w:lvlText w:val="○"/>
      <w:numFmt w:val="bullet"/>
      <w:start w:val="1"/>
    </w:lvl>
  </w:abstractNum>
  <w:abstractNum w:abstractNumId="39">
    <w:nsid w:val="799D0247"/>
    <w:multiLevelType w:val="hybridMultilevel"/>
    <w:lvl w:ilvl="0">
      <w:lvlJc w:val="left"/>
      <w:lvlText w:val="•"/>
      <w:numFmt w:val="bullet"/>
      <w:start w:val="1"/>
    </w:lvl>
    <w:lvl w:ilvl="1">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1)"/>
      <w:numFmt w:val="decimal"/>
      <w:start w:val="2"/>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1)"/>
      <w:numFmt w:val="decimal"/>
      <w:start w:val="3"/>
    </w:lvl>
    <w:lvl w:ilvl="1">
      <w:lvlJc w:val="left"/>
      <w:lvlText w:val="•"/>
      <w:numFmt w:val="bullet"/>
      <w:start w:val="1"/>
    </w:lvl>
  </w:abstractNum>
  <w:abstractNum w:abstractNumId="58">
    <w:nsid w:val="4962813B"/>
    <w:multiLevelType w:val="hybridMultilevel"/>
    <w:lvl w:ilvl="0">
      <w:lvlJc w:val="left"/>
      <w:lvlText w:val="(%1)"/>
      <w:numFmt w:val="decimal"/>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lvl w:ilvl="1">
      <w:lvlJc w:val="left"/>
      <w:lvlText w:val="•"/>
      <w:numFmt w:val="bullet"/>
      <w:start w:val="1"/>
    </w:lvl>
  </w:abstractNum>
  <w:abstractNum w:abstractNumId="61">
    <w:nsid w:val="14330624"/>
    <w:multiLevelType w:val="hybridMultilevel"/>
    <w:lvl w:ilvl="0">
      <w:lvlJc w:val="left"/>
      <w:lvlText w:val="(%1)"/>
      <w:numFmt w:val="decimal"/>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1)"/>
      <w:numFmt w:val="decimal"/>
      <w:start w:val="1"/>
    </w:lvl>
  </w:abstractNum>
  <w:abstractNum w:abstractNumId="66">
    <w:nsid w:val="7FB7E0AA"/>
    <w:multiLevelType w:val="hybridMultilevel"/>
    <w:lvl w:ilvl="0">
      <w:lvlJc w:val="left"/>
      <w:lvlText w:val="(%1)"/>
      <w:numFmt w:val="decimal"/>
      <w:start w:val="3"/>
    </w:lvl>
  </w:abstractNum>
  <w:abstractNum w:abstractNumId="67">
    <w:nsid w:val="6EB5BD4"/>
    <w:multiLevelType w:val="hybridMultilevel"/>
    <w:lvl w:ilvl="0">
      <w:lvlJc w:val="left"/>
      <w:lvlText w:val="(%1)"/>
      <w:numFmt w:val="decimal"/>
      <w:start w:val="4"/>
    </w:lvl>
  </w:abstractNum>
  <w:abstractNum w:abstractNumId="68">
    <w:nsid w:val="6F6DD9AC"/>
    <w:multiLevelType w:val="hybridMultilevel"/>
    <w:lvl w:ilvl="0">
      <w:lvlJc w:val="left"/>
      <w:lvlText w:val="(%1)"/>
      <w:numFmt w:val="lowerRoman"/>
      <w:start w:val="2"/>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1"/>
      <w:numFmt w:val="upperLetter"/>
      <w:start w:val="53"/>
    </w:lvl>
  </w:abstractNum>
  <w:abstractNum w:abstractNumId="71">
    <w:nsid w:val="76272110"/>
    <w:multiLevelType w:val="hybridMultilevel"/>
    <w:lvl w:ilvl="0">
      <w:lvlJc w:val="left"/>
      <w:lvlText w:val="(%1)"/>
      <w:numFmt w:val="decimal"/>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decimal"/>
      <w:start w:val="1"/>
    </w:lvl>
  </w:abstractNum>
  <w:abstractNum w:abstractNumId="78">
    <w:nsid w:val="2DF6D648"/>
    <w:multiLevelType w:val="hybridMultilevel"/>
    <w:lvl w:ilvl="0">
      <w:lvlJc w:val="left"/>
      <w:lvlText w:val="%1."/>
      <w:numFmt w:val="decimal"/>
      <w:start w:val="1"/>
    </w:lvl>
  </w:abstractNum>
  <w:abstractNum w:abstractNumId="79">
    <w:nsid w:val="46B7D447"/>
    <w:multiLevelType w:val="hybridMultilevel"/>
    <w:lvl w:ilvl="0">
      <w:lvlJc w:val="left"/>
      <w:lvlText w:val="%1."/>
      <w:numFmt w:val="decimal"/>
      <w:start w:val="1"/>
    </w:lvl>
  </w:abstractNum>
  <w:abstractNum w:abstractNumId="80">
    <w:nsid w:val="4A2AC315"/>
    <w:multiLevelType w:val="hybridMultilevel"/>
    <w:lvl w:ilvl="0">
      <w:lvlJc w:val="left"/>
      <w:lvlText w:val="%1."/>
      <w:numFmt w:val="decimal"/>
      <w:start w:val="1"/>
    </w:lvl>
  </w:abstractNum>
  <w:abstractNum w:abstractNumId="81">
    <w:nsid w:val="39EE015C"/>
    <w:multiLevelType w:val="hybridMultilevel"/>
    <w:lvl w:ilvl="0">
      <w:lvlJc w:val="left"/>
      <w:lvlText w:val="%1."/>
      <w:numFmt w:val="decimal"/>
      <w:start w:val="1"/>
    </w:lvl>
  </w:abstractNum>
  <w:abstractNum w:abstractNumId="82">
    <w:nsid w:val="57FC4FBB"/>
    <w:multiLevelType w:val="hybridMultilevel"/>
    <w:lvl w:ilvl="0">
      <w:lvlJc w:val="left"/>
      <w:lvlText w:val="%1."/>
      <w:numFmt w:val="decimal"/>
      <w:start w:val="1"/>
    </w:lvl>
  </w:abstractNum>
  <w:abstractNum w:abstractNumId="83">
    <w:nsid w:val="CC1016F"/>
    <w:multiLevelType w:val="hybridMultilevel"/>
    <w:lvl w:ilvl="0">
      <w:lvlJc w:val="left"/>
      <w:lvlText w:val="%1."/>
      <w:numFmt w:val="decimal"/>
      <w:start w:val="2"/>
    </w:lvl>
  </w:abstractNum>
  <w:abstractNum w:abstractNumId="84">
    <w:nsid w:val="43F18422"/>
    <w:multiLevelType w:val="hybridMultilevel"/>
    <w:lvl w:ilvl="0">
      <w:lvlJc w:val="left"/>
      <w:lvlText w:val="%1."/>
      <w:numFmt w:val="decimal"/>
      <w:start w:val="2"/>
    </w:lvl>
  </w:abstractNum>
  <w:abstractNum w:abstractNumId="85">
    <w:nsid w:val="60EF0119"/>
    <w:multiLevelType w:val="hybridMultilevel"/>
    <w:lvl w:ilvl="0">
      <w:lvlJc w:val="left"/>
      <w:lvlText w:val="%1."/>
      <w:numFmt w:val="decimal"/>
      <w:start w:val="3"/>
    </w:lvl>
  </w:abstractNum>
  <w:abstractNum w:abstractNumId="86">
    <w:nsid w:val="26F324BA"/>
    <w:multiLevelType w:val="hybridMultilevel"/>
    <w:lvl w:ilvl="0">
      <w:lvlJc w:val="left"/>
      <w:lvlText w:val="%1."/>
      <w:numFmt w:val="decimal"/>
      <w:start w:val="3"/>
    </w:lvl>
  </w:abstractNum>
  <w:abstractNum w:abstractNumId="87">
    <w:nsid w:val="7F01579B"/>
    <w:multiLevelType w:val="hybridMultilevel"/>
    <w:lvl w:ilvl="0">
      <w:lvlJc w:val="left"/>
      <w:lvlText w:val="%1."/>
      <w:numFmt w:val="decimal"/>
      <w:start w:val="3"/>
    </w:lvl>
  </w:abstractNum>
  <w:abstractNum w:abstractNumId="88">
    <w:nsid w:val="49DA307D"/>
    <w:multiLevelType w:val="hybridMultilevel"/>
    <w:lvl w:ilvl="0">
      <w:lvlJc w:val="left"/>
      <w:lvlText w:val="%1."/>
      <w:numFmt w:val="decimal"/>
      <w:start w:val="7"/>
    </w:lvl>
  </w:abstractNum>
  <w:abstractNum w:abstractNumId="89">
    <w:nsid w:val="7055A5F5"/>
    <w:multiLevelType w:val="hybridMultilevel"/>
    <w:lvl w:ilvl="0">
      <w:lvlJc w:val="left"/>
      <w:lvlText w:val="%1."/>
      <w:numFmt w:val="decimal"/>
      <w:start w:val="7"/>
    </w:lvl>
  </w:abstractNum>
  <w:abstractNum w:abstractNumId="90">
    <w:nsid w:val="5FB8370B"/>
    <w:multiLevelType w:val="hybridMultilevel"/>
    <w:lvl w:ilvl="0">
      <w:lvlJc w:val="left"/>
      <w:lvlText w:val="(%1)"/>
      <w:numFmt w:val="decimal"/>
      <w:start w:val="1"/>
    </w:lvl>
  </w:abstractNum>
  <w:abstractNum w:abstractNumId="91">
    <w:nsid w:val="50801EE1"/>
    <w:multiLevelType w:val="hybridMultilevel"/>
    <w:lvl w:ilvl="0">
      <w:lvlJc w:val="left"/>
      <w:lvlText w:val="%1."/>
      <w:numFmt w:val="decimal"/>
      <w:start w:val="8"/>
    </w:lvl>
  </w:abstractNum>
  <w:abstractNum w:abstractNumId="92">
    <w:nsid w:val="488AC1A"/>
    <w:multiLevelType w:val="hybridMultilevel"/>
    <w:lvl w:ilvl="0">
      <w:lvlJc w:val="left"/>
      <w:lvlText w:val="%1."/>
      <w:numFmt w:val="decimal"/>
      <w:start w:val="8"/>
    </w:lvl>
  </w:abstractNum>
  <w:abstractNum w:abstractNumId="93">
    <w:nsid w:val="5FB8011C"/>
    <w:multiLevelType w:val="hybridMultilevel"/>
    <w:lvl w:ilvl="0">
      <w:lvlJc w:val="left"/>
      <w:lvlText w:val="%1."/>
      <w:numFmt w:val="decimal"/>
      <w:start w:val="14"/>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1)"/>
      <w:numFmt w:val="decimal"/>
      <w:start w:val="1"/>
    </w:lvl>
  </w:abstractNum>
  <w:abstractNum w:abstractNumId="97">
    <w:nsid w:val="6A5F7029"/>
    <w:multiLevelType w:val="hybridMultilevel"/>
    <w:lvl w:ilvl="0">
      <w:lvlJc w:val="left"/>
      <w:lvlText w:val="(%1)"/>
      <w:numFmt w:val="decimal"/>
      <w:start w:val="3"/>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2020-03-14T19:59:49Z</dcterms:created>
  <dcterms:modified xsi:type="dcterms:W3CDTF">2020-03-14T19:59:49Z</dcterms:modified>
</cp:coreProperties>
</file>