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Newsom Mikella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Risk Officer &amp; Secretary</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03/18/2025</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03/18/2025</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320</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22,849</w:t>
            </w:r>
            <w:r>
              <w:rPr>
                <w:rFonts w:ascii="Times New Roman" w:cs="Times New Roman" w:eastAsia="Times New Roman" w:hAnsi="Times New Roman"/>
                <w:sz w:val="22"/>
                <w:szCs w:val="22"/>
                <w:color w:val="008000"/>
                <w:vertAlign w:val="superscript"/>
              </w:rPr>
              <w:t>(1)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80" w:type="dxa"/>
            <w:vAlign w:val="bottom"/>
            <w:tcBorders>
              <w:top w:val="single" w:sz="8" w:color="2C2C2C"/>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46,516</w:t>
            </w:r>
            <w:r>
              <w:rPr>
                <w:rFonts w:ascii="Times New Roman" w:cs="Times New Roman" w:eastAsia="Times New Roman" w:hAnsi="Times New Roman"/>
                <w:sz w:val="22"/>
                <w:szCs w:val="22"/>
                <w:color w:val="008000"/>
                <w:vertAlign w:val="superscript"/>
              </w:rPr>
              <w:t>(1)</w:t>
            </w:r>
          </w:p>
        </w:tc>
        <w:tc>
          <w:tcPr>
            <w:tcW w:w="920" w:type="dxa"/>
            <w:vAlign w:val="bottom"/>
            <w:tcBorders>
              <w:top w:val="single" w:sz="8" w:color="2C2C2C"/>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who is also an employee of the Issuer.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460"/>
        <w:spacing w:after="0" w:line="272" w:lineRule="auto"/>
        <w:rPr>
          <w:sz w:val="20"/>
          <w:szCs w:val="20"/>
          <w:color w:val="auto"/>
        </w:rPr>
      </w:pPr>
      <w:r>
        <w:rPr>
          <w:rFonts w:ascii="Times New Roman" w:cs="Times New Roman" w:eastAsia="Times New Roman" w:hAnsi="Times New Roman"/>
          <w:sz w:val="13"/>
          <w:szCs w:val="13"/>
          <w:color w:val="008000"/>
        </w:rPr>
        <w:t>REPORTING PERSON'S SPOUSE'S TRANSACTIONS: This Form 4 is late with respect to reporting the grant of restricted stock units by the Issuer to the Reporting Person's spouse. The Reporting Person did not timely report this acquisition by the Reporting Person's spouse due to inadvertent administrative error.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Mikella D. Newsom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03/24/2025</w:t>
            </w:r>
          </w:p>
        </w:tc>
      </w:tr>
      <w:tr>
        <w:trPr>
          <w:trHeight w:val="20"/>
        </w:trPr>
        <w:tc>
          <w:tcPr>
            <w:tcW w:w="1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278"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2025-03-24T16:21:43Z</dcterms:created>
  <dcterms:modified xsi:type="dcterms:W3CDTF">2025-03-24T16:21:43Z</dcterms:modified>
</cp:coreProperties>
</file>