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201295</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238125</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3820" w:right="1460" w:hanging="3812"/>
        <w:spacing w:after="0" w:line="532"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780" w:right="1600" w:hanging="3772"/>
        <w:spacing w:after="0" w:line="532" w:lineRule="auto"/>
        <w:tabs>
          <w:tab w:leader="none" w:pos="49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231775</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South Plains Financial,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86"/>
              </w:rPr>
              <w:t>Texas</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75-2453320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88"/>
              </w:rPr>
              <w:t>Lubbock, Texas</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79407</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(806) 792-7101</w:t>
      </w:r>
    </w:p>
    <w:p>
      <w:pPr>
        <w:spacing w:after="0" w:line="25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May 7, 2021, the registrant had 18,036,194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927" w:right="319" w:bottom="3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380" w:type="dxa"/>
            <w:vAlign w:val="bottom"/>
            <w:gridSpan w:val="8"/>
          </w:tcPr>
          <w:p>
            <w:pPr>
              <w:ind w:left="50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r>
      <w:tr>
        <w:trPr>
          <w:trHeight w:val="466"/>
        </w:trPr>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r>
      <w:tr>
        <w:trPr>
          <w:trHeight w:val="162"/>
        </w:trPr>
        <w:tc>
          <w:tcPr>
            <w:tcW w:w="96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PART I.</w:t>
            </w:r>
          </w:p>
        </w:tc>
        <w:tc>
          <w:tcPr>
            <w:tcW w:w="9580" w:type="dxa"/>
            <w:vAlign w:val="bottom"/>
            <w:gridSpan w:val="19"/>
            <w:shd w:val="clear" w:color="auto" w:fill="CCEEFF"/>
          </w:tcPr>
          <w:p>
            <w:pPr>
              <w:ind w:left="200"/>
              <w:spacing w:after="0" w:line="142" w:lineRule="exact"/>
              <w:rPr>
                <w:rFonts w:ascii="Arial" w:cs="Arial" w:eastAsia="Arial" w:hAnsi="Arial"/>
                <w:sz w:val="16"/>
                <w:szCs w:val="16"/>
                <w:color w:val="0000EE"/>
              </w:rPr>
            </w:pPr>
            <w:hyperlink w:anchor="page4">
              <w:r>
                <w:rPr>
                  <w:rFonts w:ascii="Arial" w:cs="Arial" w:eastAsia="Arial" w:hAnsi="Arial"/>
                  <w:sz w:val="16"/>
                  <w:szCs w:val="16"/>
                  <w:color w:val="0000EE"/>
                </w:rPr>
                <w:t>FINANCIAL INFORMATION</w:t>
              </w:r>
            </w:hyperlink>
          </w:p>
        </w:tc>
        <w:tc>
          <w:tcPr>
            <w:tcW w:w="7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3</w:t>
            </w:r>
          </w:p>
        </w:tc>
      </w:tr>
      <w:tr>
        <w:trPr>
          <w:trHeight w:val="34"/>
        </w:trPr>
        <w:tc>
          <w:tcPr>
            <w:tcW w:w="7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(Unaudited)</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Changes in Stockholders’ Equity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1465"/>
        </w:trPr>
        <w:tc>
          <w:tcPr>
            <w:tcW w:w="7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9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380" w:type="dxa"/>
            <w:vAlign w:val="bottom"/>
            <w:gridSpan w:val="2"/>
          </w:tcPr>
          <w:p>
            <w:pPr>
              <w:jc w:val="center"/>
              <w:ind w:left="1190"/>
              <w:spacing w:after="0"/>
              <w:rPr>
                <w:sz w:val="20"/>
                <w:szCs w:val="20"/>
                <w:color w:val="auto"/>
              </w:rPr>
            </w:pPr>
            <w:r>
              <w:rPr>
                <w:rFonts w:ascii="Arial" w:cs="Arial" w:eastAsia="Arial" w:hAnsi="Arial"/>
                <w:sz w:val="18"/>
                <w:szCs w:val="18"/>
                <w:b w:val="1"/>
                <w:bCs w:val="1"/>
                <w:color w:val="auto"/>
              </w:rPr>
              <w:t>SOUTH PLAINS FINANCIAL,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9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8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(Dollars 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4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300" w:type="dxa"/>
            <w:vAlign w:val="bottom"/>
            <w:gridSpan w:val="2"/>
            <w:vMerge w:val="continue"/>
          </w:tcPr>
          <w:p>
            <w:pPr>
              <w:spacing w:after="0"/>
              <w:rPr>
                <w:sz w:val="13"/>
                <w:szCs w:val="13"/>
                <w:color w:val="auto"/>
              </w:rPr>
            </w:pPr>
          </w:p>
        </w:tc>
        <w:tc>
          <w:tcPr>
            <w:tcW w:w="24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65,204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76,146</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Interest-bearing deposits in banks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348,202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224,161</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413,406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777,208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803,087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111,477</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2,242,676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2,221,583</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(45,553)</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11,277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60,331</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Bank-owned life insurance</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71,061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70,731</w:t>
            </w:r>
          </w:p>
        </w:tc>
        <w:tc>
          <w:tcPr>
            <w:tcW w:w="0" w:type="dxa"/>
            <w:vAlign w:val="bottom"/>
          </w:tcPr>
          <w:p>
            <w:pPr>
              <w:spacing w:after="0"/>
              <w:rPr>
                <w:sz w:val="1"/>
                <w:szCs w:val="1"/>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19,508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Deferred tax asset, net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23"/>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33,072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23,384</w:t>
            </w:r>
          </w:p>
        </w:tc>
        <w:tc>
          <w:tcPr>
            <w:tcW w:w="0" w:type="dxa"/>
            <w:vAlign w:val="bottom"/>
          </w:tcPr>
          <w:p>
            <w:pPr>
              <w:spacing w:after="0"/>
              <w:rPr>
                <w:sz w:val="1"/>
                <w:szCs w:val="1"/>
                <w:color w:val="auto"/>
              </w:rPr>
            </w:pPr>
          </w:p>
        </w:tc>
      </w:tr>
      <w:tr>
        <w:trPr>
          <w:trHeight w:val="216"/>
        </w:trPr>
        <w:tc>
          <w:tcPr>
            <w:tcW w:w="13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w w:val="96"/>
              </w:rPr>
              <w:t>Total assets</w:t>
            </w:r>
          </w:p>
        </w:tc>
        <w:tc>
          <w:tcPr>
            <w:tcW w:w="240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3,732,894</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3,599,160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4"/>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4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Noninterest-bearing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962,205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917,322</w:t>
            </w:r>
          </w:p>
        </w:tc>
        <w:tc>
          <w:tcPr>
            <w:tcW w:w="0" w:type="dxa"/>
            <w:vAlign w:val="bottom"/>
          </w:tcPr>
          <w:p>
            <w:pPr>
              <w:spacing w:after="0"/>
              <w:rPr>
                <w:sz w:val="1"/>
                <w:szCs w:val="1"/>
                <w:color w:val="auto"/>
              </w:rPr>
            </w:pPr>
          </w:p>
        </w:tc>
      </w:tr>
      <w:tr>
        <w:trPr>
          <w:trHeight w:val="223"/>
        </w:trPr>
        <w:tc>
          <w:tcPr>
            <w:tcW w:w="1300" w:type="dxa"/>
            <w:vAlign w:val="bottom"/>
            <w:gridSpan w:val="2"/>
          </w:tcPr>
          <w:p>
            <w:pPr>
              <w:ind w:left="140"/>
              <w:spacing w:after="0"/>
              <w:rPr>
                <w:sz w:val="20"/>
                <w:szCs w:val="20"/>
                <w:color w:val="auto"/>
              </w:rPr>
            </w:pPr>
            <w:r>
              <w:rPr>
                <w:rFonts w:ascii="Arial" w:cs="Arial" w:eastAsia="Arial" w:hAnsi="Arial"/>
                <w:sz w:val="18"/>
                <w:szCs w:val="18"/>
                <w:color w:val="auto"/>
                <w:w w:val="90"/>
              </w:rPr>
              <w:t>Interest-bearing</w:t>
            </w:r>
          </w:p>
        </w:tc>
        <w:tc>
          <w:tcPr>
            <w:tcW w:w="24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2,193,427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2,057,029</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3,155,632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17,525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26,550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31,229</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Notes payable &amp; other borrowings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75,635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75,589</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Junior subordinated deferrable interest debentures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46,393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3,358,223</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3,229,112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gridSpan w:val="2"/>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4"/>
          </w:tcPr>
          <w:p>
            <w:pPr>
              <w:ind w:left="140"/>
              <w:spacing w:after="0" w:line="201" w:lineRule="exact"/>
              <w:rPr>
                <w:sz w:val="20"/>
                <w:szCs w:val="20"/>
                <w:color w:val="auto"/>
              </w:rPr>
            </w:pPr>
            <w:r>
              <w:rPr>
                <w:rFonts w:ascii="Arial" w:cs="Arial" w:eastAsia="Arial" w:hAnsi="Arial"/>
                <w:sz w:val="18"/>
                <w:szCs w:val="18"/>
                <w:color w:val="auto"/>
                <w:w w:val="94"/>
              </w:rPr>
              <w:t>Common stock, $1.00 par value per share, 30,000,000 shares authorized; 18,053,229 and 18,076,364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4"/>
          </w:tcPr>
          <w:p>
            <w:pPr>
              <w:ind w:left="260"/>
              <w:spacing w:after="0"/>
              <w:rPr>
                <w:sz w:val="20"/>
                <w:szCs w:val="20"/>
                <w:color w:val="auto"/>
              </w:rPr>
            </w:pPr>
            <w:r>
              <w:rPr>
                <w:rFonts w:ascii="Arial" w:cs="Arial" w:eastAsia="Arial" w:hAnsi="Arial"/>
                <w:sz w:val="18"/>
                <w:szCs w:val="18"/>
                <w:color w:val="auto"/>
              </w:rPr>
              <w:t>outstanding at March 31, 2021 and December 31, 2020, respectively</w:t>
            </w:r>
          </w:p>
        </w:tc>
        <w:tc>
          <w:tcPr>
            <w:tcW w:w="1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18,053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18,076</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141,112</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203,777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189,521</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12,208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4"/>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374,671</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370,048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3,732,894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3,599,160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including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Non 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Federal funds sold and interest-bearing deposits in banks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32,982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35,737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4,283</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Subordinated debt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5,538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29,544</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6,234</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2,238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gain on sale of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r>
      <w:tr>
        <w:trPr>
          <w:trHeight w:val="223"/>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Occupancy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Bank 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4,907</w:t>
            </w:r>
          </w:p>
        </w:tc>
      </w:tr>
      <w:tr>
        <w:trPr>
          <w:trHeight w:val="223"/>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18,898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8,829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15,160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7,083</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0.82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7,083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Change in net unrealized gain on securities available for sale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(18,492)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21,189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net losses on cash flow hedges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Reclassification adjustment for (gain) included in net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(2,318)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(9,131)</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13,939</w:t>
            </w:r>
          </w:p>
        </w:tc>
      </w:tr>
      <w:tr>
        <w:trPr>
          <w:trHeight w:val="256"/>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700" w:type="dxa"/>
            <w:vAlign w:val="bottom"/>
            <w:gridSpan w:val="5"/>
            <w:vMerge w:val="restart"/>
          </w:tcPr>
          <w:p>
            <w:pPr>
              <w:jc w:val="right"/>
              <w:ind w:right="8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Three Months Ended March 31,</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18,036,115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146,696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306,182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7,083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Common - $0.03 per share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13,939</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4"/>
              </w:rPr>
              <w:t>660 shares for cashless exercise and net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of 4,986 shares for taxes</w:t>
            </w:r>
          </w:p>
        </w:tc>
        <w:tc>
          <w:tcPr>
            <w:tcW w:w="1120" w:type="dxa"/>
            <w:vAlign w:val="bottom"/>
          </w:tcPr>
          <w:p>
            <w:pPr>
              <w:jc w:val="right"/>
              <w:spacing w:after="0"/>
              <w:rPr>
                <w:sz w:val="20"/>
                <w:szCs w:val="20"/>
                <w:color w:val="auto"/>
              </w:rPr>
            </w:pPr>
            <w:r>
              <w:rPr>
                <w:rFonts w:ascii="Arial" w:cs="Arial" w:eastAsia="Arial" w:hAnsi="Arial"/>
                <w:sz w:val="18"/>
                <w:szCs w:val="18"/>
                <w:color w:val="auto"/>
              </w:rPr>
              <w:t>19,899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18,056,014</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18,056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140,699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153,238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326,890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January 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18,076,364</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141,112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189,521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21,339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370,048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 $0.05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(9,131)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1,100 shares for cashless exercise and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5,013 shares for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18,053,229</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18,053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140,633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203,777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374,671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and amortization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gains,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(2,383)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sales of loans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(15,943)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434,582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210,445</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originated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(436,176)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(216,024)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Earnings on bank-owned life insurance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valuation of mortgage servicing rights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(1,287)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Accrued interest receivable and other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(3,368)</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(2,930)</w:t>
            </w:r>
          </w:p>
        </w:tc>
      </w:tr>
      <w:tr>
        <w:trPr>
          <w:trHeight w:val="223"/>
        </w:trPr>
        <w:tc>
          <w:tcPr>
            <w:tcW w:w="8680" w:type="dxa"/>
            <w:vAlign w:val="bottom"/>
            <w:tcBorders>
              <w:bottom w:val="single" w:sz="8" w:color="CCEEFF"/>
            </w:tcBorders>
            <w:shd w:val="clear" w:color="auto" w:fill="CCEEFF"/>
          </w:tcPr>
          <w:p>
            <w:pPr>
              <w:jc w:val="center"/>
              <w:ind w:right="4890"/>
              <w:spacing w:after="0"/>
              <w:rPr>
                <w:sz w:val="20"/>
                <w:szCs w:val="20"/>
                <w:color w:val="auto"/>
              </w:rPr>
            </w:pPr>
            <w:r>
              <w:rPr>
                <w:rFonts w:ascii="Arial" w:cs="Arial" w:eastAsia="Arial" w:hAnsi="Arial"/>
                <w:sz w:val="18"/>
                <w:szCs w:val="18"/>
                <w:color w:val="auto"/>
                <w:w w:val="90"/>
              </w:rPr>
              <w:t>Accrued expenses and 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jc w:val="center"/>
              <w:ind w:right="4830"/>
              <w:spacing w:after="0"/>
              <w:rPr>
                <w:sz w:val="20"/>
                <w:szCs w:val="20"/>
                <w:color w:val="auto"/>
              </w:rPr>
            </w:pPr>
            <w:r>
              <w:rPr>
                <w:rFonts w:ascii="Arial" w:cs="Arial" w:eastAsia="Arial" w:hAnsi="Arial"/>
                <w:sz w:val="18"/>
                <w:szCs w:val="18"/>
                <w:color w:val="auto"/>
                <w:w w:val="91"/>
              </w:rPr>
              <w:t>Net cash from operating activities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4,315</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Activity in securities available for sale: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(37,046)</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(112,358)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94,514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Maturities, prepayments, and calls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11,513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originations and principal collections,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Purchases of premises and equipment,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premises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Proceeds from sales of foreclosed assets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23"/>
        </w:trPr>
        <w:tc>
          <w:tcPr>
            <w:tcW w:w="8680" w:type="dxa"/>
            <w:vAlign w:val="bottom"/>
            <w:tcBorders>
              <w:bottom w:val="single" w:sz="8" w:color="CCEEFF"/>
            </w:tcBorders>
            <w:shd w:val="clear" w:color="auto" w:fill="CCEEFF"/>
          </w:tcPr>
          <w:p>
            <w:pPr>
              <w:jc w:val="center"/>
              <w:ind w:right="4850"/>
              <w:spacing w:after="0"/>
              <w:rPr>
                <w:sz w:val="20"/>
                <w:szCs w:val="20"/>
                <w:color w:val="auto"/>
              </w:rPr>
            </w:pPr>
            <w:r>
              <w:rPr>
                <w:rFonts w:ascii="Arial" w:cs="Arial" w:eastAsia="Arial" w:hAnsi="Arial"/>
                <w:sz w:val="18"/>
                <w:szCs w:val="18"/>
                <w:color w:val="auto"/>
                <w:w w:val="92"/>
              </w:rPr>
              <w:t>Net cash from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Net change in deposits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(31,008)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short-term borrowings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(19,765)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Payments to tax authorities for stock-based compensation</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made on notes payable and other borrowings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Cash dividends on common stock</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(904)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jc w:val="center"/>
              <w:ind w:right="4830"/>
              <w:spacing w:after="0"/>
              <w:rPr>
                <w:sz w:val="20"/>
                <w:szCs w:val="20"/>
                <w:color w:val="auto"/>
              </w:rPr>
            </w:pPr>
            <w:r>
              <w:rPr>
                <w:rFonts w:ascii="Arial" w:cs="Arial" w:eastAsia="Arial" w:hAnsi="Arial"/>
                <w:sz w:val="18"/>
                <w:szCs w:val="18"/>
                <w:color w:val="auto"/>
                <w:w w:val="92"/>
              </w:rPr>
              <w:t>Net cash from financing activities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120,460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(51,398)</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113,099</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(22,037)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413,406</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136,062</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paid on deposits and borrowed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schedule of noncash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transferred to foreclosed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Measurement period acquisition adjustment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mortgage servicing rights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6"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8"/>
          <w:szCs w:val="18"/>
          <w:i w:val="1"/>
          <w:iCs w:val="1"/>
          <w:u w:val="single" w:color="auto"/>
          <w:color w:val="auto"/>
        </w:rPr>
        <w:t>Nature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South Plains Financial, Inc. (“SPFI”) is a Texas corporation and registered bank holding company that conducts its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Wholly Owned, Consolidated Subsidiaries:</w:t>
            </w:r>
          </w:p>
        </w:tc>
        <w:tc>
          <w:tcPr>
            <w:tcW w:w="6460" w:type="dxa"/>
            <w:vAlign w:val="bottom"/>
          </w:tcPr>
          <w:p>
            <w:pPr>
              <w:spacing w:after="0"/>
              <w:rPr>
                <w:sz w:val="20"/>
                <w:szCs w:val="20"/>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City Bank</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Windmark Insurance Agency, Inc. ("Windmark")</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Ruidoso Retail, Inc.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CB Provence,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CBT Brushy Creek, LLC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CBT Properties,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Wholly Owned, Equity Method Subsidiaries:</w:t>
            </w:r>
          </w:p>
        </w:tc>
        <w:tc>
          <w:tcPr>
            <w:tcW w:w="6460" w:type="dxa"/>
            <w:vAlign w:val="bottom"/>
            <w:shd w:val="clear" w:color="auto" w:fill="CCEEFF"/>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South Plains Financial Capital Trusts (SPFCT) III-V</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subsidiaries</w:t>
            </w:r>
          </w:p>
        </w:tc>
      </w:tr>
    </w:tbl>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Basis of Presentation and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consolidated financial statements in this Quarterly Report on Form 10-Q for the quarter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(this “Form 10-Q”) include the accounts of SPFI and its wholly owned consolidated subsidiaries (collectively referred to as the “Company”) identified above. All significant intercompany balances and transactions have been eliminated in consolidation.</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and results of operations.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footnotes required by GAAP for complete financial statements and should be read in conjunction with the Company’s audited consolidated financial statements, and notes thereto in the Company’s Annual Report on Form 10-K for the year ended December 31, 2020. Operating results for the interim periods disclosed herein are not necessarily indicative of the results that may be expected for a full year or any future period.</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Use of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 The preparation of financial statements in conformity with GAAP requires management to make estimates and assumptions that affect</w:t>
      </w:r>
      <w:r>
        <w:rPr>
          <w:rFonts w:ascii="Arial" w:cs="Arial" w:eastAsia="Arial" w:hAnsi="Arial"/>
          <w:sz w:val="16"/>
          <w:szCs w:val="16"/>
          <w:i w:val="1"/>
          <w:iCs w:val="1"/>
          <w:color w:val="auto"/>
        </w:rPr>
        <w:t xml:space="preserve"> </w:t>
      </w:r>
      <w:r>
        <w:rPr>
          <w:rFonts w:ascii="Arial" w:cs="Arial" w:eastAsia="Arial" w:hAnsi="Arial"/>
          <w:sz w:val="16"/>
          <w:szCs w:val="16"/>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the valuation of foreclosed assets, and fair values of financial instruments can also involve significant management estimates.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Loans</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that management has the intent and ability to hold for the foreseeable future or until maturity or payoff are reported at their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Allowance for Loan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allowance for loan losses is established by management as an estimate to cover probable credit losses through a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modify its loan agreement with a borrower. The modification will be considered a troubled debt restructuring (“TDR”)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Acquired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that the Company acquires in connection with business combinations are recorded at fair value with no carryover of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ASC 310-30, </w:t>
      </w:r>
      <w:r>
        <w:rPr>
          <w:rFonts w:ascii="Arial" w:cs="Arial" w:eastAsia="Arial" w:hAnsi="Arial"/>
          <w:sz w:val="17"/>
          <w:szCs w:val="17"/>
          <w:i w:val="1"/>
          <w:iCs w:val="1"/>
          <w:color w:val="auto"/>
        </w:rPr>
        <w:t>Loans and Debt Securities Acquired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Deteriorated Credit Quality. </w:t>
      </w:r>
      <w:r>
        <w:rPr>
          <w:rFonts w:ascii="Arial" w:cs="Arial" w:eastAsia="Arial" w:hAnsi="Arial"/>
          <w:sz w:val="17"/>
          <w:szCs w:val="17"/>
          <w:color w:val="auto"/>
        </w:rPr>
        <w:t>The nonaccretable discount includes estimated future credit losses expected to be incurred over the life of the loan. Subsequent</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Loans acquired through business combinations that meet the specific criteria of ASC 310-30 are individually evaluated each period to analyze expected cash flows. To the extent that the expected cash flows of a loan have decreased due to credit deterioration, the Company then establishes an allowance.</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Loans acquired through business combinations that do not meet the specific criteria of ASC 310-30 are accounted for under ASC 310-20. These loans are initially recorded at fair value, and include credit and interest rate marks associated with acquisition 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Goodwill and Other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Goodwill resulting from business combinations is generally determined as the excess of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transferred over the fair value of the net assets acquired and liabilities assumed as of the acquisition date. Goodwill is not amortized, but is tested for impairment on October 31 each year or more frequently if events and circumstances exist that indicate that an impairment test should be performed. There was no impairment recorded for the three month period ended March 31, 2021 and the year ended December 31, 2020, respectively.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Significantly all CDI is amortized using the sum of the years’ digits method.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other intangible assets consist of customer relationship and employment agreement intangible assets and are amortized over their estimated useful lives of 5 years.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sponsors an equity incentive plan under which options to acquire shares of the Company’s common stock may</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the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Accounting Standards Board (“FASB”) Accounting Standards Codification (“ASC”) </w:t>
      </w:r>
      <w:r>
        <w:rPr>
          <w:rFonts w:ascii="Arial" w:cs="Arial" w:eastAsia="Arial" w:hAnsi="Arial"/>
          <w:sz w:val="18"/>
          <w:szCs w:val="18"/>
          <w:color w:val="auto"/>
        </w:rPr>
        <w:t>constitutes GAAP for</w:t>
      </w:r>
      <w:r>
        <w:rPr>
          <w:rFonts w:ascii="Arial" w:cs="Arial" w:eastAsia="Arial" w:hAnsi="Arial"/>
          <w:sz w:val="18"/>
          <w:szCs w:val="18"/>
          <w:i w:val="1"/>
          <w:iCs w:val="1"/>
          <w:color w:val="auto"/>
        </w:rPr>
        <w:t xml:space="preserve"> </w:t>
      </w:r>
      <w:r>
        <w:rPr>
          <w:rFonts w:ascii="Arial" w:cs="Arial" w:eastAsia="Arial" w:hAnsi="Arial"/>
          <w:sz w:val="18"/>
          <w:szCs w:val="18"/>
          <w:color w:val="auto"/>
        </w:rPr>
        <w:t>nongovernmental entities. Updates to ASC are prescribed in Accounting Standards Updates (“ASU”), which are not authoritative until incorporated into ASC.</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ASU 2021-01, Reference Rate Reform (Topic 848)</w:t>
      </w:r>
      <w:r>
        <w:rPr>
          <w:rFonts w:ascii="Arial" w:cs="Arial" w:eastAsia="Arial" w:hAnsi="Arial"/>
          <w:sz w:val="16"/>
          <w:szCs w:val="16"/>
          <w:color w:val="auto"/>
        </w:rPr>
        <w:t>. In January 2021, the FASB issued ASU No. 2021-01 to clarify the scope of Topic 848 so that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the discounting transition are explicitly eligible for certain optional expedients and exceptions in Topic 848. This update additionally clarified that a receive-variable-rate, pay-variable-rate cross-currency interest rate swap may be considered an eligible hedging instrument in a net investment hedge if both legs of the swap do not have the same repricing intervals and dates as a result of reference rate reform. This update was effective upon issuance and generally can be applied through December 31, 2022. See the discussion regarding the adoption of ASU 2020-04 below.</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ASU 2020-04, Reference Rate Reform (Topic 848): Facilitation of the Effects of Reference Rate Reform on Financial Reporting. </w:t>
      </w:r>
      <w:r>
        <w:rPr>
          <w:rFonts w:ascii="Arial" w:cs="Arial" w:eastAsia="Arial" w:hAnsi="Arial"/>
          <w:sz w:val="17"/>
          <w:szCs w:val="17"/>
          <w:color w:val="auto"/>
        </w:rPr>
        <w:t>In March 2020,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ASU No. 2020-04 and it provides optional expedients and exceptions for accounting related to contracts, hedging relationships and other transactions affected by reference rate reform if certain criteria are met. This update applies only to contracts, hedging relationships and other transactions that reference LIBOR or another reference rate expected to be discontinued because of reference rate reform and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expedients and exceptions in this update are available to all entities starting March 12, 2020 through December 31, 2022. The adoption of ASU 2020-04 did not significantly impact the Company’s consolidated financial statements.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ASU 2019-12, Income Taxes, Simplifying the Accounting for Income Taxes (Topic 740). </w:t>
      </w:r>
      <w:r>
        <w:rPr>
          <w:rFonts w:ascii="Arial" w:cs="Arial" w:eastAsia="Arial" w:hAnsi="Arial"/>
          <w:sz w:val="18"/>
          <w:szCs w:val="18"/>
          <w:color w:val="auto"/>
        </w:rPr>
        <w:t>In December 2019, the FASB issued ASU 2019-12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The adoption of ASU 2019-12 did not have a material effect on the Company’s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ASU 2017-04, Intangibles - Goodwill and Other (Topic 350). </w:t>
      </w:r>
      <w:r>
        <w:rPr>
          <w:rFonts w:ascii="Arial" w:cs="Arial" w:eastAsia="Arial" w:hAnsi="Arial"/>
          <w:sz w:val="17"/>
          <w:szCs w:val="17"/>
          <w:color w:val="auto"/>
        </w:rPr>
        <w:t>This ASU simplifies the accounting for goodwill impairment for all entities by eliminating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Step 2 from the current provisions. Under the new guidance, an entity should perform the goodwill impairment test by comparing the fair value of a reporting unit with its carrying value and recognize an impairment charge for the amount by which the carrying amount exceeds the reporting unit’s fair value. The Company elected to early adopt ASU 2017-04 on January 1, 2020, and it did not have a material impact on its financial statements.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The FASB issued guidance to replace the incurred loss model with an expected loss</w:t>
      </w:r>
      <w:r>
        <w:rPr>
          <w:rFonts w:ascii="Arial" w:cs="Arial" w:eastAsia="Arial" w:hAnsi="Arial"/>
          <w:sz w:val="17"/>
          <w:szCs w:val="17"/>
          <w:i w:val="1"/>
          <w:iCs w:val="1"/>
          <w:color w:val="auto"/>
        </w:rPr>
        <w:t xml:space="preserve"> </w:t>
      </w:r>
      <w:r>
        <w:rPr>
          <w:rFonts w:ascii="Arial" w:cs="Arial" w:eastAsia="Arial" w:hAnsi="Arial"/>
          <w:sz w:val="17"/>
          <w:szCs w:val="17"/>
          <w:color w:val="auto"/>
        </w:rPr>
        <w:t>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and the CECL methodology for estimating the allowance for credit losses will have on its consolidated operating results and financial condition.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ASU 2016-02 Leases (Topic 842). </w:t>
      </w:r>
      <w:r>
        <w:rPr>
          <w:rFonts w:ascii="Arial" w:cs="Arial" w:eastAsia="Arial" w:hAnsi="Arial"/>
          <w:sz w:val="18"/>
          <w:szCs w:val="18"/>
          <w:color w:val="auto"/>
        </w:rPr>
        <w:t>The FASB amended existing guidance that requires that lessees recognize lease assets and lease liabilities on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and disclose key information about leasing arrangements. The Company is in the process of determining the effect of the standard on its consolidated operating results and financial condition. These amendments are effective for the Company for annual periods beginning after December 15, 2021 and interim periods beginning after December 15, 2022.</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Subsequent Events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evaluated subsequent events and transactions from March 31, 2021 through the date this Form 10-Q was filed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for potential recognition or disclosure as required by GAAP and determined that there were no material subsequent events requiring recognition or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at period-end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1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11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1"/>
              </w:rPr>
              <w:t>March 31, 2021</w:t>
            </w:r>
          </w:p>
        </w:tc>
        <w:tc>
          <w:tcPr>
            <w:tcW w:w="48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263,102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6,506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268,787</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357,651</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106,628</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31,913</w:t>
            </w: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12,229</w:t>
            </w:r>
          </w:p>
        </w:tc>
      </w:tr>
      <w:tr>
        <w:trPr>
          <w:trHeight w:val="257"/>
        </w:trPr>
        <w:tc>
          <w:tcPr>
            <w:tcW w:w="116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768,612</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777,208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446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2020</w:t>
            </w:r>
          </w:p>
        </w:tc>
        <w:tc>
          <w:tcPr>
            <w:tcW w:w="1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Available for sale:</w:t>
            </w:r>
          </w:p>
        </w:tc>
        <w:tc>
          <w:tcPr>
            <w:tcW w:w="3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r>
      <w:tr>
        <w:trPr>
          <w:trHeight w:val="216"/>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State and municipal</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11,704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272,607</w:t>
            </w:r>
          </w:p>
        </w:tc>
      </w:tr>
      <w:tr>
        <w:trPr>
          <w:trHeight w:val="21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373,362</w:t>
            </w:r>
          </w:p>
        </w:tc>
      </w:tr>
      <w:tr>
        <w:trPr>
          <w:trHeight w:val="216"/>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Collateralized mortgage obligations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106,715</w:t>
            </w:r>
          </w:p>
        </w:tc>
      </w:tr>
      <w:tr>
        <w:trPr>
          <w:trHeight w:val="21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33,572</w:t>
            </w:r>
          </w:p>
        </w:tc>
      </w:tr>
      <w:tr>
        <w:trPr>
          <w:trHeight w:val="223"/>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Other securities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r>
      <w:tr>
        <w:trPr>
          <w:trHeight w:val="256"/>
        </w:trPr>
        <w:tc>
          <w:tcPr>
            <w:tcW w:w="14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775,999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803,087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41"/>
        </w:trPr>
        <w:tc>
          <w:tcPr>
            <w:tcW w:w="1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4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fair value of securities at March 31, 2021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Available for Sale</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5"/>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4,864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243,845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248,738</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493,511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496,193</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768,612</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777,208</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March 31, 2021 and December 31, 2020, there were no holdings of securities of any one issuer, other than the U.S. government and its agencies, in an amount greater than 10% of stockholders’ equity.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approximately $321.5 million and $292.2 million at March 31, 2021 and December 31, 2020, respectively, were pledged to collateralize public deposits and for other purposes as required or permitted by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segregates securities with unrealized losses at the periods indicated, by the duration they have been in a loss position: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March 31, 2021</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64,700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64,700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4,388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4,388</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106,629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r>
      <w:tr>
        <w:trPr>
          <w:trHeight w:val="202"/>
        </w:trPr>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6,408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56"/>
        </w:trPr>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297,806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297,806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32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2020</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93,482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93,482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r>
      <w:tr>
        <w:trPr>
          <w:trHeight w:val="202"/>
        </w:trPr>
        <w:tc>
          <w:tcPr>
            <w:tcW w:w="3280" w:type="dxa"/>
            <w:vAlign w:val="bottom"/>
            <w:gridSpan w:val="3"/>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7"/>
        </w:trPr>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203,683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203,683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were 33 securities with an unrealized loss at March 31, 2021.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March 31, 2021, management believes the impairments detailed in the table above are temporary and no impairment loss has been realized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3. LOANS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color w:val="auto"/>
              </w:rPr>
              <w:t>Loans are summarized by category as of the periods presented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279,389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311,686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518,309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360,315</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205,840</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67,595</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107,807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94,494</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2,242,676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(45,019)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(45,553)</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2,197,657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2,176,030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Commercial – General and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 Commercial loans are underwritten after evaluating and understanding the borrower’s ability to operate</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 Commercial real estate loans are also subject to underwriting standards and processes similar to commercial loans. These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Construction</w:t>
      </w:r>
      <w:r>
        <w:rPr>
          <w:rFonts w:ascii="Arial" w:cs="Arial" w:eastAsia="Arial" w:hAnsi="Arial"/>
          <w:sz w:val="17"/>
          <w:szCs w:val="17"/>
          <w:i w:val="1"/>
          <w:iCs w:val="1"/>
          <w:color w:val="auto"/>
        </w:rPr>
        <w:t xml:space="preserve"> </w:t>
      </w:r>
      <w:r>
        <w:rPr>
          <w:rFonts w:ascii="Arial" w:cs="Arial" w:eastAsia="Arial" w:hAnsi="Arial"/>
          <w:sz w:val="17"/>
          <w:szCs w:val="17"/>
          <w:color w:val="auto"/>
        </w:rPr>
        <w:t>– Loans for residential construction are for single-family properties to developers, builders, or end-users. These loans are underwritten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 Loans to consumers include 1-4 family residential loans, auto loans, and other loans for recreational vehicles or other purposes.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loan losses was $45.0 million at March 31, 2021, compared to $45.6 million at December 31, 2020. The allowance for loan losses to loans held for investment was 2.01% at March 31, 2021 and 2.05% at December 31,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activity in the allowance for loan losses. Allocation of a portion of the allowance to one category of loans does not preclude its availability to absorb losses in other categories.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three months ended March 31, 2021</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1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19,020</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5,458</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w:t>
            </w: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3,891</w:t>
            </w: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45,553</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3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240"/>
          </w:cols>
          <w:pgMar w:left="320" w:top="114"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three months ended March 31, 2020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Commercial real estate</w:t>
            </w:r>
          </w:p>
        </w:tc>
        <w:tc>
          <w:tcPr>
            <w:tcW w:w="1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5,049</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2,035</w:t>
            </w:r>
          </w:p>
        </w:tc>
        <w:tc>
          <w:tcPr>
            <w:tcW w:w="360" w:type="dxa"/>
            <w:vAlign w:val="bottom"/>
            <w:tcBorders>
              <w:top w:val="single" w:sz="8" w:color="CCEEFF"/>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108</w:t>
            </w:r>
          </w:p>
        </w:tc>
        <w:tc>
          <w:tcPr>
            <w:tcW w:w="3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7,192</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9,609</w:t>
            </w: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(798)</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(848)</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7,980</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1-4 family residential</w:t>
            </w: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2,093</w:t>
            </w: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651</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2,744</w:t>
            </w: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Auto loans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w:t>
            </w: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Other consumer</w:t>
            </w: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1,341</w:t>
            </w: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593</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(367)</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r>
      <w:tr>
        <w:trPr>
          <w:trHeight w:val="27"/>
        </w:trPr>
        <w:tc>
          <w:tcPr>
            <w:tcW w:w="3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6,234</w:t>
            </w:r>
          </w:p>
        </w:tc>
        <w:tc>
          <w:tcPr>
            <w:tcW w:w="24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(1,670)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29,074</w:t>
            </w:r>
          </w:p>
        </w:tc>
      </w:tr>
      <w:tr>
        <w:trPr>
          <w:trHeight w:val="20"/>
        </w:trPr>
        <w:tc>
          <w:tcPr>
            <w:tcW w:w="3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3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08"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22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020" w:type="dxa"/>
            <w:vAlign w:val="bottom"/>
            <w:gridSpan w:val="22"/>
          </w:tcPr>
          <w:p>
            <w:pPr>
              <w:spacing w:after="0"/>
              <w:rPr>
                <w:sz w:val="20"/>
                <w:szCs w:val="20"/>
                <w:color w:val="auto"/>
              </w:rPr>
            </w:pPr>
            <w:r>
              <w:rPr>
                <w:rFonts w:ascii="Arial" w:cs="Arial" w:eastAsia="Arial" w:hAnsi="Arial"/>
                <w:sz w:val="18"/>
                <w:szCs w:val="18"/>
                <w:color w:val="auto"/>
              </w:rPr>
              <w:t>The following table shows the Company’s investment in loans disaggregated based on the method of evaluating impairment: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Recorded Investment</w:t>
            </w:r>
          </w:p>
        </w:tc>
        <w:tc>
          <w:tcPr>
            <w:tcW w:w="120" w:type="dxa"/>
            <w:vAlign w:val="bottom"/>
          </w:tcPr>
          <w:p>
            <w:pPr>
              <w:spacing w:after="0"/>
              <w:rPr>
                <w:sz w:val="24"/>
                <w:szCs w:val="24"/>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Allowance for Loan Losses</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4"/>
          </w:tcPr>
          <w:p>
            <w:pPr>
              <w:jc w:val="right"/>
              <w:ind w:right="340"/>
              <w:spacing w:after="0" w:line="198" w:lineRule="exact"/>
              <w:rPr>
                <w:sz w:val="20"/>
                <w:szCs w:val="20"/>
                <w:color w:val="auto"/>
              </w:rPr>
            </w:pPr>
            <w:r>
              <w:rPr>
                <w:rFonts w:ascii="Arial" w:cs="Arial" w:eastAsia="Arial" w:hAnsi="Arial"/>
                <w:sz w:val="18"/>
                <w:szCs w:val="18"/>
                <w:b w:val="1"/>
                <w:bCs w:val="1"/>
                <w:color w:val="auto"/>
                <w:w w:val="98"/>
              </w:rPr>
              <w:t>Individually</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1"/>
              </w:rPr>
              <w:t>Evaluated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Evaluated</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Evaluated</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Evaluated</w:t>
            </w:r>
          </w:p>
        </w:tc>
        <w:tc>
          <w:tcPr>
            <w:tcW w:w="0" w:type="dxa"/>
            <w:vAlign w:val="bottom"/>
          </w:tcPr>
          <w:p>
            <w:pPr>
              <w:spacing w:after="0"/>
              <w:rPr>
                <w:sz w:val="1"/>
                <w:szCs w:val="1"/>
                <w:color w:val="auto"/>
              </w:rPr>
            </w:pPr>
          </w:p>
        </w:tc>
      </w:tr>
      <w:tr>
        <w:trPr>
          <w:trHeight w:val="175"/>
        </w:trPr>
        <w:tc>
          <w:tcPr>
            <w:tcW w:w="3280" w:type="dxa"/>
            <w:vAlign w:val="bottom"/>
            <w:gridSpan w:val="4"/>
          </w:tcPr>
          <w:p>
            <w:pPr>
              <w:spacing w:after="0" w:line="176" w:lineRule="exact"/>
              <w:rPr>
                <w:sz w:val="20"/>
                <w:szCs w:val="20"/>
                <w:color w:val="auto"/>
              </w:rPr>
            </w:pPr>
            <w:r>
              <w:rPr>
                <w:rFonts w:ascii="Arial" w:cs="Arial" w:eastAsia="Arial" w:hAnsi="Arial"/>
                <w:sz w:val="18"/>
                <w:szCs w:val="18"/>
                <w:color w:val="auto"/>
              </w:rPr>
              <w:t>March 31, 2021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667,768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18,440</w:t>
            </w: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279,389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526,763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360,719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16"/>
        </w:trPr>
        <w:tc>
          <w:tcPr>
            <w:tcW w:w="3280" w:type="dxa"/>
            <w:vAlign w:val="bottom"/>
            <w:gridSpan w:val="4"/>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219,977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107,807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12,609</w:t>
            </w:r>
          </w:p>
        </w:tc>
        <w:tc>
          <w:tcPr>
            <w:tcW w:w="2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2,230,067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43,605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80" w:type="dxa"/>
            <w:vAlign w:val="bottom"/>
            <w:gridSpan w:val="4"/>
          </w:tcPr>
          <w:p>
            <w:pPr>
              <w:spacing w:after="0" w:line="176" w:lineRule="exact"/>
              <w:rPr>
                <w:sz w:val="20"/>
                <w:szCs w:val="20"/>
                <w:color w:val="auto"/>
              </w:rPr>
            </w:pPr>
            <w:r>
              <w:rPr>
                <w:rFonts w:ascii="Arial" w:cs="Arial" w:eastAsia="Arial" w:hAnsi="Arial"/>
                <w:sz w:val="18"/>
                <w:szCs w:val="18"/>
                <w:color w:val="auto"/>
              </w:rPr>
              <w:t>December 31, 2020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18,382</w:t>
            </w: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311,686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513,683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w:t>
            </w: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358,193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16"/>
        </w:trPr>
        <w:tc>
          <w:tcPr>
            <w:tcW w:w="3280" w:type="dxa"/>
            <w:vAlign w:val="bottom"/>
            <w:gridSpan w:val="4"/>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205,840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94,494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13,021</w:t>
            </w:r>
          </w:p>
        </w:tc>
        <w:tc>
          <w:tcPr>
            <w:tcW w:w="2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2,208,562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44,458</w:t>
            </w:r>
          </w:p>
        </w:tc>
        <w:tc>
          <w:tcPr>
            <w:tcW w:w="0" w:type="dxa"/>
            <w:vAlign w:val="bottom"/>
          </w:tcPr>
          <w:p>
            <w:pPr>
              <w:spacing w:after="0"/>
              <w:rPr>
                <w:sz w:val="1"/>
                <w:szCs w:val="1"/>
                <w:color w:val="auto"/>
              </w:rPr>
            </w:pPr>
          </w:p>
        </w:tc>
      </w:tr>
      <w:tr>
        <w:trPr>
          <w:trHeight w:val="20"/>
        </w:trPr>
        <w:tc>
          <w:tcPr>
            <w:tcW w:w="3280" w:type="dxa"/>
            <w:vAlign w:val="bottom"/>
            <w:gridSpan w:val="4"/>
            <w:vMerge w:val="restart"/>
          </w:tcPr>
          <w:p>
            <w:pPr>
              <w:spacing w:after="0"/>
              <w:rPr>
                <w:sz w:val="20"/>
                <w:szCs w:val="20"/>
                <w:color w:val="auto"/>
              </w:rPr>
            </w:pPr>
            <w:r>
              <w:rPr>
                <w:rFonts w:ascii="Arial" w:cs="Arial" w:eastAsia="Arial" w:hAnsi="Arial"/>
                <w:sz w:val="18"/>
                <w:szCs w:val="18"/>
                <w:color w:val="auto"/>
              </w:rPr>
              <w:t>Impaired loan information follows:</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2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With No</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With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Related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Allowance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Allowance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0" w:type="dxa"/>
            <w:vAlign w:val="bottom"/>
          </w:tcPr>
          <w:p>
            <w:pPr>
              <w:spacing w:after="0"/>
              <w:rPr>
                <w:sz w:val="1"/>
                <w:szCs w:val="1"/>
                <w:color w:val="auto"/>
              </w:rPr>
            </w:pPr>
          </w:p>
        </w:tc>
      </w:tr>
      <w:tr>
        <w:trPr>
          <w:trHeight w:val="175"/>
        </w:trPr>
        <w:tc>
          <w:tcPr>
            <w:tcW w:w="3280" w:type="dxa"/>
            <w:vAlign w:val="bottom"/>
            <w:gridSpan w:val="4"/>
          </w:tcPr>
          <w:p>
            <w:pPr>
              <w:spacing w:after="0" w:line="176" w:lineRule="exact"/>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3280" w:type="dxa"/>
            <w:vAlign w:val="bottom"/>
            <w:gridSpan w:val="4"/>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13,028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5,746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6,863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12,609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80" w:type="dxa"/>
            <w:vAlign w:val="bottom"/>
            <w:gridSpan w:val="4"/>
          </w:tcPr>
          <w:p>
            <w:pPr>
              <w:spacing w:after="0" w:line="176" w:lineRule="exact"/>
              <w:rPr>
                <w:sz w:val="20"/>
                <w:szCs w:val="20"/>
                <w:color w:val="auto"/>
              </w:rPr>
            </w:pPr>
            <w:r>
              <w:rPr>
                <w:rFonts w:ascii="Arial" w:cs="Arial" w:eastAsia="Arial" w:hAnsi="Arial"/>
                <w:sz w:val="18"/>
                <w:szCs w:val="18"/>
                <w:color w:val="auto"/>
              </w:rPr>
              <w:t>December 31, 2020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3280" w:type="dxa"/>
            <w:vAlign w:val="bottom"/>
            <w:gridSpan w:val="4"/>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13,440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9,159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3,862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9,894</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All impaired loans $250 thousand and greater were specifically evaluated for impairment. Interest income recognized using a cash-basis method on impaired loans for the three-month period ended March 31, 2021 and the year ended December 31, 2020 was not significant. Additional funds committed to be advanced on impaired loans are not significant.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3"/>
          </w:tcPr>
          <w:p>
            <w:pPr>
              <w:spacing w:after="0"/>
              <w:rPr>
                <w:sz w:val="20"/>
                <w:szCs w:val="20"/>
                <w:color w:val="auto"/>
              </w:rPr>
            </w:pPr>
            <w:r>
              <w:rPr>
                <w:rFonts w:ascii="Arial" w:cs="Arial" w:eastAsia="Arial" w:hAnsi="Arial"/>
                <w:sz w:val="18"/>
                <w:szCs w:val="18"/>
                <w:color w:val="auto"/>
                <w:w w:val="99"/>
              </w:rPr>
              <w:t>The table below provides an age analysis on accruing past-due loans and nonaccrual loans: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90 Days or</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30-89 Days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More Past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Nonaccrual</w:t>
            </w: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March 31, 2021</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6,251</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7,150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13,014</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6,311</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6,560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13,718</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internal classifications of loans: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Mention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Substandard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March 31, 2021</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58,472</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673,985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271,286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8,103</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279,389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7,282</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531,303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7,090</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362,571</w:t>
            </w: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218,385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1,592</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219,977</w:t>
            </w: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67,327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67,644</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107,420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107,807</w:t>
            </w:r>
          </w:p>
        </w:tc>
      </w:tr>
      <w:tr>
        <w:trPr>
          <w:trHeight w:val="216"/>
        </w:trPr>
        <w:tc>
          <w:tcPr>
            <w:tcW w:w="4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2,159,433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83,243</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2,242,676</w:t>
            </w:r>
          </w:p>
        </w:tc>
      </w:tr>
      <w:tr>
        <w:trPr>
          <w:trHeight w:val="21"/>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December 31, 2020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61,094</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663,344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303,831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7,855</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311,686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518,309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7,385</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360,315</w:t>
            </w: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204,301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205,840</w:t>
            </w: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67,595</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94,494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94,494</w:t>
            </w:r>
          </w:p>
        </w:tc>
      </w:tr>
      <w:tr>
        <w:trPr>
          <w:trHeight w:val="216"/>
        </w:trPr>
        <w:tc>
          <w:tcPr>
            <w:tcW w:w="4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2,135,565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86,018</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2,221,583</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section 4013 of the Coronavirus Aid, Relief, and Economic Security Act (the “CARES Act”), banks may elect to deem that loan modifications do not result in a classification as a TDR if they are (1) related to the COVID-19 pandemic; (2) executed on a loan that was not more than 30 days past due as of December 31, 2019; and (3) executed between March 1, 2020, and the earlier of (A) 60 days after the date of termination of the national emergency or</w:t>
      </w:r>
    </w:p>
    <w:p>
      <w:pPr>
        <w:spacing w:after="0" w:line="2" w:lineRule="exact"/>
        <w:rPr>
          <w:sz w:val="20"/>
          <w:szCs w:val="20"/>
          <w:color w:val="auto"/>
        </w:rPr>
      </w:pPr>
    </w:p>
    <w:p>
      <w:pPr>
        <w:jc w:val="both"/>
        <w:ind w:firstLine="8"/>
        <w:spacing w:after="0" w:line="255" w:lineRule="auto"/>
        <w:tabs>
          <w:tab w:leader="none" w:pos="291"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December 31, 2020. Under section 540 of the Consolidated Appropriations Act, 2021 (the “Act”), section 4013 of the CARES Act was amended. The period for loan modifications was extended to the earlier of (1) January 1, 2022, or (2) 60 days after the date of termination of the national emergency. The Company elected to adopt the provisions of the CARES Act and the Act.</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other short-term modifications made on a good faith basis in response to the COVID-19 pandemic to borrowers who were current prior to any relief are not TDRs under ASC Subtopic 310-40 and the interagency statement released by the federal banking regulators on April 7, 2020 in response to the COVID-19 pandemic (the “Joint Interagency Regulatory Guidance”). This includes short-term (e.g., up to six months) modifications such as payment deferrals, fee waivers, extensions of repayment terms, or delays in payment that are insignificant. Borrowers considered current are those that are less than 30 days past due on their contractual payments at the time a modification program is implemented.</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the Company implemented a short-term deferral modification program that complies with ASC Subtopic 310-40 and the Joint Interagency Regulatory Guidance. As of March 31, 2021, the Company had an outstanding principal balance of modified loans of $766 thousand in loans that comply with ASC Subtopic 310-40 and the Joint Interagency Regulatory Guidance. These modifications include: $508 thousand in six months of interest-only payments and $258 thousand in consumer one to four month payment deferrals. The total of all of these short-term modifications represented 0.03% of outstanding loans held for investment at March 31, 2021.</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Beginning in April 2020, the Company began offering additional COVID-19 related deferral and modification of principal and/or interest payments to selected borrowers on a case-by-case basis that were outside the scope of the short-term deferral modification program. These additional modifications comply with the provisions of section 4013 of the CARES Act and section 501 of the Act. As of March 31, 2021, the Company had 9 loans totaling approximately $46.1 million subject to these deferral and modification agreements, representing 2.06% of outstanding loans held for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modified as a TDR during the three-month period ended March 31, 2021 and the year ended December 31, 2020.</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4. GOODWILL AND INTANGIBLES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color w:val="auto"/>
              </w:rPr>
              <w:t>Goodwill and other intangible assets are summarized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goodwill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Arising from business combinations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Measurement period acquisition adjustment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Ending goodwill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19,508</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(1,670)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(1,396)</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Arising from business combinations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r>
      <w:tr>
        <w:trPr>
          <w:trHeight w:val="223"/>
        </w:trPr>
        <w:tc>
          <w:tcPr>
            <w:tcW w:w="1020" w:type="dxa"/>
            <w:vAlign w:val="bottom"/>
            <w:tcBorders>
              <w:top w:val="single" w:sz="8" w:color="CCEEFF"/>
            </w:tcBorders>
          </w:tcPr>
          <w:p>
            <w:pPr>
              <w:spacing w:after="0"/>
              <w:rPr>
                <w:sz w:val="19"/>
                <w:szCs w:val="19"/>
                <w:color w:val="auto"/>
              </w:rPr>
            </w:pPr>
          </w:p>
        </w:tc>
        <w:tc>
          <w:tcPr>
            <w:tcW w:w="76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Subordinated Debt Securities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expiration of the fixed rate periods, all securities will float at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2020, the Company issued $50.0 million in subordinated debt securities. Proceeds were reduced by approximately $926 thousand in debt issuance costs. The securities have a maturity date of September 2030 with a fixed rate of 4.50% for the first five years. After the expiration of the fixed rate period, the securities will reset quarterly at a variable rate equal to the then current three-month Secured Overnight Financing Rate, as published by the Federal Reserve Bank of New York, plus 438 basis points. These securities pay interest semi-annually, are unsecured, and may be called by the Company at any time after the remaining maturity is five years or less. Additionally, these securities qualify for Tier 2 capital treatment, subject to regulatory limitations.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the total amount of subordinated debt securities outstanding was $76.5 million less approximately $837 thousand of remaining debt issuance costs for a total balance of $75.6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Payable and Other Borrowings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2020, City Bank had three advances from the Federal Home Loan Bank of Dallas (“FHLB”) totaling $75.0 million. Advances are collateralized through the line of credit with FHLB with interest payable monthly and principal due at maturity. In March 2021, City Bank repaid two of the advances for a total of $50 million. There was one advance for $25.0 million outstanding as of March 31,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ectPr>
          <w:pgSz w:w="11900" w:h="16838" w:orient="portrait"/>
          <w:cols w:equalWidth="0" w:num="1">
            <w:col w:w="11240"/>
          </w:cols>
          <w:pgMar w:left="320" w:top="114"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each option award under the Plan is estimated on the date of grant using a closed form option valuation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Plan is presented in the table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9"/>
              </w:rPr>
              <w:t>Weighted-Average</w:t>
            </w:r>
          </w:p>
        </w:tc>
        <w:tc>
          <w:tcPr>
            <w:tcW w:w="20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Remaining Contractual</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Aggregate</w:t>
            </w:r>
          </w:p>
        </w:tc>
      </w:tr>
      <w:tr>
        <w:trPr>
          <w:trHeight w:val="241"/>
        </w:trPr>
        <w:tc>
          <w:tcPr>
            <w:tcW w:w="2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20"/>
                <w:szCs w:val="20"/>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Life in 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175"/>
        </w:trPr>
        <w:tc>
          <w:tcPr>
            <w:tcW w:w="5080" w:type="dxa"/>
            <w:vAlign w:val="bottom"/>
            <w:gridSpan w:val="2"/>
          </w:tcPr>
          <w:p>
            <w:pPr>
              <w:spacing w:after="0" w:line="176" w:lineRule="exact"/>
              <w:rPr>
                <w:sz w:val="20"/>
                <w:szCs w:val="20"/>
                <w:color w:val="auto"/>
              </w:rPr>
            </w:pPr>
            <w:r>
              <w:rPr>
                <w:rFonts w:ascii="Arial" w:cs="Arial" w:eastAsia="Arial" w:hAnsi="Arial"/>
                <w:sz w:val="18"/>
                <w:szCs w:val="18"/>
                <w:color w:val="auto"/>
              </w:rPr>
              <w:t>Three Months Ended March 31, 2021</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7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1,554,894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12,360</w:t>
            </w:r>
          </w:p>
        </w:tc>
      </w:tr>
      <w:tr>
        <w:trPr>
          <w:trHeight w:val="216"/>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214,452</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r>
      <w:tr>
        <w:trPr>
          <w:trHeight w:val="216"/>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1,767,989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13,050</w:t>
            </w:r>
          </w:p>
        </w:tc>
      </w:tr>
      <w:tr>
        <w:trPr>
          <w:trHeight w:val="210"/>
        </w:trPr>
        <w:tc>
          <w:tcPr>
            <w:tcW w:w="272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1,109,247</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10,656</w:t>
            </w:r>
          </w:p>
        </w:tc>
      </w:tr>
      <w:tr>
        <w:trPr>
          <w:trHeight w:val="210"/>
        </w:trPr>
        <w:tc>
          <w:tcPr>
            <w:tcW w:w="272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1,109,247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10,656</w:t>
            </w:r>
          </w:p>
        </w:tc>
      </w:tr>
      <w:tr>
        <w:trPr>
          <w:trHeight w:val="20"/>
        </w:trPr>
        <w:tc>
          <w:tcPr>
            <w:tcW w:w="27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53"/>
        </w:trPr>
        <w:tc>
          <w:tcPr>
            <w:tcW w:w="10000" w:type="dxa"/>
            <w:vAlign w:val="bottom"/>
            <w:gridSpan w:val="11"/>
          </w:tcPr>
          <w:p>
            <w:pPr>
              <w:spacing w:after="0"/>
              <w:rPr>
                <w:sz w:val="20"/>
                <w:szCs w:val="20"/>
                <w:color w:val="auto"/>
              </w:rPr>
            </w:pPr>
            <w:r>
              <w:rPr>
                <w:rFonts w:ascii="Arial" w:cs="Arial" w:eastAsia="Arial" w:hAnsi="Arial"/>
                <w:sz w:val="18"/>
                <w:szCs w:val="18"/>
                <w:color w:val="auto"/>
                <w:w w:val="98"/>
              </w:rPr>
              <w:t>A summary of assumptions used to calculate the fair values of the awards granted during the periods noted is presented below:</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7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 to 41.32%</w:t>
            </w:r>
          </w:p>
        </w:tc>
        <w:tc>
          <w:tcPr>
            <w:tcW w:w="30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27.46%</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ind w:left="128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 to 6.2 years</w:t>
            </w: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6.0 to 6.2 years</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300"/>
              <w:spacing w:after="0"/>
              <w:rPr>
                <w:sz w:val="20"/>
                <w:szCs w:val="20"/>
                <w:color w:val="auto"/>
              </w:rPr>
            </w:pPr>
            <w:r>
              <w:rPr>
                <w:rFonts w:ascii="Arial" w:cs="Arial" w:eastAsia="Arial" w:hAnsi="Arial"/>
                <w:sz w:val="18"/>
                <w:szCs w:val="18"/>
                <w:color w:val="auto"/>
              </w:rPr>
              <w:t>0.52% to 0.83%</w:t>
            </w: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7.07</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intrinsic value of options exercised during the three months ended March 31, 2021 and March 31, 2020 was $9 thousand and $4 thousand,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Plan is presented in the table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2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27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176"/>
        </w:trPr>
        <w:tc>
          <w:tcPr>
            <w:tcW w:w="8400" w:type="dxa"/>
            <w:vAlign w:val="bottom"/>
            <w:gridSpan w:val="2"/>
          </w:tcPr>
          <w:p>
            <w:pPr>
              <w:spacing w:after="0" w:line="176" w:lineRule="exact"/>
              <w:rPr>
                <w:sz w:val="20"/>
                <w:szCs w:val="20"/>
                <w:color w:val="auto"/>
              </w:rPr>
            </w:pPr>
            <w:r>
              <w:rPr>
                <w:rFonts w:ascii="Arial" w:cs="Arial" w:eastAsia="Arial" w:hAnsi="Arial"/>
                <w:sz w:val="18"/>
                <w:szCs w:val="18"/>
                <w:color w:val="auto"/>
              </w:rPr>
              <w:t>Three Months Ended March 31, 2021</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72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w:t>
            </w:r>
          </w:p>
        </w:tc>
      </w:tr>
      <w:tr>
        <w:trPr>
          <w:trHeight w:val="216"/>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6,370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r>
      <w:tr>
        <w:trPr>
          <w:trHeight w:val="216"/>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r>
      <w:tr>
        <w:trPr>
          <w:trHeight w:val="223"/>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72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Balance, March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44,041</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19.36</w:t>
            </w:r>
          </w:p>
        </w:tc>
      </w:tr>
      <w:tr>
        <w:trPr>
          <w:trHeight w:val="21"/>
        </w:trPr>
        <w:tc>
          <w:tcPr>
            <w:tcW w:w="2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Restricted stock units granted under the Plan typically vest over four years, but vesting periods may vary. Compensation expense for these grants will be recognized over the vesting period of the awards based on the fair value of the stock at the issue date.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unrecognized compensation cost for the awards outstanding under the Plan at March 31, 2021 was $4.0 million and will be recognized over a weighted average remaining period of 1.78 years. The total fair value of restricted stock units vested during each of the three months ended March 31, 2021 and March 31, 2020 was $489 thousand.</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Financial instruments with off-balance-sheet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party to financial instruments with off-balance-sheet risk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Financial instruments whose contract amounts represent credit risk outstanding follow:</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417,798</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8,819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10,481</w:t>
            </w:r>
          </w:p>
        </w:tc>
      </w:tr>
    </w:tbl>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is a defendant in legal actions arising from time to time in the ordinary course of business. Management believes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ultimate liability, if any, arising from these matters will not materially affect the Company’s consolidated financial statements.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FHLB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uses FHLB letters of credit to pledge to certain public deposits. The balance of these FHLB letters of credit was</w:t>
      </w:r>
      <w:r>
        <w:rPr>
          <w:rFonts w:ascii="Arial" w:cs="Arial" w:eastAsia="Arial" w:hAnsi="Arial"/>
          <w:sz w:val="18"/>
          <w:szCs w:val="18"/>
          <w:i w:val="1"/>
          <w:iCs w:val="1"/>
          <w:color w:val="auto"/>
        </w:rPr>
        <w:t xml:space="preserve"> </w:t>
      </w:r>
      <w:r>
        <w:rPr>
          <w:rFonts w:ascii="Arial" w:cs="Arial" w:eastAsia="Arial" w:hAnsi="Arial"/>
          <w:sz w:val="18"/>
          <w:szCs w:val="18"/>
          <w:color w:val="auto"/>
        </w:rPr>
        <w:t>$199.0 million at both March 31, 2021 and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 AND REGULATORY MATTERS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the Board of Governors of the Federal Reserve System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CET1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its bank subsidiary to maintain minimum amounts and ratios (set forth in the following table) of total, Tier 1 and CET1 capital (as defined in the regulations) to risk-weighted assets (as defined) and of Tier 1 capital (as defined) to average assets (as defined). Management believes, as of March 31, 2021 and December 31, 2020, that the Company and its bank subsidiary met all capital adequacy requirements to which they are subject.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2021, the bank subsidiary was well capitalized under the regulatory framework for prompt corrective action. To be categorized as well capitalized, an institution must maintain minimum total risk-based, Tier 1 risk-based, CET1 and Tier 1 leverage ratios as set forth in the following tables. There are no conditions or events since March 31, 2021 that management believes have changed the bank subsidiary’s category.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bank subsidiary’s actual capital amounts and ratios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To Be Well Capitalized</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Under Prompt Corrective</w:t>
            </w: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Fully Phased-In</w:t>
            </w:r>
          </w:p>
        </w:tc>
        <w:tc>
          <w:tcPr>
            <w:tcW w:w="160" w:type="dxa"/>
            <w:vAlign w:val="bottom"/>
          </w:tcPr>
          <w:p>
            <w:pPr>
              <w:spacing w:after="0"/>
              <w:rPr>
                <w:sz w:val="20"/>
                <w:szCs w:val="20"/>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Action Provisions</w:t>
            </w:r>
          </w:p>
        </w:tc>
      </w:tr>
      <w:tr>
        <w:trPr>
          <w:trHeight w:val="223"/>
        </w:trPr>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175"/>
        </w:trPr>
        <w:tc>
          <w:tcPr>
            <w:tcW w:w="11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1"/>
              </w:rPr>
              <w:t>March 31, 2021</w:t>
            </w:r>
          </w:p>
        </w:tc>
        <w:tc>
          <w:tcPr>
            <w:tcW w:w="2080" w:type="dxa"/>
            <w:vAlign w:val="bottom"/>
            <w:gridSpan w:val="2"/>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3240" w:type="dxa"/>
            <w:vAlign w:val="bottom"/>
            <w:gridSpan w:val="3"/>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488,339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266,458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408,927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16.12%</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266,391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253,706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380,816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215,704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377,048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215,650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202,965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gridSpan w:val="3"/>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335,816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177,639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377,048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177,594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164,909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380,816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148,206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377,048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102,960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183,826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324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473,425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260,531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404,138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260,481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14.78%</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210,906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210,866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198,462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321,639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173,688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173,654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144,347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144,282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178,999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utilizes interest rate and cash flow swap agreements as part of its asset-liability management strategy to help manage its interest rate and cash flow risk position. The notional amount of the interest rate and cash flow swaps do not represent amounts exchanged by the parties. The amount exchanged is determined by reference to the notional amounts and the other terms of the individual interest rate and cash flow swap agreements.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360" w:type="dxa"/>
            <w:vAlign w:val="bottom"/>
            <w:gridSpan w:val="5"/>
          </w:tcPr>
          <w:p>
            <w:pPr>
              <w:spacing w:after="0"/>
              <w:rPr>
                <w:sz w:val="20"/>
                <w:szCs w:val="20"/>
                <w:color w:val="auto"/>
              </w:rPr>
            </w:pPr>
            <w:r>
              <w:rPr>
                <w:rFonts w:ascii="Arial" w:cs="Arial" w:eastAsia="Arial" w:hAnsi="Arial"/>
                <w:sz w:val="18"/>
                <w:szCs w:val="18"/>
                <w:color w:val="auto"/>
                <w:w w:val="98"/>
              </w:rPr>
              <w:t>The following table reflects the fair value hedges included in the consolidated balance sheets: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4"/>
                <w:szCs w:val="24"/>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2020</w:t>
            </w:r>
          </w:p>
        </w:tc>
      </w:tr>
      <w:tr>
        <w:trPr>
          <w:trHeight w:val="198"/>
        </w:trPr>
        <w:tc>
          <w:tcPr>
            <w:tcW w:w="10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10,077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cash flow hedges included in the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2020</w:t>
            </w:r>
          </w:p>
        </w:tc>
      </w:tr>
      <w:tr>
        <w:trPr>
          <w:trHeight w:val="198"/>
        </w:trPr>
        <w:tc>
          <w:tcPr>
            <w:tcW w:w="21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2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flow swaps related to state and municipal securities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r>
      <w:tr>
        <w:trPr>
          <w:trHeight w:val="216"/>
        </w:trPr>
        <w:tc>
          <w:tcPr>
            <w:tcW w:w="2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Cash flow swaps related to state and municipal securities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123,760</w:t>
            </w:r>
          </w:p>
        </w:tc>
        <w:tc>
          <w:tcPr>
            <w:tcW w:w="26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55,275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r>
      <w:tr>
        <w:trPr>
          <w:trHeight w:val="404"/>
        </w:trPr>
        <w:tc>
          <w:tcPr>
            <w:tcW w:w="5980" w:type="dxa"/>
            <w:vAlign w:val="bottom"/>
            <w:gridSpan w:val="2"/>
          </w:tcPr>
          <w:p>
            <w:pPr>
              <w:spacing w:after="0"/>
              <w:rPr>
                <w:sz w:val="20"/>
                <w:szCs w:val="20"/>
                <w:color w:val="auto"/>
              </w:rPr>
            </w:pPr>
            <w:r>
              <w:rPr>
                <w:rFonts w:ascii="Arial" w:cs="Arial" w:eastAsia="Arial" w:hAnsi="Arial"/>
                <w:sz w:val="18"/>
                <w:szCs w:val="18"/>
                <w:color w:val="auto"/>
              </w:rPr>
              <w:t>Mortgage banking derivatives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67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860" w:type="dxa"/>
            <w:vAlign w:val="bottom"/>
            <w:gridSpan w:val="9"/>
          </w:tcPr>
          <w:p>
            <w:pPr>
              <w:spacing w:after="0"/>
              <w:rPr>
                <w:sz w:val="20"/>
                <w:szCs w:val="20"/>
                <w:color w:val="auto"/>
              </w:rPr>
            </w:pPr>
            <w:r>
              <w:rPr>
                <w:rFonts w:ascii="Arial" w:cs="Arial" w:eastAsia="Arial" w:hAnsi="Arial"/>
                <w:sz w:val="18"/>
                <w:szCs w:val="18"/>
                <w:color w:val="auto"/>
                <w:w w:val="91"/>
              </w:rPr>
              <w:t>The following table reflects the amount and fair value of mortgage banking derivatives in the consolidated balance sheets: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4"/>
                <w:szCs w:val="24"/>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2020</w:t>
            </w:r>
          </w:p>
        </w:tc>
      </w:tr>
      <w:tr>
        <w:trPr>
          <w:trHeight w:val="198"/>
        </w:trPr>
        <w:tc>
          <w:tcPr>
            <w:tcW w:w="21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2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Interest rate lock commitments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214,670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6,204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210,716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5,115</w:t>
            </w:r>
          </w:p>
        </w:tc>
      </w:tr>
      <w:tr>
        <w:trPr>
          <w:trHeight w:val="216"/>
        </w:trPr>
        <w:tc>
          <w:tcPr>
            <w:tcW w:w="21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Total included in other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214,670</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210,716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5,115</w:t>
            </w:r>
          </w:p>
        </w:tc>
      </w:tr>
      <w:tr>
        <w:trPr>
          <w:trHeight w:val="20"/>
        </w:trPr>
        <w:tc>
          <w:tcPr>
            <w:tcW w:w="2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203,669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Interest rate lock commitments</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Total included in other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202,497</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203,669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1,787</w:t>
            </w:r>
          </w:p>
        </w:tc>
      </w:tr>
      <w:tr>
        <w:trPr>
          <w:trHeight w:val="20"/>
        </w:trPr>
        <w:tc>
          <w:tcPr>
            <w:tcW w:w="2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had received cash collateral of $5.5 million to offset asset derivative positions on its securities cash flow hedges at March 31, 2021. This amount is reported in other liabilities in the consolidated balance sheets. The Company had advanced $1.1 million to offset liability positions on its interest rate swaps at March 31, 2021. Additionally, the Company had advanced $440 thousand on its mortgage forward contracts at March 31, 2021. The advanced cash collateral amounts are reported in other assets in the 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10. EARNINGS PER SHARE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The factors used in the earnings per share computation follow:</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18,069,186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18,043,105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awards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441,934</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18,511,120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18,461,922</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0.84</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r>
    </w:tbl>
    <w:p>
      <w:pPr>
        <w:spacing w:after="0" w:line="200" w:lineRule="exact"/>
        <w:rPr>
          <w:sz w:val="20"/>
          <w:szCs w:val="20"/>
          <w:color w:val="auto"/>
        </w:rPr>
      </w:pPr>
    </w:p>
    <w:p>
      <w:pPr>
        <w:sectPr>
          <w:pgSz w:w="11900" w:h="16838" w:orient="portrait"/>
          <w:cols w:equalWidth="0" w:num="1">
            <w:col w:w="11240"/>
          </w:cols>
          <w:pgMar w:left="320" w:top="114" w:right="339" w:bottom="682"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682"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3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11. SEGMENT INFORMATION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320" w:type="dxa"/>
            <w:vAlign w:val="bottom"/>
            <w:gridSpan w:val="3"/>
          </w:tcPr>
          <w:p>
            <w:pPr>
              <w:spacing w:after="0"/>
              <w:rPr>
                <w:sz w:val="20"/>
                <w:szCs w:val="20"/>
                <w:color w:val="auto"/>
              </w:rPr>
            </w:pPr>
            <w:r>
              <w:rPr>
                <w:rFonts w:ascii="Arial" w:cs="Arial" w:eastAsia="Arial" w:hAnsi="Arial"/>
                <w:sz w:val="18"/>
                <w:szCs w:val="18"/>
                <w:color w:val="auto"/>
              </w:rPr>
              <w:t>Financial results by reportable segment are detailed below:</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320" w:type="dxa"/>
            <w:vAlign w:val="bottom"/>
            <w:gridSpan w:val="3"/>
          </w:tcPr>
          <w:p>
            <w:pPr>
              <w:spacing w:after="0"/>
              <w:rPr>
                <w:sz w:val="20"/>
                <w:szCs w:val="20"/>
                <w:color w:val="auto"/>
              </w:rPr>
            </w:pPr>
            <w:r>
              <w:rPr>
                <w:rFonts w:ascii="Arial" w:cs="Arial" w:eastAsia="Arial" w:hAnsi="Arial"/>
                <w:sz w:val="18"/>
                <w:szCs w:val="18"/>
                <w:color w:val="auto"/>
              </w:rPr>
              <w:t>Three Months Ended March 31, 2021</w:t>
            </w:r>
          </w:p>
        </w:tc>
        <w:tc>
          <w:tcPr>
            <w:tcW w:w="18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1020" w:type="dxa"/>
            <w:vAlign w:val="bottom"/>
            <w:tcBorders>
              <w:top w:val="single" w:sz="8" w:color="auto"/>
            </w:tcBorders>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26,500</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(35,955)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(1,102)</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(37,057)</w:t>
            </w:r>
          </w:p>
        </w:tc>
      </w:tr>
      <w:tr>
        <w:trPr>
          <w:trHeight w:val="216"/>
        </w:trPr>
        <w:tc>
          <w:tcPr>
            <w:tcW w:w="10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18,898</w:t>
            </w:r>
          </w:p>
        </w:tc>
      </w:tr>
      <w:tr>
        <w:trPr>
          <w:trHeight w:val="216"/>
        </w:trPr>
        <w:tc>
          <w:tcPr>
            <w:tcW w:w="10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(3,741)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(3,738)</w:t>
            </w:r>
          </w:p>
        </w:tc>
      </w:tr>
      <w:tr>
        <w:trPr>
          <w:trHeight w:val="216"/>
        </w:trPr>
        <w:tc>
          <w:tcPr>
            <w:tcW w:w="10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15,176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15,160</w:t>
            </w:r>
          </w:p>
        </w:tc>
      </w:tr>
      <w:tr>
        <w:trPr>
          <w:trHeight w:val="20"/>
        </w:trPr>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Three Months Ended March 31, 2020</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2720" w:type="dxa"/>
            <w:vAlign w:val="bottom"/>
            <w:tcBorders>
              <w:top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(6,234)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(6,234)</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17,761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18,875</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(32,831)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(1,180)</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(34,011)</w:t>
            </w:r>
          </w:p>
        </w:tc>
      </w:tr>
      <w:tr>
        <w:trPr>
          <w:trHeight w:val="216"/>
        </w:trPr>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8,829</w:t>
            </w:r>
          </w:p>
        </w:tc>
      </w:tr>
      <w:tr>
        <w:trPr>
          <w:trHeight w:val="216"/>
        </w:trPr>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(1,758)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r>
      <w:tr>
        <w:trPr>
          <w:trHeight w:val="216"/>
        </w:trPr>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7,137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7,083</w:t>
            </w:r>
          </w:p>
        </w:tc>
      </w:tr>
      <w:tr>
        <w:trPr>
          <w:trHeight w:val="20"/>
        </w:trPr>
        <w:tc>
          <w:tcPr>
            <w:tcW w:w="2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DISCLOSURES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212" w:lineRule="exact"/>
        <w:rPr>
          <w:sz w:val="20"/>
          <w:szCs w:val="20"/>
          <w:color w:val="auto"/>
        </w:rPr>
      </w:pPr>
    </w:p>
    <w:p>
      <w:pPr>
        <w:ind w:left="860" w:hanging="488"/>
        <w:spacing w:after="0" w:line="258"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 w:lineRule="exact"/>
        <w:rPr>
          <w:rFonts w:ascii="Arial" w:cs="Arial" w:eastAsia="Arial" w:hAnsi="Arial"/>
          <w:sz w:val="18"/>
          <w:szCs w:val="18"/>
          <w:color w:val="auto"/>
        </w:rPr>
      </w:pPr>
    </w:p>
    <w:p>
      <w:pPr>
        <w:jc w:val="both"/>
        <w:ind w:left="860" w:hanging="488"/>
        <w:spacing w:after="0" w:line="281"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2" w:lineRule="exact"/>
        <w:rPr>
          <w:rFonts w:ascii="Arial" w:cs="Arial" w:eastAsia="Arial" w:hAnsi="Arial"/>
          <w:sz w:val="16"/>
          <w:szCs w:val="16"/>
          <w:color w:val="auto"/>
        </w:rPr>
      </w:pPr>
    </w:p>
    <w:p>
      <w:pPr>
        <w:ind w:left="860" w:hanging="488"/>
        <w:spacing w:after="0" w:line="260"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an entity’s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assets or liabilities.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496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5980" w:type="dxa"/>
            <w:vAlign w:val="bottom"/>
            <w:gridSpan w:val="4"/>
          </w:tcPr>
          <w:p>
            <w:pPr>
              <w:ind w:left="380"/>
              <w:spacing w:after="0"/>
              <w:rPr>
                <w:sz w:val="20"/>
                <w:szCs w:val="20"/>
                <w:color w:val="auto"/>
              </w:rPr>
            </w:pPr>
            <w:r>
              <w:rPr>
                <w:rFonts w:ascii="Arial" w:cs="Arial" w:eastAsia="Arial" w:hAnsi="Arial"/>
                <w:sz w:val="18"/>
                <w:szCs w:val="18"/>
                <w:color w:val="auto"/>
              </w:rPr>
              <w:t>The following table summarizes fair value measurements: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6"/>
        </w:trPr>
        <w:tc>
          <w:tcPr>
            <w:tcW w:w="11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91"/>
              </w:rPr>
              <w:t>March 31, 2021</w:t>
            </w:r>
          </w:p>
        </w:tc>
        <w:tc>
          <w:tcPr>
            <w:tcW w:w="4820" w:type="dxa"/>
            <w:vAlign w:val="bottom"/>
            <w:gridSpan w:val="2"/>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4"/>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268,787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268,787</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357,651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357,651</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106,628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106,628</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31,913</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12,229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12,229</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83,882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83,882</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13,558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13,558</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12,985</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(2,505)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(2,505)</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11,195</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Other real estate owned</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1,377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980" w:type="dxa"/>
            <w:vAlign w:val="bottom"/>
            <w:gridSpan w:val="4"/>
          </w:tcPr>
          <w:p>
            <w:pPr>
              <w:spacing w:after="0" w:line="176" w:lineRule="exact"/>
              <w:rPr>
                <w:sz w:val="20"/>
                <w:szCs w:val="20"/>
                <w:color w:val="auto"/>
              </w:rPr>
            </w:pPr>
            <w:r>
              <w:rPr>
                <w:rFonts w:ascii="Arial" w:cs="Arial" w:eastAsia="Arial" w:hAnsi="Arial"/>
                <w:sz w:val="18"/>
                <w:szCs w:val="18"/>
                <w:color w:val="auto"/>
              </w:rPr>
              <w:t>December 31, 2020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272,607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272,607</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373,362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373,362</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106,715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106,715</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33,572</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12,078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80,174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80,174</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9,049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9,049</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(4,357)</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11,926</w:t>
            </w:r>
          </w:p>
        </w:tc>
      </w:tr>
      <w:tr>
        <w:trPr>
          <w:trHeight w:val="230"/>
        </w:trPr>
        <w:tc>
          <w:tcPr>
            <w:tcW w:w="5980" w:type="dxa"/>
            <w:vAlign w:val="bottom"/>
            <w:gridSpan w:val="4"/>
          </w:tcPr>
          <w:p>
            <w:pPr>
              <w:spacing w:after="0"/>
              <w:rPr>
                <w:sz w:val="20"/>
                <w:szCs w:val="20"/>
                <w:color w:val="auto"/>
              </w:rPr>
            </w:pPr>
            <w:r>
              <w:rPr>
                <w:rFonts w:ascii="Arial" w:cs="Arial" w:eastAsia="Arial" w:hAnsi="Arial"/>
                <w:sz w:val="18"/>
                <w:szCs w:val="18"/>
                <w:color w:val="auto"/>
              </w:rPr>
              <w:t>Other real estate owned</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r>
    </w:tbl>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 Securities are carried at fair value. When available, fair value is based on quoted prices for the identical security in an active market and as such, would be classified as Level 1. If quoted market prices are not available, fair values are calculated based on market prices of similar securities using matrix pricing. Matrix pricing is a mathematical technique commonly used to price debt securities that are not actively traded. Securities for which Level 1 valuations are not available are classified as Level 2.</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held for sale (mandatory)</w:t>
      </w:r>
      <w:r>
        <w:rPr>
          <w:rFonts w:ascii="Arial" w:cs="Arial" w:eastAsia="Arial" w:hAnsi="Arial"/>
          <w:sz w:val="18"/>
          <w:szCs w:val="18"/>
          <w:color w:val="auto"/>
        </w:rPr>
        <w:t xml:space="preserve"> – Loans held for sale originated for mandatory delivery are reported at fair value. Fair value is determined using quoted prices for similar assets, adjusted for specific attributes of that loan.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 Mortgage servicing rights are reported at fair value. Fair value is based on market prices for comparable mortgage servicing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xml:space="preserve"> – Fair value of derivatives is based on valuation models using observable market data as of the measurement date.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Impaired loans</w:t>
      </w:r>
      <w:r>
        <w:rPr>
          <w:rFonts w:ascii="Arial" w:cs="Arial" w:eastAsia="Arial" w:hAnsi="Arial"/>
          <w:sz w:val="18"/>
          <w:szCs w:val="18"/>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Foreclosed assets</w:t>
      </w:r>
      <w:r>
        <w:rPr>
          <w:rFonts w:ascii="Arial" w:cs="Arial" w:eastAsia="Arial" w:hAnsi="Arial"/>
          <w:sz w:val="18"/>
          <w:szCs w:val="18"/>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Loans held for sale (best efforts)</w:t>
      </w:r>
      <w:r>
        <w:rPr>
          <w:rFonts w:ascii="Arial" w:cs="Arial" w:eastAsia="Arial" w:hAnsi="Arial"/>
          <w:sz w:val="18"/>
          <w:szCs w:val="18"/>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quantitative information about non-recurring Level 3 fair value measurements: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Fair</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200" w:type="dxa"/>
            <w:vAlign w:val="bottom"/>
          </w:tcPr>
          <w:p>
            <w:pPr>
              <w:spacing w:after="0"/>
              <w:rPr>
                <w:sz w:val="18"/>
                <w:szCs w:val="18"/>
                <w:color w:val="auto"/>
              </w:rPr>
            </w:pPr>
          </w:p>
        </w:tc>
        <w:tc>
          <w:tcPr>
            <w:tcW w:w="2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Unobservable</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Range of</w:t>
            </w: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5"/>
              </w:rPr>
              <w:t>Techniques</w:t>
            </w:r>
          </w:p>
        </w:tc>
        <w:tc>
          <w:tcPr>
            <w:tcW w:w="200" w:type="dxa"/>
            <w:vAlign w:val="bottom"/>
          </w:tcPr>
          <w:p>
            <w:pPr>
              <w:spacing w:after="0"/>
              <w:rPr>
                <w:sz w:val="20"/>
                <w:szCs w:val="20"/>
                <w:color w:val="auto"/>
              </w:rPr>
            </w:pPr>
          </w:p>
        </w:tc>
        <w:tc>
          <w:tcPr>
            <w:tcW w:w="2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Inputs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Discounts</w:t>
            </w:r>
          </w:p>
        </w:tc>
      </w:tr>
      <w:tr>
        <w:trPr>
          <w:trHeight w:val="176"/>
        </w:trPr>
        <w:tc>
          <w:tcPr>
            <w:tcW w:w="2760" w:type="dxa"/>
            <w:vAlign w:val="bottom"/>
            <w:gridSpan w:val="3"/>
          </w:tcPr>
          <w:p>
            <w:pPr>
              <w:spacing w:after="0" w:line="176" w:lineRule="exact"/>
              <w:rPr>
                <w:sz w:val="20"/>
                <w:szCs w:val="20"/>
                <w:color w:val="auto"/>
              </w:rPr>
            </w:pPr>
            <w:r>
              <w:rPr>
                <w:rFonts w:ascii="Arial" w:cs="Arial" w:eastAsia="Arial" w:hAnsi="Arial"/>
                <w:sz w:val="18"/>
                <w:szCs w:val="18"/>
                <w:color w:val="auto"/>
              </w:rPr>
              <w:t>March 31, 2021</w:t>
            </w:r>
          </w:p>
        </w:tc>
        <w:tc>
          <w:tcPr>
            <w:tcW w:w="8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11,195</w:t>
            </w:r>
          </w:p>
        </w:tc>
        <w:tc>
          <w:tcPr>
            <w:tcW w:w="5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3"/>
              </w:rPr>
              <w:t>Third party appraisals or inspections Collateral discounts and selling costs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1,377</w:t>
            </w:r>
          </w:p>
        </w:tc>
        <w:tc>
          <w:tcPr>
            <w:tcW w:w="5580" w:type="dxa"/>
            <w:vAlign w:val="bottom"/>
            <w:gridSpan w:val="5"/>
          </w:tcPr>
          <w:p>
            <w:pPr>
              <w:ind w:left="40"/>
              <w:spacing w:after="0"/>
              <w:rPr>
                <w:sz w:val="20"/>
                <w:szCs w:val="20"/>
                <w:color w:val="auto"/>
              </w:rPr>
            </w:pPr>
            <w:r>
              <w:rPr>
                <w:rFonts w:ascii="Arial" w:cs="Arial" w:eastAsia="Arial" w:hAnsi="Arial"/>
                <w:sz w:val="18"/>
                <w:szCs w:val="18"/>
                <w:color w:val="auto"/>
                <w:w w:val="93"/>
              </w:rPr>
              <w:t>Third party appraisals or inspections Collateral discounts and selling costs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13,558</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29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Conditional prepayment rate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20" w:type="dxa"/>
            <w:vAlign w:val="bottom"/>
            <w:gridSpan w:val="3"/>
          </w:tcPr>
          <w:p>
            <w:pPr>
              <w:ind w:left="60"/>
              <w:spacing w:after="0"/>
              <w:rPr>
                <w:sz w:val="20"/>
                <w:szCs w:val="20"/>
                <w:color w:val="auto"/>
              </w:rPr>
            </w:pPr>
            <w:r>
              <w:rPr>
                <w:rFonts w:ascii="Arial" w:cs="Arial" w:eastAsia="Arial" w:hAnsi="Arial"/>
                <w:sz w:val="18"/>
                <w:szCs w:val="18"/>
                <w:color w:val="auto"/>
              </w:rPr>
              <w:t>Discount rate</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276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2020</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11,926</w:t>
            </w:r>
          </w:p>
        </w:tc>
        <w:tc>
          <w:tcPr>
            <w:tcW w:w="5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3"/>
              </w:rPr>
              <w:t>Third party appraisals or inspections Collateral discounts and selling costs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1,353</w:t>
            </w:r>
          </w:p>
        </w:tc>
        <w:tc>
          <w:tcPr>
            <w:tcW w:w="5580" w:type="dxa"/>
            <w:vAlign w:val="bottom"/>
            <w:gridSpan w:val="5"/>
          </w:tcPr>
          <w:p>
            <w:pPr>
              <w:ind w:left="40"/>
              <w:spacing w:after="0"/>
              <w:rPr>
                <w:sz w:val="20"/>
                <w:szCs w:val="20"/>
                <w:color w:val="auto"/>
              </w:rPr>
            </w:pPr>
            <w:r>
              <w:rPr>
                <w:rFonts w:ascii="Arial" w:cs="Arial" w:eastAsia="Arial" w:hAnsi="Arial"/>
                <w:sz w:val="18"/>
                <w:szCs w:val="18"/>
                <w:color w:val="auto"/>
                <w:w w:val="93"/>
              </w:rPr>
              <w:t>Third party appraisals or inspections Collateral discounts and selling costs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9,049</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29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Conditional prepayment rate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r>
      <w:tr>
        <w:trPr>
          <w:trHeight w:val="230"/>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920" w:type="dxa"/>
            <w:vAlign w:val="bottom"/>
            <w:gridSpan w:val="3"/>
          </w:tcPr>
          <w:p>
            <w:pPr>
              <w:ind w:left="60"/>
              <w:spacing w:after="0"/>
              <w:rPr>
                <w:sz w:val="20"/>
                <w:szCs w:val="20"/>
                <w:color w:val="auto"/>
              </w:rPr>
            </w:pPr>
            <w:r>
              <w:rPr>
                <w:rFonts w:ascii="Arial" w:cs="Arial" w:eastAsia="Arial" w:hAnsi="Arial"/>
                <w:sz w:val="18"/>
                <w:szCs w:val="18"/>
                <w:color w:val="auto"/>
              </w:rPr>
              <w:t>Discount rate</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r>
      <w:tr>
        <w:trPr>
          <w:trHeight w:val="445"/>
        </w:trPr>
        <w:tc>
          <w:tcPr>
            <w:tcW w:w="10120" w:type="dxa"/>
            <w:vAlign w:val="bottom"/>
            <w:gridSpan w:val="12"/>
          </w:tcPr>
          <w:p>
            <w:pPr>
              <w:spacing w:after="0"/>
              <w:rPr>
                <w:sz w:val="20"/>
                <w:szCs w:val="20"/>
                <w:color w:val="auto"/>
              </w:rPr>
            </w:pPr>
            <w:r>
              <w:rPr>
                <w:rFonts w:ascii="Arial" w:cs="Arial" w:eastAsia="Arial" w:hAnsi="Arial"/>
                <w:sz w:val="18"/>
                <w:szCs w:val="18"/>
                <w:color w:val="auto"/>
              </w:rPr>
              <w:t>The estimated fair values, and related carrying amounts, of the Company’s financial instruments are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39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March 31, 2021</w:t>
            </w:r>
          </w:p>
        </w:tc>
        <w:tc>
          <w:tcPr>
            <w:tcW w:w="3460" w:type="dxa"/>
            <w:vAlign w:val="bottom"/>
            <w:gridSpan w:val="2"/>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413,406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413,406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413,406</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2,197,657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2,200,173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2,200,173</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11,277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11,277</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71,061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71,061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71,061</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3,155,632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2,974,868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183,282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3,158,150</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1,480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1,480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45,690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45,690</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75,635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77,799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77,799</w:t>
            </w:r>
          </w:p>
        </w:tc>
      </w:tr>
      <w:tr>
        <w:trPr>
          <w:trHeight w:val="441"/>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391"/>
        </w:trPr>
        <w:tc>
          <w:tcPr>
            <w:tcW w:w="4620" w:type="dxa"/>
            <w:vAlign w:val="bottom"/>
            <w:gridSpan w:val="3"/>
          </w:tcPr>
          <w:p>
            <w:pPr>
              <w:spacing w:after="0"/>
              <w:rPr>
                <w:sz w:val="20"/>
                <w:szCs w:val="20"/>
                <w:color w:val="auto"/>
              </w:rPr>
            </w:pPr>
            <w:r>
              <w:rPr>
                <w:rFonts w:ascii="Arial" w:cs="Arial" w:eastAsia="Arial" w:hAnsi="Arial"/>
                <w:sz w:val="18"/>
                <w:szCs w:val="18"/>
                <w:color w:val="auto"/>
              </w:rPr>
              <w:t>December 31, 2020</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Financial assets:</w:t>
            </w: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300,307</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2,176,030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2,179,573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2,179,573</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15,233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15,233</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70,731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70,731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70,731</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2,974,351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2,649,830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2,979,439</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2,113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45,690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45,690</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75,589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76,889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76,889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2020, Windmark acquired the operating assets of a crop insurance agency in Nebraska for $687 thousand. Fair value of the assets acquired in this transaction as of the closing date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Customer list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still evaluating the fair values of other assets and other liabilities, additional adjustments may be recorded during the measurement period, but no later than one year from the closing date of the transaction. The Company will reflect measurement period adjustments, if any, in the period in which the adjustments are recognized, which may result in further adjustments to the values presented in the above table. The Company expects to finalize these values by June 30, 2021.</w:t>
      </w:r>
    </w:p>
    <w:p>
      <w:pPr>
        <w:spacing w:after="0" w:line="2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Annual Report on Form 10-K for the year ended December 31, 2020 (the “2020 Annual Report on Form 10-K”) filed with the Securities and Exchange Commission (the “SEC”) pursuant to Rule 424(b) of the Securities Act of 1933, as amended (the “Securities Act”), on March 11, 2021.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autionary Notice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97" w:lineRule="exact"/>
        <w:rPr>
          <w:sz w:val="20"/>
          <w:szCs w:val="20"/>
          <w:color w:val="auto"/>
        </w:rPr>
      </w:pPr>
    </w:p>
    <w:p>
      <w:pPr>
        <w:jc w:val="both"/>
        <w:ind w:left="66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duration and severity of the ongoing COVID-19 pandemic, the response of governmental authorities to the COVID-19 pandemic and our participation in COVID-19-related government programs such as the Paycheck Protection Program (the “PPP”) administered by the Small Business Administration (the “SBA”) and created under the Coronavirus Aid, Relief, and Economic Security Act (the “CARES Act”);</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effectively execute our expansion strategy and manage our growth, including identifying and consummating suitable acquisitions;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business and economic conditions, particularly those affecting our market areas, as well as the concentration of our business in such market areas;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uncertain economic consequences of the ongoing COVID-19 pandemic or any deterioration in value of the general business assets that secure such loans;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associated with the sale of crop insurance products, including termination of or substantial changes to the federal crop insurance program;</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 for loan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 error, fraudulent activity by employees or customers and inaccurate or incomplete information about our customers and counterparties;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the ongoing COVID-19 pandemic), other international or domestic calamities, and other matters beyond our control;</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Biden administration.</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Form 10-Q and the risk factors set forth in our 2020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maintains an Internet web site at </w:t>
      </w:r>
      <w:r>
        <w:rPr>
          <w:rFonts w:ascii="Arial" w:cs="Arial" w:eastAsia="Arial" w:hAnsi="Arial"/>
          <w:sz w:val="18"/>
          <w:szCs w:val="18"/>
          <w:i w:val="1"/>
          <w:iCs w:val="1"/>
          <w:u w:val="single" w:color="auto"/>
          <w:color w:val="auto"/>
        </w:rPr>
        <w:t>www.spfi.bank</w:t>
      </w:r>
      <w:r>
        <w:rPr>
          <w:rFonts w:ascii="Arial" w:cs="Arial" w:eastAsia="Arial" w:hAnsi="Arial"/>
          <w:sz w:val="18"/>
          <w:szCs w:val="18"/>
          <w:color w:val="auto"/>
        </w:rPr>
        <w:t xml:space="preserve">. The Company makes available, free of charge, on its web site (under </w:t>
      </w:r>
      <w:r>
        <w:rPr>
          <w:rFonts w:ascii="Arial" w:cs="Arial" w:eastAsia="Arial" w:hAnsi="Arial"/>
          <w:sz w:val="18"/>
          <w:szCs w:val="18"/>
          <w:i w:val="1"/>
          <w:iCs w:val="1"/>
          <w:u w:val="single" w:color="auto"/>
          <w:color w:val="auto"/>
        </w:rPr>
        <w:t>www.spfi.bank/financials-filings/sec-filings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Company’s annual reports on Form 10-K, quarterly reports on Form 10-Q, current reports on Form 8-K,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Arial" w:cs="Arial" w:eastAsia="Arial" w:hAnsi="Arial"/>
          <w:sz w:val="18"/>
          <w:szCs w:val="18"/>
          <w:i w:val="1"/>
          <w:iCs w:val="1"/>
          <w:u w:val="single" w:color="auto"/>
          <w:color w:val="auto"/>
        </w:rPr>
        <w:t>www.spfi.bank/corporate-governance/documents-charters</w:t>
      </w:r>
      <w:r>
        <w:rPr>
          <w:rFonts w:ascii="Arial" w:cs="Arial" w:eastAsia="Arial" w:hAnsi="Arial"/>
          <w:sz w:val="18"/>
          <w:szCs w:val="18"/>
          <w:i w:val="1"/>
          <w:iCs w:val="1"/>
          <w:color w:val="auto"/>
        </w:rPr>
        <w:t xml:space="preserve"> </w:t>
      </w:r>
      <w:r>
        <w:rPr>
          <w:rFonts w:ascii="Arial" w:cs="Arial" w:eastAsia="Arial" w:hAnsi="Arial"/>
          <w:sz w:val="18"/>
          <w:szCs w:val="18"/>
          <w:color w:val="auto"/>
        </w:rPr>
        <w:t>) links to the Company’s Code of Conduct and the charters for its board committees.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routinely posts important information for investors on its web site (under </w:t>
      </w:r>
      <w:r>
        <w:rPr>
          <w:rFonts w:ascii="Arial" w:cs="Arial" w:eastAsia="Arial" w:hAnsi="Arial"/>
          <w:sz w:val="17"/>
          <w:szCs w:val="17"/>
          <w:i w:val="1"/>
          <w:iCs w:val="1"/>
          <w:u w:val="single" w:color="auto"/>
          <w:color w:val="auto"/>
        </w:rPr>
        <w:t>www.spfi.bank</w:t>
      </w:r>
      <w:r>
        <w:rPr>
          <w:rFonts w:ascii="Arial" w:cs="Arial" w:eastAsia="Arial" w:hAnsi="Arial"/>
          <w:sz w:val="17"/>
          <w:szCs w:val="17"/>
          <w:color w:val="auto"/>
        </w:rPr>
        <w:t xml:space="preserve"> and, more specifically, under the News &amp; Events tab at </w:t>
      </w:r>
      <w:r>
        <w:rPr>
          <w:rFonts w:ascii="Arial" w:cs="Arial" w:eastAsia="Arial" w:hAnsi="Arial"/>
          <w:sz w:val="17"/>
          <w:szCs w:val="17"/>
          <w:i w:val="1"/>
          <w:iCs w:val="1"/>
          <w:u w:val="single" w:color="auto"/>
          <w:color w:val="auto"/>
        </w:rPr>
        <w:t>www.spfi.bank/news-events/press-releases</w:t>
      </w:r>
      <w:r>
        <w:rPr>
          <w:rFonts w:ascii="Arial" w:cs="Arial" w:eastAsia="Arial" w:hAnsi="Arial"/>
          <w:sz w:val="17"/>
          <w:szCs w:val="17"/>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contained on, or that may be accessed through, the Company’s web site is not incorporated by reference into, and is not a part of,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We have additional banking operations in the Dallas, El Paso, Greater Houston, the Permian Basin, and College Station Texas markets, and the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 Update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spread of the novel coronavirus (“COVID-19”) continues to cause significant disruptions in the U.S. economy since it was declared a pandemic in March 2020 by the World Health Organization. The changes have impacted our clients, their industries, as well as the financial services industry. At this time, we cannot predict the impact or how long the economy or our impacted clients will be disrupted.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also continues to utilize a rigorous enterprise risk management (“ERM”) system that delivers a systematic approach to risk measurement and enhances the effectiveness of risk management across the Bank. The Bank’s ERM system has allowed management to consistently and aggressively review the Bank’s loan portfolio for signs of potential issues during the ongoing COVID-19 pandemic and the Bank continues to closely monitoring its loans to borrowers in the retail, hospitality and energy sectors.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the duration of the COVID-19 pandemic and the scope of its impact on the economy is uncertain, the Bank continues to be proactive with its borrowers in those sectors most affected by the COVID-19 pandemic and offering loan modifications to borrowers who are or may be unable to meet their contractual payment obligations because of the effects of COVID-19. As part of the Bank’s efforts to support its customers and protect the Bank, the Bank has offered varying forms of loan modifications including 90-day payment deferrals, 6-month interest only terms, or in certain select cases periods of longer than 6 months of interest only, to provide borrowers relief. As of March 31, 2021, total active loan modifications attributed to COVID-19 were approximately $47 million, or 2.1%, of the Company’s loan portfolio. The active modification breakdown is: 1% are 6 months interest only, 98% are interest only periods longer than 6 months, primarily in the Bank’s hotel portfolio, and 1% are payment deferrals of one to four months on consumer loans.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PPP was created by the CARES Act and implemented by the SBA in March 2020. The PPP allows entities to apply for a 1.00% interest rate loan with payments generally deferred until the date the lender receives the applicable forgiveness amount from the SBA. The PPP loans may be partially or fully forgiven by the SBA if the entity meets certain conditions. The maturity term for any principal portion left unforgiven is either 2 or 5 years from the funding date, depending on when the loan was originated. For PPP loans that the SBA approved on or after June 5, 2020, the loan must have a maturity of at least 5 years. All PPP loans are fully guaranteed by the SBA and are included in total loans outstanding. The Economic Aid Act, signed into law on December 27, 2020, authorized an additional $284.5 billion in new PPP loan funding and extends the authority of lenders to make PPP loans through March 31, 2021. The PPP Extension Act of 2021 was subsequently signed into law on March 30, 2021 and extended the PPP application deadline to May 31, 2021.</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assisted approximately 2,100 customers for a total of $218 million in the first round of PPP. The SBA began the PPP loan forgiveness process in October 2020 and had forgiven approximately $122 million of PPP loans from the first round of the PPP, leaving $96 million outstanding as of March 31, 2021. The Bank began accepting new applications for PPP loans in January 2021 to assist customers with the new round of the PPP. For the three months ended March 31, 2021, the Bank had funded approximately 800 PPP loans for a total of $78 million. An additional $12.1 million of PPP loans had been funded as of April 27, 2021.</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unable to fully assess or predict the extent of the effects of the COVID-19 pandemic on our operations as the ultimate impact will depend on factors that are currently unknown and/or beyond our control. Please refer to Part I, Item 1A, “Risk Factors” in this Report.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had net income of $15.2 million, or $0.82 per diluted common share, for the three months ended March 31, 2021, compared to net income of $7.1 million, or $0.38 per diluted common share for the three months ended March 31, 2020. Return on average equity was 16.51% and return on average assets was 1.66% for the three months ended March 31, 2021, compared to 9.00% and 0.89%, respectively, for the three months ended March 31, 2020. The increase in net income of $8.1 million was primarily the result of an increase of $7.6 million in noninterest income and decrease of $6.1 million in the provision for loan losses, partially offset by an increase of $3.0 million in noninterest expense and an increase of $2.0 million in 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Loans, excluding PPP</w:t>
            </w:r>
            <w:r>
              <w:rPr>
                <w:rFonts w:ascii="Arial" w:cs="Arial" w:eastAsia="Arial" w:hAnsi="Arial"/>
                <w:sz w:val="29"/>
                <w:szCs w:val="29"/>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2,163,114</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26,283</w:t>
            </w:r>
          </w:p>
        </w:tc>
        <w:tc>
          <w:tcPr>
            <w:tcW w:w="14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2,167,015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31,055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179,498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6.77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w:t>
            </w:r>
          </w:p>
        </w:tc>
        <w:tc>
          <w:tcPr>
            <w:tcW w:w="14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560,677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216,695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78,933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Other interest-earning assets </w:t>
            </w:r>
            <w:r>
              <w:rPr>
                <w:rFonts w:ascii="Arial" w:cs="Arial" w:eastAsia="Arial" w:hAnsi="Arial"/>
                <w:sz w:val="29"/>
                <w:szCs w:val="29"/>
                <w:color w:val="auto"/>
                <w:vertAlign w:val="superscript"/>
              </w:rPr>
              <w:t>(2)</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330,233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5"/>
              </w:rPr>
              <w:t>0.12</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151,133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3,435,534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33,294</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2,957,758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35,882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269,612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250,659</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3,705,146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3,208,417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1,807,963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0.25%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1,545,937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2,656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c>
          <w:tcPr>
            <w:tcW w:w="14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353,471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25,022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30,744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74,444</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4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96,209</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75,635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26,472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14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2,353,838</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2,099,226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765,637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43,604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27,152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372,359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316,402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liabilities and shareholders’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3,705,146</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3,208,417</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29,856</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30,344</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ind w:left="800"/>
              <w:spacing w:after="0"/>
              <w:rPr>
                <w:sz w:val="20"/>
                <w:szCs w:val="20"/>
                <w:color w:val="auto"/>
              </w:rPr>
            </w:pPr>
            <w:r>
              <w:rPr>
                <w:rFonts w:ascii="Arial" w:cs="Arial" w:eastAsia="Arial" w:hAnsi="Arial"/>
                <w:sz w:val="18"/>
                <w:szCs w:val="18"/>
                <w:color w:val="auto"/>
              </w:rPr>
              <w:t>3.34%</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Net interest margin</w:t>
            </w:r>
            <w:r>
              <w:rPr>
                <w:rFonts w:ascii="Arial" w:cs="Arial" w:eastAsia="Arial" w:hAnsi="Arial"/>
                <w:sz w:val="28"/>
                <w:szCs w:val="28"/>
                <w:color w:val="auto"/>
                <w:vertAlign w:val="superscript"/>
              </w:rPr>
              <w:t>(3)</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interest margin is calculated as the annualized net interest income, on a fully tax-equivalent basis, divided by average interest-earning assets.</w:t>
      </w:r>
    </w:p>
    <w:p>
      <w:pPr>
        <w:spacing w:after="0" w:line="2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9"/>
          </w:tcPr>
          <w:p>
            <w:pPr>
              <w:jc w:val="right"/>
              <w:ind w:right="7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3"/>
              </w:rPr>
              <w:t>2021 over 2020</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8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(4,182)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interest income for the three months ended March 31, 2021 was $29.5 million, compared to $30.2 million for the three months ended March 31, 2020, an decrease of $0.7 million, or 2.2%. The decrease in net interest income was comprised of a $2.8 million, or 7.7%, decrease in interest income and by a $2.1 million, or 37.9%, decrease in interest expense. The decrease in interest income was primarily attributable to a 83 basis point decrease in non-PPP loan rates for the three-month period ended March 31, 2021, compared to the three-month period ended March 31, 2020. The decrease in non-PPP loan rates was caused by the decline in the interest rate environment experienced in the first quarter of 2020 and its continued effects. Additionally, the interest rate on average loans held for sale declined approximately 125 basis points, given the overall decline in mortgage rates experienced during the last year, and there was an increase of $64.8 million in average loans held for sale during the three months ended March 31, 2021 as compared to the three months ended March 31, 2020. The decline in loan interest rates was partially offset by interest income on PPP loans and the related SBA fees. These fees are deferred and then accreted into interest income over the life of the applicable loans. During the three months ended March 31, 2021, the Company had $449 thousand in interest income on PPP loans and recognized $2.5 million in PPP related SBA fees. At March 31, 2021, there was $5.1 million of deferred fees that have not been accreted to income. The Company expects that the remaining first and second rounds of PPP loans will continue to be forgiven by the SBA over the next several quarters.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$2.1 million decrease in interest expense for the three months ended March 31, 2021 was primarily related to a 47 basis point decrease in the rate paid on interest-bearing liabilities, partially offset by an increase of $232.9 million, or 12.2%, in average interest-bearing liabilities over the same period in 2020. The increase in average interest-bearing liabilities from March 31, 2020 to March 31, 2021 was largely due to growth in deposits from PPP loan funding, other government stimulus payments and programs, organic growth and the $50.0 million of subordinated notes issued in September 2020. Additionally, the decrease in the rate paid on interest-bearing liabilities was the result of the decline in the overall rate environment experienced in the first quarter of 2020 and its continued effects. Additionally, average noninterest-bearing demand deposits increased to $935.3 million at March 31, 2021 from $765.6 million at March 31, 2020.</w:t>
      </w:r>
    </w:p>
    <w:p>
      <w:pPr>
        <w:spacing w:after="0" w:line="2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2021, net interest margin and net interest spread were 3.52% and 3.34%, respectively, compared to 4.13% and 3.82%, respectively, for the same period in 2020, which reflects the decreases in interest income and interest expense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provision for loan losses for the three months ended March 31, 2021 was $89 thousand, compared to $6.2 million for the three months ended March 31, 2020. The decrease in the provision for loan losses in the first quarter of 2021 compared to the same quarter in 2020 is primarily due to the general improvement in the economy, a decline in the amount of loans that are actively under a COVID-19 pandemic-related modification, and a decrease in outstanding non-PPP loan balances. The allowance for loan losses as a percentage of loans held for investment was 2.01% at March 31, 2021 and 2.05% at December 31, 2020. Further discussion of the allowance for loan losses is noted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components of our noninterest income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18,816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63"/>
        </w:trPr>
        <w:tc>
          <w:tcPr>
            <w:tcW w:w="7320" w:type="dxa"/>
            <w:vAlign w:val="bottom"/>
          </w:tcPr>
          <w:p>
            <w:pPr>
              <w:ind w:left="140"/>
              <w:spacing w:after="0" w:line="256" w:lineRule="exact"/>
              <w:rPr>
                <w:sz w:val="20"/>
                <w:szCs w:val="20"/>
                <w:color w:val="auto"/>
              </w:rPr>
            </w:pPr>
            <w:r>
              <w:rPr>
                <w:rFonts w:ascii="Arial" w:cs="Arial" w:eastAsia="Arial" w:hAnsi="Arial"/>
                <w:sz w:val="18"/>
                <w:szCs w:val="18"/>
                <w:color w:val="auto"/>
              </w:rPr>
              <w:t>Other income and fees</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income and fees includes the increase in the cash surrender value of life insurance, safe deposit box rental, check printing, collections, wire transfer and other miscellaneous services.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Noninterest income for the three months ended March 31, 2021 was $26.5 million, compared to $18.9 million for the three months ended March 31, 2020, an increase of $7.6 million, or 40.4%. Income from mortgage banking activities increased $10.1 million, or 115.0%, to $18.8 million for the three months ended March 31, 2021 from $8.8 million for the three months ended March 31, 2020. The increase in mortgage banking activities was primarily due to an increase of $220.2 million, or 101.9%, in mortgage loan originations for the three months ended March 31, 2021 compared to the same period for 2020. We experienced record volume in mortgage originations during 2020, primarily in last three quarters of the year, as the industry benefitted from historic low levels of interest rates. The increased mortgage activity continued during the first quarter of 2021. Refinance activity has also played a key role in this increase, which is expected to taper off in the middle of 2021 and then return to more historic levels. Additionally, there was a positive $1.3 million fair value adjustment to our mortgage servicing rights due to increased pricing for these assets as mortgage rates began to increase at toward the end of the first quarter of 2021. The increase in mortgage banking activities was partially offset with a decrease of $2.3 million in gain on sale of securities, which occurred in the first quarter of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components of our noninterest expense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24,318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Bankcard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63"/>
        </w:trPr>
        <w:tc>
          <w:tcPr>
            <w:tcW w:w="7320" w:type="dxa"/>
            <w:vAlign w:val="bottom"/>
          </w:tcPr>
          <w:p>
            <w:pPr>
              <w:ind w:left="140"/>
              <w:spacing w:after="0" w:line="256" w:lineRule="exact"/>
              <w:rPr>
                <w:sz w:val="20"/>
                <w:szCs w:val="20"/>
                <w:color w:val="auto"/>
              </w:rPr>
            </w:pPr>
            <w:r>
              <w:rPr>
                <w:rFonts w:ascii="Arial" w:cs="Arial" w:eastAsia="Arial" w:hAnsi="Arial"/>
                <w:sz w:val="18"/>
                <w:szCs w:val="18"/>
                <w:color w:val="auto"/>
              </w:rPr>
              <w:t>Other expenses</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4,249</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4,907</w:t>
            </w:r>
          </w:p>
        </w:tc>
        <w:tc>
          <w:tcPr>
            <w:tcW w:w="12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Noninterest expense for the three months ended March 31, 2021 was $37.1 million compared to $34.0 million for the three months ended March 31, 2020, an increase of $3.0 million, or 9.0%. Salaries and employee benefits increased $3.5 million, or 16.9%, from $20.8 million for the three months ended March 31, 2020 to $24.3 million for the three months ended March 31, 2021. This increase in salaries and employee benefits expense for the first quarter of 2021 compared to the first quarter of 2020 was primarily driven by increased commissions of $3.0 million paid on the higher volume of mortgage loan originations and a rise of $1.0 million in salary and other personnel expenses to support mortgage activities. Other noninterest expenses decreased $700 thousand for the three months ended March 31, 2021, compared to the same period in 2020. This decrease was primarily due to $331 thousand in data conversion expenses and $300 thousand in computer equipment purchased in connection with upgrading the equipment at branches acquired by the Company in November 2019 through the Company’s acquisition of West Texas State Bank as well as at existing branches incurred during the first quarter of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assets increased $133.7 million, or 3.7%, to $3.73 billion at March 31, 2021, compared to $3.60 billion at December 31, 2020. Our gross loans held for investment increased $21.1 million, or 0.9%, to $2.24 billion at March 31, 2021, compared to $2.22 billion at December 31, 2020. Our securities portfolio decreased $25.9 million, or 3.2%, to $777.2 million at March 31, 2021, compared to $803.1 million at December 31, 2020. Total deposits increased $181.3 million, or 6.1%, to $3.16 billion at March 31, 2021, compared to $2.97 billion at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and associated percentage of each major category in our gross loan portfolio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673,985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663,344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279,389</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311,686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531,303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518,309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362,571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360,315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219,977</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205,840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67,644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107,807</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94,494</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2,242,676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Allowance for loan losses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(45,019)</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(45,553)</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6"/>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2,197,657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2,176,030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held for investment increased $21.1 million, or 0.9%, to $2.24 billion at March 31, 2021, compared to $2.22 billion at December 31, 2020. This increase in our loans was primarily due to an increase of $10.8 million in commercial real estate loans, an increase of $9.9 million in restaurant and retail loans, a $13.3 million increase in residential construction loans, and a $14.2 million increase in consumer auto loans. These increases were partially offset with net repayments of $25.4 million in seasonal agricultural production loans in the first quarter of 2021.</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 is primarily involved in real estate, commercial, agricultural and consumer lending activities with customers throughout Texas and Eastern New Mexico. We have a collateral concentration, as 68.0% of our loans held for investment were secured by real property as of March 31, 2021, compared to 66.5% as of December 31, 2020.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Commercial Real Estate</w:t>
      </w:r>
      <w:r>
        <w:rPr>
          <w:rFonts w:ascii="Arial" w:cs="Arial" w:eastAsia="Arial" w:hAnsi="Arial"/>
          <w:sz w:val="16"/>
          <w:szCs w:val="16"/>
          <w:color w:val="auto"/>
        </w:rPr>
        <w:t>. Our commercial real estate portfolio includes loans for commercial property that is owned by real estate investors,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real estate loans increased $10.6 million, or 1.6%, to $674.0 million as of March 31, 2021 from $663.3 million as of December 31, 2020. The increase in commercial real estate loans during this period was mostly driven by organic loan growth and partially offset by a $7.0 million commercial construction and development credit that was completed during the quarter and re-categorized as a commercial specialized loan, as it is owner-occupied real estate.</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Commercial – General and Specialized</w:t>
      </w:r>
      <w:r>
        <w:rPr>
          <w:rFonts w:ascii="Arial" w:cs="Arial" w:eastAsia="Arial" w:hAnsi="Arial"/>
          <w:sz w:val="17"/>
          <w:szCs w:val="17"/>
          <w:color w:val="auto"/>
        </w:rPr>
        <w:t>. Commercial loans are underwritten after evaluating and understanding the borrower’s ability to operate profitably.</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and retail, construction, and other industries.</w:t>
      </w:r>
    </w:p>
    <w:p>
      <w:pPr>
        <w:sectPr>
          <w:pgSz w:w="11900" w:h="16838" w:orient="portrait"/>
          <w:cols w:equalWidth="0" w:num="1">
            <w:col w:w="11240"/>
          </w:cols>
          <w:pgMar w:left="320" w:top="121"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Commercial specialized loans decreased $32.3 million, or 10.4%, to $279.4 million as of March 31, 2021 from $311.7 million as of December 31, 2020. This decrease was primarily due to net repayments of $25.4 million in seasonal agricultural production loans as well as repayments on two financing customers’ revolving lines of credit totaling $3.5 million.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general loans increased $13.0 million, or 2.5%, to $531.3 million as of March 31, 2021 from $518.3 million as of December 31, 2020. The increase in commercial general loans was primarily due to a $7.0 million commercial construction and development credit that was completed during the quarter, as was noted above, in addition to organic loan growth.</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Consumer</w:t>
      </w:r>
      <w:r>
        <w:rPr>
          <w:rFonts w:ascii="Arial" w:cs="Arial" w:eastAsia="Arial" w:hAnsi="Arial"/>
          <w:sz w:val="17"/>
          <w:szCs w:val="17"/>
          <w:color w:val="auto"/>
        </w:rPr>
        <w:t>. We utilize a computer-based credit scoring analysis to supplement our policies and procedures in underwriting consumer loans. Our loan policy</w:t>
      </w:r>
      <w:r>
        <w:rPr>
          <w:rFonts w:ascii="Arial" w:cs="Arial" w:eastAsia="Arial" w:hAnsi="Arial"/>
          <w:sz w:val="17"/>
          <w:szCs w:val="17"/>
          <w:i w:val="1"/>
          <w:iCs w:val="1"/>
          <w:color w:val="auto"/>
        </w:rPr>
        <w:t xml:space="preserve"> </w:t>
      </w:r>
      <w:r>
        <w:rPr>
          <w:rFonts w:ascii="Arial" w:cs="Arial" w:eastAsia="Arial" w:hAnsi="Arial"/>
          <w:sz w:val="17"/>
          <w:szCs w:val="17"/>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Consumer and other loans increased $16.4 million, or 2.6%, to $650.2 million as of March 31, 2021 from $633.8 million as of December 31, 2020. The increase in these loans was primarily a result of a $14.1 million increase in auto loans as a result of increased auto demand and the current low interest rate environment. As of March 31, 2021, our consumer loan portfolio was comprised of $362.6 million in 1-4 family residential loans, $220.0 million in auto loans, and $67.6 million in other consumer loans.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Construction</w:t>
      </w:r>
      <w:r>
        <w:rPr>
          <w:rFonts w:ascii="Arial" w:cs="Arial" w:eastAsia="Arial" w:hAnsi="Arial"/>
          <w:sz w:val="17"/>
          <w:szCs w:val="17"/>
          <w:color w:val="auto"/>
        </w:rPr>
        <w:t>. Loans for residential construction are for single-family properties to developers, builders, or end-users. These loans are underwritten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Construction loans increased $13.3 million, or 14.1%, to $107.8 million as of March 31, 2021 from $94.5 million as of December 31, 2020. The increase resulted from continued higher demand for residential construction as a result of home shortages in many of our markets as the decline in mortgage interest rates has increased the number of buyers for homes.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212529"/>
        </w:rPr>
        <w:t>Paycheck Protection Program</w:t>
      </w:r>
      <w:r>
        <w:rPr>
          <w:rFonts w:ascii="Arial" w:cs="Arial" w:eastAsia="Arial" w:hAnsi="Arial"/>
          <w:sz w:val="17"/>
          <w:szCs w:val="17"/>
          <w:color w:val="212529"/>
        </w:rPr>
        <w:t>. At March 31, 2021, PPP loans totaled approximately $173.5 million and are included in commercial general loans.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internal and external loan reviews.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 thousand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loan losses was $45.0 million at March 31, 2021, compared to $45.6 million at December 31, 2020, a decrease of $535 thousand, or 1.2%. The decrease is a result of $623 thousand in net charge-offs, partially offset by $89 thousand in provision for loan losses taken in the first quarter of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36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380" w:type="dxa"/>
            <w:vAlign w:val="bottom"/>
            <w:gridSpan w:val="9"/>
          </w:tcPr>
          <w:p>
            <w:pPr>
              <w:spacing w:after="0"/>
              <w:rPr>
                <w:sz w:val="20"/>
                <w:szCs w:val="20"/>
                <w:color w:val="auto"/>
              </w:rPr>
            </w:pPr>
            <w:r>
              <w:rPr>
                <w:rFonts w:ascii="Arial" w:cs="Arial" w:eastAsia="Arial" w:hAnsi="Arial"/>
                <w:sz w:val="18"/>
                <w:szCs w:val="18"/>
                <w:color w:val="auto"/>
                <w:w w:val="97"/>
              </w:rPr>
              <w:t>The following table provides an analysis of the allowance for loan losses at the dates indicated.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3"/>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19,020</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45,553</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3"/>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2,218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charge-offs totaled $623 thousand and were 0.11% (annualized) of average loans outstanding for the three months ended March 31, 2021, compared to $1.4 million and 0.25% for the three months ended March 31, 2020. The decrease in net charge-offs in the first quarter of 2021 was primarily the result of a $518 thousand charge-off on a retail commercial relationship as well as two small commercial – general charge-offs during the first quarter of 2020. The allowance for loan losses as a percentage of loans held for investment was 2.01% at March 31, 2021 and 2.05% at December 31,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entire allowance for loan losses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5,458</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5,760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3,891</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4,226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r>
      <w:tr>
        <w:trPr>
          <w:trHeight w:val="23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45,553</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ectPr>
          <w:pgSz w:w="11900" w:h="16838" w:orient="portrait"/>
          <w:cols w:equalWidth="0" w:num="1">
            <w:col w:w="11240"/>
          </w:cols>
          <w:pgMar w:left="320" w:top="113"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allocation of our nonperforming assets among our different asset categories as of the dates indicated. Nonperforming loans include nonaccrual loans and loans past due 90 days or more.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Nonaccrual loans:</w:t>
            </w:r>
          </w:p>
        </w:tc>
        <w:tc>
          <w:tcPr>
            <w:tcW w:w="120" w:type="dxa"/>
            <w:vAlign w:val="bottom"/>
          </w:tcPr>
          <w:p>
            <w:pPr>
              <w:spacing w:after="0"/>
              <w:rPr>
                <w:sz w:val="20"/>
                <w:szCs w:val="20"/>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(Dollars in thousands)</w:t>
            </w: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nonaccrual loans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Past due loans 90 days or more and still accruing</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nonperforming loans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Other real estate owned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Restructured loans - nonaccrual</w:t>
            </w:r>
            <w:r>
              <w:rPr>
                <w:rFonts w:ascii="Arial" w:cs="Arial" w:eastAsia="Arial" w:hAnsi="Arial"/>
                <w:sz w:val="29"/>
                <w:szCs w:val="29"/>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Restructured loans - accruing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Restructured loans, nonaccrual, are included in nonaccrual loans which are a component of nonperforming loans.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no loans restructured as TDRs during the first three months of 2021 or 2020. TDRs are excluded from our nonperforming loans unless they otherwise meet the definition of nonaccrual loans or are past due 90 days or more.</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COVID-19 Industry Exposures. </w:t>
      </w:r>
      <w:r>
        <w:rPr>
          <w:rFonts w:ascii="Arial" w:cs="Arial" w:eastAsia="Arial" w:hAnsi="Arial"/>
          <w:sz w:val="18"/>
          <w:szCs w:val="18"/>
          <w:color w:val="auto"/>
        </w:rPr>
        <w:t>The Company’s COVID-19 industry exposures at March 31, 2021 were:</w:t>
      </w:r>
    </w:p>
    <w:p>
      <w:pPr>
        <w:spacing w:after="0" w:line="252" w:lineRule="exact"/>
        <w:rPr>
          <w:sz w:val="20"/>
          <w:szCs w:val="20"/>
          <w:color w:val="auto"/>
        </w:rPr>
      </w:pPr>
    </w:p>
    <w:p>
      <w:pPr>
        <w:jc w:val="both"/>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Restaurant and retail owner-occupied loans totaled $100.4 million (4.5% of total loans). The average loan size is $351 thousand. There was $1.8 million in classified loans, $4 thousand in loans past due 30 days or more, and $1.3 million in nonaccrual loans. The related allowance for loan losses to total restaurant and retail owner-occupied loans is 3.65%. As of March 31, 2021, three loans, or 0.5%, of these loans were active modifications as a result of the COVID-19 pandemic.</w:t>
      </w:r>
    </w:p>
    <w:p>
      <w:pPr>
        <w:spacing w:after="0" w:line="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Hospitality and assisted living center loans totaled $123.0 million (5.5% of total loans). The average loan size is $2.8 million. There was $52.7 million in classified loans, $2.8 million in loans past due 30 days or more, and $2.2 million in nonaccrual loans. The related allowance for loan losses to total hospitality and assisted living center loans is 8.76%. As of March 31, 2021, approximately 36% of these loans were active modifications as a result of the COVID-19 pandemic. All of these modifications were interest-only periods of 12 months or a combination of a 90-day deferral and nine months of interest only.</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Oil and Gas Exposures. </w:t>
      </w:r>
      <w:r>
        <w:rPr>
          <w:rFonts w:ascii="Arial" w:cs="Arial" w:eastAsia="Arial" w:hAnsi="Arial"/>
          <w:sz w:val="18"/>
          <w:szCs w:val="18"/>
          <w:color w:val="auto"/>
        </w:rPr>
        <w:t>The Company’s direct energy sector loans totaled $63.5 million (2.8% of total loans) at March 31, 2021. There was $7.7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loans, no loans past due 30 days or more, and $89 thousand in nonaccrual loans. Management has expanded the monitoring of the loans in this category. The related allowance for loan losses to direct energy loans is 5.20%. As of March 31, 2021, none of these loans were active modifications as a result of the COVID-19 pandemic.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Portfolio</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securities portfolio decreased $25.9 million, or 3.2%, to $777.2 million at March 31, 2021, compared to $803.1 million at December 31, 2020. The decrease was primarily due to a $18.5 million decline in the unrealized gain at March 31, 2021 as compared to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securities portfolio as of the dates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3"/>
              </w:rPr>
              <w:t>March 31, 2021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5"/>
              </w:rPr>
              <w:t>Amortized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Gain/(Loss)</w:t>
            </w: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Gain/(Loss)</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4,750</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268,787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261,023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272,607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357,651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359,542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106,628</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107,175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106,715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Asset-backed and other amortizing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30,566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31,913</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31,509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12,229</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12,078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777,208</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775,999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803,087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securities have fair values less than amortized cost and, therefore, contain unrealized losses. At March 31, 2021,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92"/>
              </w:rPr>
              <w:t>As of March 31, 2021</w:t>
            </w: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center"/>
              <w:ind w:right="460"/>
              <w:spacing w:after="0" w:line="198" w:lineRule="exact"/>
              <w:rPr>
                <w:sz w:val="20"/>
                <w:szCs w:val="20"/>
                <w:color w:val="auto"/>
              </w:rPr>
            </w:pPr>
            <w:r>
              <w:rPr>
                <w:rFonts w:ascii="Arial" w:cs="Arial" w:eastAsia="Arial" w:hAnsi="Arial"/>
                <w:sz w:val="18"/>
                <w:szCs w:val="18"/>
                <w:b w:val="1"/>
                <w:bCs w:val="1"/>
                <w:color w:val="auto"/>
                <w:w w:val="90"/>
              </w:rPr>
              <w:t>Due in One</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ind w:left="60"/>
              <w:spacing w:after="0" w:line="198" w:lineRule="exact"/>
              <w:rPr>
                <w:sz w:val="20"/>
                <w:szCs w:val="20"/>
                <w:color w:val="auto"/>
              </w:rPr>
            </w:pPr>
            <w:r>
              <w:rPr>
                <w:rFonts w:ascii="Arial" w:cs="Arial" w:eastAsia="Arial" w:hAnsi="Arial"/>
                <w:sz w:val="18"/>
                <w:szCs w:val="18"/>
                <w:b w:val="1"/>
                <w:bCs w:val="1"/>
                <w:color w:val="auto"/>
              </w:rPr>
              <w:t>Due after Five Years</w:t>
            </w:r>
          </w:p>
        </w:tc>
        <w:tc>
          <w:tcPr>
            <w:tcW w:w="180" w:type="dxa"/>
            <w:vAlign w:val="bottom"/>
          </w:tcPr>
          <w:p>
            <w:pPr>
              <w:spacing w:after="0"/>
              <w:rPr>
                <w:sz w:val="17"/>
                <w:szCs w:val="17"/>
                <w:color w:val="auto"/>
              </w:rPr>
            </w:pPr>
          </w:p>
        </w:tc>
        <w:tc>
          <w:tcPr>
            <w:tcW w:w="1820" w:type="dxa"/>
            <w:vAlign w:val="bottom"/>
            <w:gridSpan w:val="3"/>
          </w:tcPr>
          <w:p>
            <w:pPr>
              <w:ind w:left="46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Through Ten Years</w:t>
            </w:r>
          </w:p>
        </w:tc>
        <w:tc>
          <w:tcPr>
            <w:tcW w:w="180" w:type="dxa"/>
            <w:vAlign w:val="bottom"/>
          </w:tcPr>
          <w:p>
            <w:pPr>
              <w:spacing w:after="0"/>
              <w:rPr>
                <w:sz w:val="20"/>
                <w:szCs w:val="20"/>
                <w:color w:val="auto"/>
              </w:rPr>
            </w:pPr>
          </w:p>
        </w:tc>
        <w:tc>
          <w:tcPr>
            <w:tcW w:w="1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4,596</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14,284</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243,845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11,176</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343,304</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2"/>
        </w:trPr>
        <w:tc>
          <w:tcPr>
            <w:tcW w:w="2280" w:type="dxa"/>
            <w:vAlign w:val="bottom"/>
          </w:tcPr>
          <w:p>
            <w:pPr>
              <w:ind w:left="14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107,077</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29,746</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Other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38,280</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723,972</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1.89%</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88"/>
              </w:rPr>
              <w:t>As of December 31, 2020</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center"/>
              <w:ind w:right="460"/>
              <w:spacing w:after="0" w:line="198" w:lineRule="exact"/>
              <w:rPr>
                <w:sz w:val="20"/>
                <w:szCs w:val="20"/>
                <w:color w:val="auto"/>
              </w:rPr>
            </w:pPr>
            <w:r>
              <w:rPr>
                <w:rFonts w:ascii="Arial" w:cs="Arial" w:eastAsia="Arial" w:hAnsi="Arial"/>
                <w:sz w:val="18"/>
                <w:szCs w:val="18"/>
                <w:b w:val="1"/>
                <w:bCs w:val="1"/>
                <w:color w:val="auto"/>
                <w:w w:val="90"/>
              </w:rPr>
              <w:t>Due in One</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ind w:left="60"/>
              <w:spacing w:after="0" w:line="198" w:lineRule="exact"/>
              <w:rPr>
                <w:sz w:val="20"/>
                <w:szCs w:val="20"/>
                <w:color w:val="auto"/>
              </w:rPr>
            </w:pPr>
            <w:r>
              <w:rPr>
                <w:rFonts w:ascii="Arial" w:cs="Arial" w:eastAsia="Arial" w:hAnsi="Arial"/>
                <w:sz w:val="18"/>
                <w:szCs w:val="18"/>
                <w:b w:val="1"/>
                <w:bCs w:val="1"/>
                <w:color w:val="auto"/>
              </w:rPr>
              <w:t>Due after Five Years</w:t>
            </w:r>
          </w:p>
        </w:tc>
        <w:tc>
          <w:tcPr>
            <w:tcW w:w="180" w:type="dxa"/>
            <w:vAlign w:val="bottom"/>
          </w:tcPr>
          <w:p>
            <w:pPr>
              <w:spacing w:after="0"/>
              <w:rPr>
                <w:sz w:val="17"/>
                <w:szCs w:val="17"/>
                <w:color w:val="auto"/>
              </w:rPr>
            </w:pPr>
          </w:p>
        </w:tc>
        <w:tc>
          <w:tcPr>
            <w:tcW w:w="1820" w:type="dxa"/>
            <w:vAlign w:val="bottom"/>
            <w:gridSpan w:val="3"/>
          </w:tcPr>
          <w:p>
            <w:pPr>
              <w:ind w:left="46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Through Ten Years</w:t>
            </w:r>
          </w:p>
        </w:tc>
        <w:tc>
          <w:tcPr>
            <w:tcW w:w="180" w:type="dxa"/>
            <w:vAlign w:val="bottom"/>
          </w:tcPr>
          <w:p>
            <w:pPr>
              <w:spacing w:after="0"/>
              <w:rPr>
                <w:sz w:val="20"/>
                <w:szCs w:val="20"/>
                <w:color w:val="auto"/>
              </w:rPr>
            </w:pPr>
          </w:p>
        </w:tc>
        <w:tc>
          <w:tcPr>
            <w:tcW w:w="1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3,397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14,079</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241,565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12,723</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346,242</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2"/>
        </w:trPr>
        <w:tc>
          <w:tcPr>
            <w:tcW w:w="2280" w:type="dxa"/>
            <w:vAlign w:val="bottom"/>
          </w:tcPr>
          <w:p>
            <w:pPr>
              <w:ind w:left="14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107,175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30,689</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Other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39,622</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725,671</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1.90%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Total deposits at March 31, 2021 were $3.16 billion, representing an increase of $181.3 million, or 6.1%, compared to $2.97 billion at December 31, 2020. As of March 31, 2021, 30.5% of total deposits were comprised of noninterest-bearing demand accounts, 59.2% of interest-bearing non-maturity accounts and 10.3% of time deposits.</w:t>
      </w:r>
    </w:p>
    <w:p>
      <w:pPr>
        <w:sectPr>
          <w:pgSz w:w="11900" w:h="16838" w:orient="portrait"/>
          <w:cols w:equalWidth="0" w:num="1">
            <w:col w:w="11240"/>
          </w:cols>
          <w:pgMar w:left="320" w:top="122"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deposit mix as of the dates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Noninterest-bearing deposits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NOW and other transaction accounts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Money market and other savings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Time deposits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deposits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25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24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40" w:type="dxa"/>
            <w:vAlign w:val="bottom"/>
          </w:tcPr>
          <w:p>
            <w:pPr>
              <w:spacing w:after="0"/>
              <w:rPr>
                <w:sz w:val="19"/>
                <w:szCs w:val="19"/>
                <w:color w:val="auto"/>
              </w:rPr>
            </w:pPr>
          </w:p>
        </w:tc>
      </w:tr>
      <w:tr>
        <w:trPr>
          <w:trHeight w:val="202"/>
        </w:trPr>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5"/>
          </w:tcPr>
          <w:p>
            <w:pPr>
              <w:ind w:left="380"/>
              <w:spacing w:after="0" w:line="201" w:lineRule="exact"/>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962,205</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917,322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348,156</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332,829</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r>
      <w:tr>
        <w:trPr>
          <w:trHeight w:val="216"/>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1,520,943</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1,398,699</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r>
      <w:tr>
        <w:trPr>
          <w:trHeight w:val="237"/>
        </w:trPr>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324,328</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325,501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0"/>
                <w:szCs w:val="20"/>
                <w:color w:val="auto"/>
              </w:rPr>
            </w:pP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3,155,632</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2,974,351</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-736600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-462280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-170815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122"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remaining maturity of time deposits of $100 thousand and greater as of the date indicated: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83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Time deposits $100 thousand or greater with remaining maturity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Three months or 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three months through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After six months through twelve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twelve months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8" w:lineRule="exact"/>
        <w:rPr>
          <w:sz w:val="20"/>
          <w:szCs w:val="20"/>
          <w:color w:val="auto"/>
        </w:rPr>
      </w:pPr>
    </w:p>
    <w:p>
      <w:pPr>
        <w:ind w:left="620" w:hanging="615"/>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37,335</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29,927</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63,357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113,363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 w:lineRule="exact"/>
        <w:rPr>
          <w:sz w:val="20"/>
          <w:szCs w:val="20"/>
          <w:color w:val="auto"/>
        </w:rPr>
      </w:pPr>
    </w:p>
    <w:p>
      <w:pPr>
        <w:ind w:left="520" w:hanging="515"/>
        <w:spacing w:after="0"/>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243,982</w:t>
      </w:r>
    </w:p>
    <w:p>
      <w:pPr>
        <w:spacing w:after="0" w:line="735" w:lineRule="exact"/>
        <w:rPr>
          <w:sz w:val="20"/>
          <w:szCs w:val="20"/>
          <w:color w:val="auto"/>
        </w:rPr>
      </w:pPr>
    </w:p>
    <w:p>
      <w:pPr>
        <w:sectPr>
          <w:pgSz w:w="11900" w:h="16838" w:orient="portrait"/>
          <w:cols w:equalWidth="0" w:num="2">
            <w:col w:w="9300" w:space="720"/>
            <w:col w:w="1220"/>
          </w:cols>
          <w:pgMar w:left="320" w:top="122" w:right="3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deposits, we utilize advances from the FHLB and other borrowings as a supplementary funding source to finance our operations.</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both short and long-term, on a blanket floating lien status collateralized by first mortgage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real estate loans as well as FHLB stock. At March 31, 2021 and December 31, 2020, we had total remaining borrowing capacity from the FHLB of $826.8 million and $799.3 million,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The following table sets forth our FHLB borrowings as of and for the periods indicated:</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8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Pr>
          <w:p>
            <w:pPr>
              <w:spacing w:after="0"/>
              <w:rPr>
                <w:sz w:val="19"/>
                <w:szCs w:val="19"/>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(Dollars in thousands)</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0.76%</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74,444</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Federal Reserve Bank of Dallas</w:t>
      </w:r>
      <w:r>
        <w:rPr>
          <w:rFonts w:ascii="Arial" w:cs="Arial" w:eastAsia="Arial" w:hAnsi="Arial"/>
          <w:sz w:val="18"/>
          <w:szCs w:val="18"/>
          <w:color w:val="auto"/>
        </w:rPr>
        <w:t>. The Bank has a line of credit with the Federal Reserve Bank of Dallas (the “FRB”). The amount of the line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on a monthly basis by the FRB. The line is collateralized by a blanket floating lien on all agriculture, commercial and consumer loans. The amount of the line was $594.0 million and $700.8 million at March 31, 2021 and December 31, 2020,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The following table sets forth our FRB borrowings as of and for the periods indicated:</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8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26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86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Pr>
          <w:p>
            <w:pPr>
              <w:spacing w:after="0"/>
              <w:rPr>
                <w:sz w:val="19"/>
                <w:szCs w:val="19"/>
                <w:color w:val="auto"/>
              </w:rPr>
            </w:pPr>
          </w:p>
        </w:tc>
      </w:tr>
      <w:tr>
        <w:trPr>
          <w:trHeight w:val="216"/>
        </w:trPr>
        <w:tc>
          <w:tcPr>
            <w:tcW w:w="8600" w:type="dxa"/>
            <w:vAlign w:val="bottom"/>
          </w:tcPr>
          <w:p>
            <w:pPr>
              <w:spacing w:after="0"/>
              <w:rPr>
                <w:sz w:val="18"/>
                <w:szCs w:val="18"/>
                <w:color w:val="auto"/>
              </w:rPr>
            </w:pPr>
          </w:p>
        </w:tc>
        <w:tc>
          <w:tcPr>
            <w:tcW w:w="26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9"/>
              </w:rPr>
              <w:t>(Dollars in thousands)</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7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720" w:type="dxa"/>
            <w:vAlign w:val="bottom"/>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1,209</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Lines of Credit</w:t>
      </w:r>
      <w:r>
        <w:rPr>
          <w:rFonts w:ascii="Arial" w:cs="Arial" w:eastAsia="Arial" w:hAnsi="Arial"/>
          <w:sz w:val="18"/>
          <w:szCs w:val="18"/>
          <w:color w:val="auto"/>
        </w:rPr>
        <w:t>. The Bank has uncollateralized lines of credit with multiple banks as a source of funding for liquidity management. The total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lines was $165.0 million as of March 31, 2021 and December 31, 2020. The lines were not used during the three months ended March 31, 2021 or the three months ending March 31, 2020.</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Subordinated Debt Securities</w:t>
      </w:r>
      <w:r>
        <w:rPr>
          <w:rFonts w:ascii="Arial" w:cs="Arial" w:eastAsia="Arial" w:hAnsi="Arial"/>
          <w:sz w:val="17"/>
          <w:szCs w:val="17"/>
          <w:color w:val="auto"/>
        </w:rPr>
        <w:t>. In December 2018, the Company issued $26.5 million in subordinated debt securities. Securities totaling $12.4 million have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t>
      </w:r>
      <w:r>
        <w:rPr>
          <w:rFonts w:ascii="Arial" w:cs="Arial" w:eastAsia="Arial" w:hAnsi="Arial"/>
          <w:sz w:val="17"/>
          <w:szCs w:val="17"/>
          <w:i w:val="1"/>
          <w:iCs w:val="1"/>
          <w:color w:val="auto"/>
        </w:rPr>
        <w:t>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w:t>
      </w:r>
      <w:r>
        <w:rPr>
          <w:rFonts w:ascii="Arial" w:cs="Arial" w:eastAsia="Arial" w:hAnsi="Arial"/>
          <w:sz w:val="17"/>
          <w:szCs w:val="17"/>
          <w:color w:val="auto"/>
        </w:rPr>
        <w:t>prime rate, with a floor of 4.5% and a ceiling of 7.5%. These securities pay interest quarterly, are unsecured, and may be called by the Company at</w:t>
      </w:r>
      <w:r>
        <w:rPr>
          <w:rFonts w:ascii="Arial" w:cs="Arial" w:eastAsia="Arial" w:hAnsi="Arial"/>
          <w:sz w:val="17"/>
          <w:szCs w:val="17"/>
          <w:i w:val="1"/>
          <w:iCs w:val="1"/>
          <w:color w:val="auto"/>
        </w:rPr>
        <w:t xml:space="preserve"> </w:t>
      </w:r>
      <w:r>
        <w:rPr>
          <w:rFonts w:ascii="Arial" w:cs="Arial" w:eastAsia="Arial" w:hAnsi="Arial"/>
          <w:sz w:val="17"/>
          <w:szCs w:val="17"/>
          <w:color w:val="auto"/>
        </w:rPr>
        <w:t>any time after the remaining maturity is five years or less. Additionally, these securities qualify for tier 2 capital treatment, subject to regulatory limitations. The balance of subordinated debt securities as of March 31, 2021 and December 31, 2020 was $26.5 million.</w:t>
      </w:r>
    </w:p>
    <w:p>
      <w:pPr>
        <w:sectPr>
          <w:pgSz w:w="11900" w:h="16838" w:orient="portrait"/>
          <w:cols w:equalWidth="0" w:num="1">
            <w:col w:w="11240"/>
          </w:cols>
          <w:pgMar w:left="320" w:top="122"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2020, the Company issued $50.0 million in subordinated debt securities. Proceeds were reduced by approximately $926 thousand in debt issuance costs. The securities have a maturity date of September 2030 with a fixed rate of 4.50% for the first five years. After the expiration of the fixed rate period, the securities will reset quarterly at a variable rate equal to the then current three-month Secured Overnight Financing Rate, as published by the Federal Reserve Bank of New York, plus 438 basis points. These securities pay interest semi-annually, are unsecured, and may be called by the Company at any time after the remaining maturity is five years or less. Additionally, these securities qualify for Tier 2 capital treatment, subject to regulatory limitations.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the total amount of subordinated debt securities outstanding was $76.5 million less approximately $837 thousand of remaining debt issuance costs for a total balance of $75.6 million.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Junior Subordinated Deferrable Interest Debentures and Trust Preferred Securities</w:t>
      </w:r>
      <w:r>
        <w:rPr>
          <w:rFonts w:ascii="Arial" w:cs="Arial" w:eastAsia="Arial" w:hAnsi="Arial"/>
          <w:sz w:val="18"/>
          <w:szCs w:val="18"/>
          <w:color w:val="auto"/>
        </w:rPr>
        <w:t>. Between March 2004 and June 2007, the Company formed three</w:t>
      </w:r>
      <w:r>
        <w:rPr>
          <w:rFonts w:ascii="Arial" w:cs="Arial" w:eastAsia="Arial" w:hAnsi="Arial"/>
          <w:sz w:val="18"/>
          <w:szCs w:val="18"/>
          <w:i w:val="1"/>
          <w:iCs w:val="1"/>
          <w:color w:val="auto"/>
        </w:rPr>
        <w:t xml:space="preserve"> </w:t>
      </w:r>
      <w:r>
        <w:rPr>
          <w:rFonts w:ascii="Arial" w:cs="Arial" w:eastAsia="Arial" w:hAnsi="Arial"/>
          <w:sz w:val="18"/>
          <w:szCs w:val="18"/>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March 31, 2021 and December 31, 2020.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 below indicates certain information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Stated</w:t>
            </w:r>
          </w:p>
        </w:tc>
        <w:tc>
          <w:tcPr>
            <w:tcW w:w="2380" w:type="dxa"/>
            <w:vAlign w:val="bottom"/>
          </w:tcPr>
          <w:p>
            <w:pPr>
              <w:spacing w:after="0"/>
              <w:rPr>
                <w:sz w:val="18"/>
                <w:szCs w:val="18"/>
                <w:color w:val="auto"/>
              </w:rPr>
            </w:pPr>
          </w:p>
        </w:tc>
      </w:tr>
      <w:tr>
        <w:trPr>
          <w:trHeight w:val="221"/>
        </w:trPr>
        <w:tc>
          <w:tcPr>
            <w:tcW w:w="26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Amount of</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Maturity Date of</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Interest Rate of</w:t>
            </w:r>
          </w:p>
        </w:tc>
      </w:tr>
      <w:tr>
        <w:trPr>
          <w:trHeight w:val="216"/>
        </w:trPr>
        <w:tc>
          <w:tcPr>
            <w:tcW w:w="2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Trust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Trust Preferred</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Trust Preferred</w:t>
            </w:r>
          </w:p>
        </w:tc>
      </w:tr>
      <w:tr>
        <w:trPr>
          <w:trHeight w:val="216"/>
        </w:trPr>
        <w:tc>
          <w:tcPr>
            <w:tcW w:w="2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Preferred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 of</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Securities and</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Securities and</w:t>
            </w:r>
          </w:p>
        </w:tc>
      </w:tr>
      <w:tr>
        <w:trPr>
          <w:trHeight w:val="277"/>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Trust</w:t>
            </w:r>
          </w:p>
        </w:tc>
        <w:tc>
          <w:tcPr>
            <w:tcW w:w="2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6"/>
              </w:rPr>
              <w:t>Issue Date</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Debentures</w:t>
            </w:r>
          </w:p>
        </w:tc>
        <w:tc>
          <w:tcPr>
            <w:tcW w:w="220" w:type="dxa"/>
            <w:vAlign w:val="bottom"/>
          </w:tcPr>
          <w:p>
            <w:pPr>
              <w:spacing w:after="0"/>
              <w:rPr>
                <w:sz w:val="24"/>
                <w:szCs w:val="24"/>
                <w:color w:val="auto"/>
              </w:rPr>
            </w:pPr>
          </w:p>
        </w:tc>
        <w:tc>
          <w:tcPr>
            <w:tcW w:w="13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Debentures</w:t>
            </w:r>
            <w:r>
              <w:rPr>
                <w:rFonts w:ascii="Arial" w:cs="Arial" w:eastAsia="Arial" w:hAnsi="Arial"/>
                <w:sz w:val="29"/>
                <w:szCs w:val="29"/>
                <w:b w:val="1"/>
                <w:bCs w:val="1"/>
                <w:color w:val="auto"/>
                <w:w w:val="86"/>
                <w:vertAlign w:val="superscript"/>
              </w:rPr>
              <w:t>(1)</w:t>
            </w:r>
          </w:p>
        </w:tc>
        <w:tc>
          <w:tcPr>
            <w:tcW w:w="100" w:type="dxa"/>
            <w:vAlign w:val="bottom"/>
          </w:tcPr>
          <w:p>
            <w:pPr>
              <w:spacing w:after="0"/>
              <w:rPr>
                <w:sz w:val="24"/>
                <w:szCs w:val="24"/>
                <w:color w:val="auto"/>
              </w:rPr>
            </w:pPr>
          </w:p>
        </w:tc>
        <w:tc>
          <w:tcPr>
            <w:tcW w:w="238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Debentures</w:t>
            </w:r>
            <w:r>
              <w:rPr>
                <w:rFonts w:ascii="Arial" w:cs="Arial" w:eastAsia="Arial" w:hAnsi="Arial"/>
                <w:sz w:val="29"/>
                <w:szCs w:val="29"/>
                <w:b w:val="1"/>
                <w:bCs w:val="1"/>
                <w:color w:val="auto"/>
                <w:w w:val="83"/>
                <w:vertAlign w:val="superscript"/>
              </w:rPr>
              <w:t>(2)(3)</w:t>
            </w:r>
          </w:p>
        </w:tc>
      </w:tr>
      <w:tr>
        <w:trPr>
          <w:trHeight w:val="216"/>
        </w:trPr>
        <w:tc>
          <w:tcPr>
            <w:tcW w:w="2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40" w:type="dxa"/>
            <w:vAlign w:val="bottom"/>
            <w:gridSpan w:val="6"/>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380" w:type="dxa"/>
            <w:vAlign w:val="bottom"/>
          </w:tcPr>
          <w:p>
            <w:pPr>
              <w:spacing w:after="0"/>
              <w:rPr>
                <w:sz w:val="18"/>
                <w:szCs w:val="18"/>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 III</w:t>
            </w:r>
          </w:p>
        </w:tc>
        <w:tc>
          <w:tcPr>
            <w:tcW w:w="204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2004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10,310</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c>
          <w:tcPr>
            <w:tcW w:w="2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3-mo. LIBOR + 265 bps; 2.91%</w:t>
            </w: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rPr>
              <w:t>South Plains Financial Capital</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Trust IV</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89"/>
              </w:rPr>
              <w:t>2005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20,619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c>
          <w:tcPr>
            <w:tcW w:w="2380" w:type="dxa"/>
            <w:vAlign w:val="bottom"/>
          </w:tcPr>
          <w:p>
            <w:pPr>
              <w:ind w:left="60"/>
              <w:spacing w:after="0"/>
              <w:rPr>
                <w:sz w:val="20"/>
                <w:szCs w:val="20"/>
                <w:color w:val="auto"/>
              </w:rPr>
            </w:pPr>
            <w:r>
              <w:rPr>
                <w:rFonts w:ascii="Arial" w:cs="Arial" w:eastAsia="Arial" w:hAnsi="Arial"/>
                <w:sz w:val="18"/>
                <w:szCs w:val="18"/>
                <w:color w:val="auto"/>
                <w:w w:val="91"/>
              </w:rPr>
              <w:t>3-mo. LIBOR + 139 bps; 1.64%</w:t>
            </w: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 V</w:t>
            </w:r>
          </w:p>
        </w:tc>
        <w:tc>
          <w:tcPr>
            <w:tcW w:w="204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15,464</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c>
          <w:tcPr>
            <w:tcW w:w="2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3-mo. LIBOR + 150 bps; 1.75%</w:t>
            </w:r>
          </w:p>
        </w:tc>
      </w:tr>
      <w:tr>
        <w:trPr>
          <w:trHeight w:val="27"/>
        </w:trPr>
        <w:tc>
          <w:tcPr>
            <w:tcW w:w="26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 as of last reset date, prior to March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(the “ALCO Committee”), reviews this information to determine if the projected future net interest income levels would be acceptable. The Company attempts to stay within acceptable net interest income levels.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March 31, 2021, the Bank had the capacity to borrow additional funds from the FHLB of up to approximately $590.0 million and the capacity to borrow from the Federal Reserve discount window of approximately $594.0 million. The Federal Reserve has also lowered the primary credit rate to 0.25% and extended the term to 90 days to enhance liquidity and encourage use of the Federal Reserve discount window. In addition, the Company maintains overnight fed fund purchase arrangements with correspondent banks.</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 Management believes that these sources of liquidity will provide adequate funding and liquidity to address the economic uncertainties caused by the ongoing COVID-19 pandemic. However, during this period management is closely monitoring the Company’s potential liquidity needs, and if general economic conditions, the COVID-19 pandemic, or other events cause these sources of liquidity to become restricted or are eliminated, the Company may not be able to raise adequate funds or may incur substantially higher funding costs or operating restrictions in order to raise the necessary funds to support the Company’s operations and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Total shareholders’ equity increased to $374.7 million as of March 31, 2021, compared to $370.0 million as of December 31, 2020, an increase of $4.6 million, or 1.2%. The increase from December 31, 2020 was primarily the result of $15.2 million in net earnings for the three months ended March 31, 2021, partially offset by a decrease in accumulated other comprehensive income of $9.1 million, net of tax and $900 thousand of dividends paid.</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In July 2013, the Board of Governors of the Federal Reserve System published final rules for the adoption of the Basel</w:t>
      </w:r>
    </w:p>
    <w:p>
      <w:pPr>
        <w:spacing w:after="0" w:line="2" w:lineRule="exact"/>
        <w:rPr>
          <w:sz w:val="20"/>
          <w:szCs w:val="20"/>
          <w:color w:val="auto"/>
        </w:rPr>
      </w:pPr>
    </w:p>
    <w:p>
      <w:pPr>
        <w:jc w:val="both"/>
        <w:ind w:firstLine="8"/>
        <w:spacing w:after="0" w:line="252" w:lineRule="auto"/>
        <w:tabs>
          <w:tab w:leader="none" w:pos="2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capital framework (“Basel III”). Under the Basel III capital adequacy guidelines and the regulatory framework for “prompt corrective action,”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2021, both the Company and the Bank met all the capital adequacy requirements to which the Company and the Bank were subject. At March 31, 2021, the Bank was “well capitalized” under the regulatory framework for prompt corrective action. Management believes that no conditions or events have occurred since March 31, 2021 that would materially adversely change such capital classifications. From time to time, we may need to raise additional capital to support the Company’s and the Bank’s further growth and to maintain our “well capitalized” status.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and the Bank’s regulatory capital ratios as of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ind w:left="44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2420" w:type="dxa"/>
            <w:vAlign w:val="bottom"/>
            <w:gridSpan w:val="4"/>
          </w:tcPr>
          <w:p>
            <w:pPr>
              <w:ind w:left="32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South Plains Financial, Inc.</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488,339</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19.24%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473,425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19.08%</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380,816</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15.01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335,816</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321,639</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0"/>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380,816</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10.35</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404"/>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City Bank:</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408,927</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16.12%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404,138</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16.29%</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377,048</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14.86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377,048</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14.86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30"/>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377,048</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Bank Leverage Ratio</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However, Section 4012 of the CARES Act required that the CBLR be temporarily lowered to 8%. The federal regulators issued a rule implementing the lower CBLR effective April 23, 2020. The rule also established a two-quarter grace period for a qualifying institution whose leverage ratio falls below the 8% CBLR requirement so long as the bank maintains a leverage ratio of 7% or greater. Another rule was issued to transition back to the 9% CBLR by increasing the ratio to 8.5% for calendar year 2021 and 9% thereafter. Although the Company and the Bank are qualifying community banking organizations, the Company and the Bank have elected not to opt in to the CBLR framework at this time and will continue to follow the Basel III capital requirements as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repurchased stock in accordance with its stock repurchase program during 2021. See Part II, Item 2, “Unregistered Sales of Equity Securities and Use of Proceeds”, of this Form 10-Q for further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Because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table summarizes commitments we have made as of the dates presented.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417,798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10,481</w:t>
            </w:r>
          </w:p>
        </w:tc>
      </w:tr>
      <w:tr>
        <w:trPr>
          <w:trHeight w:val="256"/>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520,979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See “Borrowed Funds - FHLB Advances” herein for a discussion for amounts of letters of credit.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simulated change in net interest income over a 12-month horizon as of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9"/>
              </w:rPr>
              <w:t>2021</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198"/>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jc w:val="center"/>
              <w:ind w:left="490"/>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Percent Change in</w:t>
            </w:r>
          </w:p>
        </w:tc>
        <w:tc>
          <w:tcPr>
            <w:tcW w:w="100" w:type="dxa"/>
            <w:vAlign w:val="bottom"/>
          </w:tcPr>
          <w:p>
            <w:pPr>
              <w:spacing w:after="0"/>
              <w:rPr>
                <w:sz w:val="17"/>
                <w:szCs w:val="17"/>
                <w:color w:val="auto"/>
              </w:rPr>
            </w:pPr>
          </w:p>
        </w:tc>
      </w:tr>
      <w:tr>
        <w:trPr>
          <w:trHeight w:val="241"/>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Change in Interest Rates (Basis Points)</w:t>
            </w:r>
          </w:p>
        </w:tc>
        <w:tc>
          <w:tcPr>
            <w:tcW w:w="248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Net Interest Income</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Net Interest Income</w:t>
            </w:r>
          </w:p>
        </w:tc>
      </w:tr>
      <w:tr>
        <w:trPr>
          <w:trHeight w:val="216"/>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314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314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ectPr>
          <w:pgSz w:w="11900" w:h="16838" w:orient="portrait"/>
          <w:cols w:equalWidth="0" w:num="1">
            <w:col w:w="11240"/>
          </w:cols>
          <w:pgMar w:left="320" w:top="122"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March 31, 2021.</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Basis of Presentation and Consolidation. </w:t>
      </w:r>
      <w:r>
        <w:rPr>
          <w:rFonts w:ascii="Arial" w:cs="Arial" w:eastAsia="Arial" w:hAnsi="Arial"/>
          <w:sz w:val="18"/>
          <w:szCs w:val="18"/>
          <w:color w:val="auto"/>
        </w:rPr>
        <w:t>The consolidated financial statements include the accounts of the Company and its wholly owned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All significant intercompany balances and transactions have been eliminated in consolidation.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includes all cash on hand, balances due from other banks, and Federal funds sold, all of which have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within three months, as cash and cash equivalents.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Securities. </w:t>
      </w:r>
      <w:r>
        <w:rPr>
          <w:rFonts w:ascii="Arial" w:cs="Arial" w:eastAsia="Arial" w:hAnsi="Arial"/>
          <w:sz w:val="16"/>
          <w:szCs w:val="16"/>
          <w:color w:val="auto"/>
        </w:rPr>
        <w:t>Investment securities may be classified into trading, held-to-maturity, or available-for-sale portfolios. Securities that are held principally for</w:t>
      </w:r>
      <w:r>
        <w:rPr>
          <w:rFonts w:ascii="Arial" w:cs="Arial" w:eastAsia="Arial" w:hAnsi="Arial"/>
          <w:sz w:val="16"/>
          <w:szCs w:val="16"/>
          <w:i w:val="1"/>
          <w:iCs w:val="1"/>
          <w:color w:val="auto"/>
        </w:rPr>
        <w:t xml:space="preserve"> </w:t>
      </w:r>
      <w:r>
        <w:rPr>
          <w:rFonts w:ascii="Arial" w:cs="Arial" w:eastAsia="Arial" w:hAnsi="Arial"/>
          <w:sz w:val="16"/>
          <w:szCs w:val="16"/>
          <w:color w:val="auto"/>
        </w:rPr>
        <w:t>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Loans that management has the intent and ability to hold for the foreseeable future or until maturity or payoff are reported at their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allowance for loan losses is established as losses are estimated to have occurred through a provision for loan losses</w:t>
      </w:r>
      <w:r>
        <w:rPr>
          <w:rFonts w:ascii="Arial" w:cs="Arial" w:eastAsia="Arial" w:hAnsi="Arial"/>
          <w:sz w:val="16"/>
          <w:szCs w:val="16"/>
          <w:i w:val="1"/>
          <w:iCs w:val="1"/>
          <w:color w:val="auto"/>
        </w:rPr>
        <w:t xml:space="preserve"> </w:t>
      </w:r>
      <w:r>
        <w:rPr>
          <w:rFonts w:ascii="Arial" w:cs="Arial" w:eastAsia="Arial" w:hAnsi="Arial"/>
          <w:sz w:val="16"/>
          <w:szCs w:val="16"/>
          <w:color w:val="auto"/>
        </w:rPr>
        <w:t>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comprised of residential mortgage loans. Loans that are originated for best efforts delivery are carried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Summary of Significant Accounting Policies, in the notes to the consolidated financial statements included elsewhere in this Form 10-Q regarding the impact of new accounting pronouncements which we have adopted.</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that occurred during the three months ended March 31, 2021 that have materially affected, or are reasonably likely to materially affect, the Company’s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its subsidiaries are subject to various legal actions, as described in our Annual Report on Form 10-K for the year ended December 31, 2020 (the “2020 Annual Report on Form 10-K”) filed with the SEC on March 10, 2021. Except as described above or in our 2020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2020 Annual Report on Form 10-K. There have been no material changes in the risk factors disclosed by the Company in the 2020 Annual Report on Form 10-K.</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March 13, 2020, the Company approved a stock repurchase program pursuant to which the Company may, from time to time, purchase up to $10.0 million of its outstanding shares of common stock (the “Program”). The shares may be repurchased from time to time in privately negotiated transactions or the open market, including pursuant to Rule 10b5-1 trading plans, and in accordance with applicable regulations of the SEC. The timing and exact amount of any repurchases will depend on various factors including, the performance of the Company’s stock price, general market and other conditions, applicable legal requirements and other factors. The Program may be terminated or amended by the Company’s board of directors at any time prior to the expiration date. On April 16, 2020, the Company announced a temporary suspension of the Program in light of the uncertainties presented by the COVID-19 pandemic and surrounding events. However, as announced on November 2, 2020, the Company resumed the Program. While the Program originally had an expiration date of April 15, 2021, the Company’s board of directors extended the expiration of the Program to November 5, 2021, subject to certain limitations and conditions.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 repurchase activity for the three months ended March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 Dollar</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Purchased</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Pursuant to</w:t>
            </w:r>
          </w:p>
        </w:tc>
        <w:tc>
          <w:tcPr>
            <w:tcW w:w="2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Maximum Dollar Amount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Publicly-</w:t>
            </w:r>
          </w:p>
        </w:tc>
        <w:tc>
          <w:tcPr>
            <w:tcW w:w="2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Total Shares</w:t>
            </w:r>
          </w:p>
        </w:tc>
        <w:tc>
          <w:tcPr>
            <w:tcW w:w="12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Average Price</w:t>
            </w: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Announced</w:t>
            </w:r>
          </w:p>
        </w:tc>
        <w:tc>
          <w:tcPr>
            <w:tcW w:w="2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Repurchase Pursuant to</w:t>
            </w:r>
          </w:p>
        </w:tc>
        <w:tc>
          <w:tcPr>
            <w:tcW w:w="0" w:type="dxa"/>
            <w:vAlign w:val="bottom"/>
          </w:tcPr>
          <w:p>
            <w:pPr>
              <w:spacing w:after="0"/>
              <w:rPr>
                <w:sz w:val="1"/>
                <w:szCs w:val="1"/>
                <w:color w:val="auto"/>
              </w:rPr>
            </w:pPr>
          </w:p>
        </w:tc>
      </w:tr>
      <w:tr>
        <w:trPr>
          <w:trHeight w:val="241"/>
        </w:trPr>
        <w:tc>
          <w:tcPr>
            <w:tcW w:w="6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Repurchased</w:t>
            </w:r>
          </w:p>
        </w:tc>
        <w:tc>
          <w:tcPr>
            <w:tcW w:w="1480" w:type="dxa"/>
            <w:vAlign w:val="bottom"/>
            <w:gridSpan w:val="4"/>
          </w:tcPr>
          <w:p>
            <w:pPr>
              <w:ind w:left="120"/>
              <w:spacing w:after="0"/>
              <w:rPr>
                <w:sz w:val="20"/>
                <w:szCs w:val="20"/>
                <w:color w:val="auto"/>
              </w:rPr>
            </w:pPr>
            <w:r>
              <w:rPr>
                <w:rFonts w:ascii="Arial" w:cs="Arial" w:eastAsia="Arial" w:hAnsi="Arial"/>
                <w:sz w:val="18"/>
                <w:szCs w:val="18"/>
                <w:b w:val="1"/>
                <w:bCs w:val="1"/>
                <w:color w:val="auto"/>
              </w:rPr>
              <w:t>Paid Per Share</w:t>
            </w:r>
          </w:p>
        </w:tc>
        <w:tc>
          <w:tcPr>
            <w:tcW w:w="1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Plan</w:t>
            </w:r>
          </w:p>
        </w:tc>
        <w:tc>
          <w:tcPr>
            <w:tcW w:w="2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Publicly-Announced Plan</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January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293,703</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February 2021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30,840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907,015</w:t>
            </w:r>
          </w:p>
        </w:tc>
        <w:tc>
          <w:tcPr>
            <w:tcW w:w="6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9,092,985</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March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1,064,663</w:t>
            </w:r>
          </w:p>
        </w:tc>
        <w:tc>
          <w:tcPr>
            <w:tcW w:w="6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8,935,337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56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38,285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Defaults upon Senior Securities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0" w:type="dxa"/>
            <w:vAlign w:val="bottom"/>
            <w:vMerge w:val="continue"/>
          </w:tcPr>
          <w:p>
            <w:pPr>
              <w:spacing w:after="0"/>
              <w:rPr>
                <w:sz w:val="24"/>
                <w:szCs w:val="24"/>
                <w:color w:val="auto"/>
              </w:rPr>
            </w:pPr>
          </w:p>
        </w:tc>
        <w:tc>
          <w:tcPr>
            <w:tcW w:w="45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560" w:type="dxa"/>
            <w:vAlign w:val="bottom"/>
          </w:tcPr>
          <w:p>
            <w:pPr>
              <w:ind w:left="380"/>
              <w:spacing w:after="0"/>
              <w:rPr>
                <w:sz w:val="20"/>
                <w:szCs w:val="20"/>
                <w:color w:val="auto"/>
              </w:rPr>
            </w:pPr>
            <w:r>
              <w:rPr>
                <w:rFonts w:ascii="Arial" w:cs="Arial" w:eastAsia="Arial" w:hAnsi="Arial"/>
                <w:sz w:val="18"/>
                <w:szCs w:val="18"/>
                <w:b w:val="1"/>
                <w:bCs w:val="1"/>
                <w:color w:val="auto"/>
              </w:rPr>
              <w:t>Mine Safety Disclosures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560" w:type="dxa"/>
            <w:vAlign w:val="bottom"/>
          </w:tcPr>
          <w:p>
            <w:pPr>
              <w:ind w:left="38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None.</w:t>
            </w:r>
          </w:p>
        </w:tc>
        <w:tc>
          <w:tcPr>
            <w:tcW w:w="4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00" w:type="dxa"/>
            <w:vAlign w:val="bottom"/>
            <w:tcBorders>
              <w:bottom w:val="single" w:sz="8" w:color="auto"/>
            </w:tcBorders>
          </w:tcPr>
          <w:p>
            <w:pPr>
              <w:spacing w:after="0"/>
              <w:rPr>
                <w:sz w:val="5"/>
                <w:szCs w:val="5"/>
                <w:color w:val="auto"/>
              </w:rPr>
            </w:pPr>
          </w:p>
        </w:tc>
        <w:tc>
          <w:tcPr>
            <w:tcW w:w="4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240" w:type="dxa"/>
            <w:vAlign w:val="bottom"/>
          </w:tcPr>
          <w:p>
            <w:pPr>
              <w:spacing w:after="0"/>
              <w:rPr>
                <w:sz w:val="24"/>
                <w:szCs w:val="2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98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Amended and Restated Certificate of Formation of South Plains Financial, Inc. (incorporated by reference to Exhibit 3.1 to the</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Company’s Form S-1 filed with the SEC on April 12, 2019) (File No. 333-230851).</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Amended and Restated Bylaws of South Plains Financial, Inc. (incorporated by reference to Exhibit 3.2 to the Company’s Form S-1 filed</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with the SEC on April 12, 2019) (File No. 333-230851).</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202"/>
        </w:trPr>
        <w:tc>
          <w:tcPr>
            <w:tcW w:w="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The following material from South Plains Financial, Inc.’s Form 10-Q for the quarter ended March 31, 2021, formatted in XBRL</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(eXtensible  Business  Reporting  Language),  filed  herewith:  (i)  Consolidated  Balance  Sheets,  (ii)  Consolidated  Statements  of</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Comprehensive Income, (iii) Consolidated Statements of Changes in Stockholders’ Equity, (iv) Consolidated Statements of Cash Flows,</w:t>
            </w:r>
          </w:p>
        </w:tc>
      </w:tr>
      <w:tr>
        <w:trPr>
          <w:trHeight w:val="230"/>
        </w:trPr>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(v) Notes to Unaudited Consolidated Financial Statements.</w:t>
            </w:r>
          </w:p>
        </w:tc>
      </w:tr>
    </w:tbl>
    <w:p>
      <w:pPr>
        <w:spacing w:after="0" w:line="22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Filed with this Form 10-Q</w:t>
      </w:r>
    </w:p>
    <w:p>
      <w:pPr>
        <w:spacing w:after="0" w:line="25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222222"/>
        </w:rPr>
      </w:pPr>
      <w:r>
        <w:rPr>
          <w:rFonts w:ascii="Arial" w:cs="Arial" w:eastAsia="Arial" w:hAnsi="Arial"/>
          <w:sz w:val="18"/>
          <w:szCs w:val="18"/>
          <w:color w:val="222222"/>
        </w:rPr>
        <w:t>Furnished with this Form 10-Q</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680" w:val="left"/>
          <w:tab w:leader="none" w:pos="6220" w:val="left"/>
          <w:tab w:leader="none" w:pos="8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8886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17"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tabs>
          <w:tab w:leader="none" w:pos="680" w:val="left"/>
          <w:tab w:leader="none" w:pos="6220" w:val="left"/>
          <w:tab w:leader="none" w:pos="8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8886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17"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420" w:hanging="412"/>
        <w:spacing w:after="0" w:line="277"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March 31, 2021 (this “report”);</w:t>
      </w:r>
    </w:p>
    <w:p>
      <w:pPr>
        <w:spacing w:after="0" w:line="197"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40" w:val="left"/>
          <w:tab w:leader="none" w:pos="796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March 31, 2021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40" w:val="left"/>
          <w:tab w:leader="none" w:pos="790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March 31, 2021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Date: May 7, 2021</w:t>
            </w:r>
          </w:p>
        </w:tc>
        <w:tc>
          <w:tcPr>
            <w:tcW w:w="2600" w:type="dxa"/>
            <w:vAlign w:val="bottom"/>
          </w:tcPr>
          <w:p>
            <w:pPr>
              <w:ind w:left="22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Curtis C. Griffith</w:t>
            </w:r>
          </w:p>
        </w:tc>
      </w:tr>
      <w:tr>
        <w:trPr>
          <w:trHeight w:val="202"/>
        </w:trPr>
        <w:tc>
          <w:tcPr>
            <w:tcW w:w="3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March 31, 2021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Date: May 7, 2021</w:t>
            </w:r>
          </w:p>
        </w:tc>
        <w:tc>
          <w:tcPr>
            <w:tcW w:w="2600" w:type="dxa"/>
            <w:vAlign w:val="bottom"/>
          </w:tcPr>
          <w:p>
            <w:pPr>
              <w:ind w:left="22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2"/>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upperLetter"/>
      <w:start w:val="6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66" Type="http://schemas.openxmlformats.org/officeDocument/2006/relationships/hyperlink" Target="https://www.sec.gov/Archives/edgar/data/1163668/000114036119007042/s002614x4_ex3-1.htm" TargetMode="External"/><Relationship Id="rId67" Type="http://schemas.openxmlformats.org/officeDocument/2006/relationships/hyperlink" Target="https://www.sec.gov/Archives/edgar/data/1163668/000114036119007042/s002614x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2021-05-10T07:33:55Z</dcterms:created>
  <dcterms:modified xsi:type="dcterms:W3CDTF">2021-05-10T07:33:55Z</dcterms:modified>
</cp:coreProperties>
</file>