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July 22, 2022</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South Plains Financial,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80"/>
          </w:cols>
          <w:pgMar w:left="300" w:top="451" w:right="319" w:bottom="1440" w:gutter="0" w:footer="0" w:header="0"/>
        </w:sectPr>
      </w:pPr>
    </w:p>
    <w:p>
      <w:pPr>
        <w:spacing w:after="0" w:line="17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Texas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001-38895</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75-2453320</w:t>
      </w:r>
    </w:p>
    <w:p>
      <w:pPr>
        <w:spacing w:after="0" w:line="27" w:lineRule="exact"/>
        <w:rPr>
          <w:sz w:val="24"/>
          <w:szCs w:val="24"/>
          <w:color w:val="auto"/>
        </w:rPr>
      </w:pPr>
    </w:p>
    <w:p>
      <w:pPr>
        <w:sectPr>
          <w:pgSz w:w="11900" w:h="16838" w:orient="portrait"/>
          <w:cols w:equalWidth="0" w:num="3">
            <w:col w:w="4620" w:space="720"/>
            <w:col w:w="3020" w:space="720"/>
            <w:col w:w="2200"/>
          </w:cols>
          <w:pgMar w:left="300" w:top="451" w:right="31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89" w:lineRule="exact"/>
        <w:rPr>
          <w:sz w:val="24"/>
          <w:szCs w:val="24"/>
          <w:color w:val="auto"/>
        </w:rPr>
      </w:pPr>
    </w:p>
    <w:p>
      <w:pPr>
        <w:sectPr>
          <w:pgSz w:w="11900" w:h="16838" w:orient="portrait"/>
          <w:cols w:equalWidth="0" w:num="3">
            <w:col w:w="4140" w:space="720"/>
            <w:col w:w="2860" w:space="720"/>
            <w:col w:w="2840"/>
          </w:cols>
          <w:pgMar w:left="300" w:top="451" w:right="319" w:bottom="1440" w:gutter="0" w:footer="0" w:header="0"/>
          <w:type w:val="continuous"/>
        </w:sect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5219 City Bank Parkway</w:t>
      </w:r>
    </w:p>
    <w:p>
      <w:pPr>
        <w:spacing w:after="0" w:line="2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Lubbock, Texas</w:t>
      </w:r>
    </w:p>
    <w:p>
      <w:pPr>
        <w:spacing w:after="0" w:line="1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79407</w:t>
      </w:r>
    </w:p>
    <w:p>
      <w:pPr>
        <w:spacing w:after="0" w:line="2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color w:val="auto"/>
        </w:rPr>
        <w:t>(Zip Code)</w:t>
      </w:r>
    </w:p>
    <w:p>
      <w:pPr>
        <w:spacing w:after="0" w:line="181" w:lineRule="exact"/>
        <w:rPr>
          <w:sz w:val="24"/>
          <w:szCs w:val="24"/>
          <w:color w:val="auto"/>
        </w:rPr>
      </w:pPr>
    </w:p>
    <w:p>
      <w:pPr>
        <w:sectPr>
          <w:pgSz w:w="11900" w:h="16838" w:orient="portrait"/>
          <w:cols w:equalWidth="0" w:num="2">
            <w:col w:w="7500" w:space="720"/>
            <w:col w:w="3060"/>
          </w:cols>
          <w:pgMar w:left="300" w:top="451"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(806) 792-7101</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74"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93"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73" w:lineRule="exact"/>
        <w:rPr>
          <w:sz w:val="24"/>
          <w:szCs w:val="24"/>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ind w:left="92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0" w:lineRule="exact"/>
        <w:rPr>
          <w:sz w:val="24"/>
          <w:szCs w:val="24"/>
          <w:color w:val="auto"/>
        </w:rPr>
      </w:pPr>
    </w:p>
    <w:p>
      <w:pPr>
        <w:ind w:right="500"/>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161290</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236220</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352425</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51" w:right="319" w:bottom="1440" w:gutter="0" w:footer="0" w:header="0"/>
          <w:type w:val="continuous"/>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2.02</w:t>
        <w:tab/>
        <w:t>Results of Operations and Financial Condition.</w:t>
      </w:r>
    </w:p>
    <w:p>
      <w:pPr>
        <w:spacing w:after="0" w:line="201" w:lineRule="exact"/>
        <w:rPr>
          <w:sz w:val="20"/>
          <w:szCs w:val="20"/>
          <w:color w:val="auto"/>
        </w:rPr>
      </w:pPr>
    </w:p>
    <w:p>
      <w:pPr>
        <w:jc w:val="both"/>
        <w:ind w:firstLine="517"/>
        <w:spacing w:after="0" w:line="259" w:lineRule="auto"/>
        <w:rPr>
          <w:sz w:val="20"/>
          <w:szCs w:val="20"/>
          <w:color w:val="auto"/>
        </w:rPr>
      </w:pPr>
      <w:r>
        <w:rPr>
          <w:rFonts w:ascii="Times New Roman" w:cs="Times New Roman" w:eastAsia="Times New Roman" w:hAnsi="Times New Roman"/>
          <w:sz w:val="17"/>
          <w:szCs w:val="17"/>
          <w:color w:val="auto"/>
        </w:rPr>
        <w:t>On July 22, 2022, South Plains Financial, Inc. (the “Company”) issued a press release announcing its financial results for the second quarter ended June 30, 2022. A copy of the Company’s press release covering such announcement and certain other matters is furnished as Exhibit 99.1 to this Current Report on Form 8-K.</w:t>
      </w:r>
    </w:p>
    <w:p>
      <w:pPr>
        <w:spacing w:after="0" w:line="35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201"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On July 22, 2022, officers of the Company will have a conference call with respect to the Company’s financial results for the second quarter ended June 30, 2022. An earnings release slide presentation highlighting the Company’s financial results for the second quarter ended June 30, 2022 is furnished as Exhibit 99.2 to this Current Report on Form 8-K. This earnings release slide presentation will also be available on the Company’s website, www.spfi.bank, under the “News &amp; Events” section.</w:t>
      </w:r>
    </w:p>
    <w:p>
      <w:pPr>
        <w:spacing w:after="0" w:line="157"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In accordance with General Instruction B.2 of Form 8-K, the information in Items 2.02 and 7.01 of this Current Report on Form 8-K, including Exhibit 99.1 and Exhibit 99.2 hereto,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hereto, shall not be incorporated by reference into any filing or other document pursuant to the Exchange Act or the Securities Act of 1933, as amended, except as shall be expressly set forth by specific reference in such filing or document.</w:t>
      </w:r>
    </w:p>
    <w:p>
      <w:pPr>
        <w:spacing w:after="0" w:line="16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07" w:lineRule="exact"/>
        <w:rPr>
          <w:sz w:val="20"/>
          <w:szCs w:val="20"/>
          <w:color w:val="auto"/>
        </w:rPr>
      </w:pPr>
    </w:p>
    <w:p>
      <w:pPr>
        <w:ind w:left="1140" w:hanging="564"/>
        <w:spacing w:after="0"/>
        <w:tabs>
          <w:tab w:leader="none" w:pos="1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4"/>
          <w:szCs w:val="14"/>
          <w:u w:val="single" w:color="auto"/>
          <w:color w:val="0000EE"/>
        </w:rPr>
        <w:t>99.1</w:t>
      </w:r>
      <w:r>
        <w:rPr>
          <w:sz w:val="20"/>
          <w:szCs w:val="20"/>
          <w:color w:val="auto"/>
        </w:rPr>
        <w:tab/>
      </w:r>
      <w:r>
        <w:rPr>
          <w:rFonts w:ascii="Times New Roman" w:cs="Times New Roman" w:eastAsia="Times New Roman" w:hAnsi="Times New Roman"/>
          <w:sz w:val="14"/>
          <w:szCs w:val="14"/>
          <w:color w:val="auto"/>
        </w:rPr>
        <w:t>Press release, dated July 22, 2022, announcing second quarter 2022 financial results of South Plains Financial, Inc.</w:t>
      </w:r>
    </w:p>
    <w:p>
      <w:pPr>
        <w:spacing w:after="0" w:line="18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4"/>
          <w:szCs w:val="14"/>
          <w:u w:val="single" w:color="auto"/>
          <w:color w:val="0000EE"/>
        </w:rPr>
        <w:t>99.2</w:t>
      </w:r>
      <w:r>
        <w:rPr>
          <w:sz w:val="20"/>
          <w:szCs w:val="20"/>
          <w:color w:val="auto"/>
        </w:rPr>
        <w:tab/>
      </w:r>
      <w:r>
        <w:rPr>
          <w:rFonts w:ascii="Times New Roman" w:cs="Times New Roman" w:eastAsia="Times New Roman" w:hAnsi="Times New Roman"/>
          <w:sz w:val="14"/>
          <w:szCs w:val="14"/>
          <w:color w:val="auto"/>
        </w:rPr>
        <w:t>Earnings release slide presentation, dated July 22, 2022.</w:t>
      </w:r>
    </w:p>
    <w:p>
      <w:pPr>
        <w:spacing w:after="0" w:line="18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227965</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5"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4"/>
          <w:szCs w:val="14"/>
          <w:color w:val="auto"/>
        </w:rPr>
        <w:t>Dated: July 22, 2022</w:t>
      </w:r>
      <w:r>
        <w:rPr>
          <w:sz w:val="20"/>
          <w:szCs w:val="20"/>
          <w:color w:val="auto"/>
        </w:rPr>
        <w:tab/>
      </w:r>
      <w:r>
        <w:rPr>
          <w:rFonts w:ascii="Times New Roman" w:cs="Times New Roman" w:eastAsia="Times New Roman" w:hAnsi="Times New Roman"/>
          <w:sz w:val="14"/>
          <w:szCs w:val="14"/>
          <w:color w:val="auto"/>
        </w:rPr>
        <w:t>By:</w:t>
        <w:tab/>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16510</wp:posOffset>
            </wp:positionV>
            <wp:extent cx="336169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1690" cy="13970"/>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Steven B. Crockett</w:t>
      </w:r>
    </w:p>
    <w:p>
      <w:pPr>
        <w:spacing w:after="0" w:line="2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2671445"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144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Plains Financial, Inc. Reports Second Quarter 2022 Financial Results</w:t>
      </w:r>
    </w:p>
    <w:p>
      <w:pPr>
        <w:spacing w:after="0" w:line="20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LUBBOCK, Texas, July 22, 2022 (GLOBE NEWSWIRE) – South Plains Financial, Inc. (NASDAQ:SPFI) (“South Plains” or the “Company”), the parent company of City Bank (“City Bank” or the “Bank”), today reported its financial results for the quarter ended June 30,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Second Quarter 2022 Highlights</w:t>
      </w:r>
    </w:p>
    <w:p>
      <w:pPr>
        <w:spacing w:after="0" w:line="207" w:lineRule="exact"/>
        <w:rPr>
          <w:sz w:val="20"/>
          <w:szCs w:val="20"/>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second quarter of 2022 was $15.9 million, compared to $14.3 million for the first quarter of 2022 and $13.7 million for the second quarter of 2021.</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for the second quarter of 2022 was $0.88, compared to $0.78 for the first quarter of 2022 and $0.74 for the second quarter of 2021.</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deposits for the second quarter of 2022 was 27 basis points, compared to 23 basis points for the first quarter of 2022 and 27 basis points for the second quarter of 2021.</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record a provision for loan losses in the second quarter of 2022, compared to negative provisions for loan losses of $2.1 million for the first quarter of 2022 and $2.0 million for the second quarter of 2021.</w:t>
      </w: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held for investment grew $126.9 million, or 20.8% annualized, during the second quarter of 2022 as compared to March 31, 2022.</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assets to total assets were 0.20% at June 30, 2022, compared to 0.33% at March 31, 2022 and 0.37% at June 30, 2021.</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assets for the second quarter of 2022 was 1.61% annualized, compared to 1.47% annualized for the first quarter of 2022 and 1.46% annualized for the second quarter of 2021.</w:t>
      </w: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(non-GAAP) per share was $19.49 as of June 30, 2022, compared to $20.49 per share as of March 31, 2022 and $20.35 per share as of June 30, 2021.</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Curtis Griffith, South Plains’ Chairman and Chief Executive Officer, commented, “Our second quarter results are a clear validation of our strategy designed to grow our commercial lending team in our major markets of Dallas, Houston and El Paso as we strive to put our excess liquidity to work in higher yielding loans while deliberately managing the decline in our mortgage business as we focus on growing the earnings power of the Company. During the quarter, we grew our loan portfolio 20.8% annualized with strength coming from commercial real estate loans in our major markets. We continue to benefit from our newly-hired commercial lenders who are building their loan portfolios more quickly than anticipated combined with our existing team’s continued focus on organic growth. Importantly, we believe our mortgage banking revenues have largely bottomed. This represents a true inflection point in our business as the financial benefits of our strong second quarter loan growth will drive improved earnings power as we look to the second half of the year and which, we believe, is not currently reflected in our share price. Given our view that our shares are trading below intrinsic value, we increased the pace of our share repurchases in the second quarter having repurchased approximately 257,000 shares as compared to 106,000 shares in the first quarter of 2022.”</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Quarter Ended June 30,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Net interest income was $37.1 million for the second quarter of 2022, compared to $29.9 million for the first quarter of 2022 and $29.6 million for the second quarter of 2021. Net interest margin, calculated on a tax-equivalent basis, was 4.02% for the second quarter of 2022, compared to 3.33% for the first quarter of 2022 and 3.42% for the second quarter of 2021. The average yield on loans was 5.57% for the second quarter of 2022, compared to 4.80% for the first quarter of 2022 and 4.97% for the second quarter of 2021. The average cost of deposits was 27 basis points for the second quarter of 2022, which is 4 basis points higher than the first quarter of 2022 and consistent with the second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52" w:right="319" w:bottom="1440" w:gutter="0" w:footer="0" w:header="0"/>
        </w:sectPr>
      </w:pPr>
    </w:p>
    <w:bookmarkStart w:id="4" w:name="page5"/>
    <w:bookmarkEnd w:id="4"/>
    <w:p>
      <w:pPr>
        <w:jc w:val="both"/>
        <w:spacing w:after="0" w:line="260" w:lineRule="auto"/>
        <w:rPr>
          <w:sz w:val="20"/>
          <w:szCs w:val="20"/>
          <w:color w:val="auto"/>
        </w:rPr>
      </w:pPr>
      <w:r>
        <w:rPr>
          <w:rFonts w:ascii="Times New Roman" w:cs="Times New Roman" w:eastAsia="Times New Roman" w:hAnsi="Times New Roman"/>
          <w:sz w:val="14"/>
          <w:szCs w:val="14"/>
          <w:color w:val="auto"/>
        </w:rPr>
        <w:t>Interest income was $40.8 million for the second quarter of 2022, compared to $33.1 million for the first quarter of 2022 and $33.0 million for the second quarter of 2021. Interest income increased $7.7 million in the second quarter of 2022 from the first quarter of 2022, which was comprised of increases of $6.1 million in loan interest income and $1.6 million in interest income from securities and other interest-earning assets. The increase in loan interest income was primarily due to an increase of $66.7 million in average loans outstanding, the rising interest rate environment, and $4.4 million of interest income received related to four credits for the recovery of interest on previously charged-off credits, purchase discount principal recovery, and prepayment penalties during the second quarter of 2022. Interest and fees on Small Business Administration (“SBA”) Paycheck Protection Program (“PPP”) loans was $898 thousand during the second quarter of 2022. Excluding the $4.4 million of large loan recoveries and prepayment penalties, the yield on loans was 4.88% during the second quarter of 2022, an increase of 8 basis points from the first quarter of 2022, while net interest margin, on a tax-equivalent basis, was 3.54% during the second quarter of 2022, compared to 3.33% for the first quarter of 2022. The increase in interest income on securities and other interest-earning assets was primarily due to securities purchases and rising rates. Interest income increased $7.7 million in the second quarter of 2022 compared to the second quarter of 2021. This increase was primarily due to the large loan recoveries and prepayment penalties noted above and an increase of average non-PPP loans of $319.3 million, partially offset by a decrease of $1.4 million of PPP loan interest and fees. During the second quarter of 2022, the Company recognized $854 thousand in deferred PPP-related SBA fees. At June 30, 2022, the Company had $401 thousand of deferred PPP fees that have not been accreted to income, the majority of which are expected to be recognized as PPP loans continue to be forgiven by the SBA over the next several quarters.</w:t>
      </w:r>
    </w:p>
    <w:p>
      <w:pPr>
        <w:spacing w:after="0" w:line="34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Interest expense was $3.6 million for the second quarter of 2022, compared to $3.1 million for the first quarter of 2022 and $3.4 million for the second quarter of 2021. Interest expense increased $514 thousand compared to the first quarter of 2022 primarily as a result of rising interest rates on interest-bearing liabilities, with the increase being primarily comprised of interest expense on deposits. Interest expense increased $224 thousand compared to the second quarter of 2021, with interest rates paid on interest-bearing deposits remaining consistent.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Noninterest income was $18.8 million for the second quarter of 2022, compared to $23.7 million for the first quarter of 2022 and $22.3 million for the second quarter of 2021. The decrease from the first quarter of 2022 was primarily due to a decrease of $5.0 million in mortgage banking activities revenue. This decrease in mortgage banking revenues was mainly the result of the planned moderation of mortgage loan originations to more historical levels as mortgage loan originations declined $28.0 million, or 12%, partially offset by a $1.2 million positive fair value adjustment to the Company’s mortgage servicing rights portfolio. Additionally, there was increased income again during the second quarter of 2022 from an investment in a Small Business Investment Company (“SBIC”) of $940 thousand, consistent with $869 thousand in the first quarter of 2022. The decrease in noninterest income for the second quarter of 2022 as compared to the second quarter of 2021 was primarily due to a decline of $5.0 million in mortgage banking activities revenue. This decrease was partially offset by the growth in bank card services and interchange fees, income from insurance activities, and the increased SBIC income noted above.</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Noninterest expense was $36.0 million for the second quarter of 2022, compared to $37.9 million for the first quarter of 2022 and $36.8 million for the second quarter of 2021. The decrease from the first quarter of 2022 was primarily the result of a decrease of $1.3 million in mortgage commissions expense and related supporting personnel expense from the decline in mortgage loan originations, partially offset by higher costs for new hires in commercial lending and incentive-based compensation related to strong results during the quarter. Additionally, there was a decrease of $1.2 million in all other noninterest expenses, primarily from the decrease in non-personnel variable mortgage-based expenses and $362 thousand in loss on fixed asset disposals during the first quarter of 2022, partially offset by a $242 thousand increase in legal expenses. The decrease in noninterest expense for the second quarter of 2022 as compared to the second quarter of 2021 was primarily driven by lower mortgage commissions and other variable mortgage-based expenses due to the reduction in mortgage loan originations, partially offset by additional commercial lenders hired as part of a planned initiative, and an increase of $1.1 million in legal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Portfolio and Composition</w:t>
      </w:r>
    </w:p>
    <w:p>
      <w:pPr>
        <w:spacing w:after="0" w:line="2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Loans held for investment were $2.58 billion as of June 30, 2022, compared to $2.45 billion as of March 31, 2022 and $2.30 billion as of June 30, 2021. The $126.9 million, or 20.8% annualized, increase during the second quarter of 2022 as compared to the first quarter of 2022 was primarily the result of organic net loan growth of $148.2 million, partially offset by a decrease due to SBA forgiveness and repayments of $21.3 million in PPP loans during the second quarter of 2022. The organic loan growth remained relationship-focused and occurred primarily in commercial real estate loans, residential mortgage loans, and consumer auto loans. As of June 30, 2022, loans held for investment increased $277.0 million, or 12.0% year over year, from June 30, 2021, attributable to strong organic loan growth, partially offset by SBA forgiveness or repayments of $107.1 million on PPP loans.</w:t>
      </w:r>
    </w:p>
    <w:p>
      <w:pPr>
        <w:spacing w:after="0" w:line="16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Agricultural production loans were $88.8 million as of June 30, 2022, compared to $67.4 million as of March 31, 2022 and $96.2 million as of June 30, 2021. The increase of $21.4 million from the first quarter of 2022 is due to typical seasonal funding of these agricultural production loans.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 and Borrowings</w:t>
      </w:r>
    </w:p>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Deposits totaled $3.43 billion as of June 30, 2022, compared to $3.45 billion as of March 31, 2022 and $3.16 billion as of June 30, 2021. Deposits decreased by $24.3 million, or 2.8%, in the second quarter of 2022 from March 31, 2022, primarily as a result of large tax payments made during the quarter. As of June 30, 2022, deposits increased $267.3 million, or 8.5% year over year, from June 30, 2021. Noninterest-bearing deposits were $1.20 billion as of June 30, 2022, compared to $1.13 billion as of March 31, 2022 and $998.9 million as of June 30, 2021. Noninterest-bearing deposits represented 34.9% of total deposits as of June 30, 2022. The increase in deposits noted above is primarily a result of organic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2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did not record a provision for loan losses in the second quarter of 2022, compared to negative provisions for loan losses of $2.1 million in the first quarter of 2022 and $2.0 million for the second quarter of 2021. Overall, the Company continued to experience improving credit metrics in the loan portfolio during the second quarter of 2022, specifically in the hotel segment. The improving credit metrics, offset by the growth in the loan portfolio, resulted in no provision expense for the quarter. Additionally, subsequent to June 30, 2022, the Company experienced a full payoff of an approximately $10 million classified hotel credit. Nevertheless, there is continued uncertainty about future economic conditions due to the rising interest rate environment and persistent high inflation levels, and additional or reversal provisions for loan losses may be necessary in future periods.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allowance for loan losses to loans held for investment was 1.54% as of June 30, 2022, compared to 1.62% as of March 31, 2022 and 1.87% as of June 30, 2021.</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ratio of nonperforming assets to total assets as of June 30, 2022 was 0.20%, compared to 0.33% as of March 31, 2022 and 0.37% at June 30, 2021. Annualized net charge-offs were (0.02)% for the second quarter of 2022, compared to 0.06% for the first quarter of 2022 and 0.01% for the second quarter of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Book value per share decreased to $20.90 at June 30, 2022, compared to $21.90 at March 31, 2022. The decline was mainly driven by a $30.5 million dollar decrease in accumulated other comprehensive income (“AOCI”), partially offset by an increase of $14.0 million of net income after dividends paid. The decrease in AOCI was attributed to the decline in fair value of our available for sale securities and fair value hedges, net of tax, as a result of the rising interest rate environment.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South Plains will host a conference call to discuss its second quarter 2022 financial results today, July 22, 2022, at 11:00 a.m.,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cs="Times New Roman" w:eastAsia="Times New Roman" w:hAnsi="Times New Roman"/>
          <w:sz w:val="14"/>
          <w:szCs w:val="14"/>
          <w:u w:val="single" w:color="auto"/>
          <w:color w:val="auto"/>
        </w:rPr>
        <w:t>https://www.spfi.bank/news-events/events</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13730416. The replay will be available until August 5,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South Plains Financial, Inc.</w:t>
      </w:r>
    </w:p>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Times New Roman" w:cs="Times New Roman" w:eastAsia="Times New Roman" w:hAnsi="Times New Roman"/>
          <w:sz w:val="14"/>
          <w:szCs w:val="14"/>
          <w:u w:val="single" w:color="auto"/>
          <w:color w:val="auto"/>
        </w:rPr>
        <w:t>https://www.spfi.bank</w:t>
      </w:r>
      <w:r>
        <w:rPr>
          <w:rFonts w:ascii="Times New Roman" w:cs="Times New Roman" w:eastAsia="Times New Roman" w:hAnsi="Times New Roman"/>
          <w:sz w:val="14"/>
          <w:szCs w:val="14"/>
          <w:color w:val="auto"/>
        </w:rPr>
        <w:t xml:space="preserve"> for more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Common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non-GAAP financial measures to GAAP financial measures is provided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Company routinely posts important information for investors on its web site (under </w:t>
      </w:r>
      <w:r>
        <w:rPr>
          <w:rFonts w:ascii="Times New Roman" w:cs="Times New Roman" w:eastAsia="Times New Roman" w:hAnsi="Times New Roman"/>
          <w:sz w:val="14"/>
          <w:szCs w:val="14"/>
          <w:u w:val="single" w:color="auto"/>
          <w:color w:val="auto"/>
        </w:rPr>
        <w:t>www.spfi.bank</w:t>
      </w:r>
      <w:r>
        <w:rPr>
          <w:rFonts w:ascii="Times New Roman" w:cs="Times New Roman" w:eastAsia="Times New Roman" w:hAnsi="Times New Roman"/>
          <w:sz w:val="14"/>
          <w:szCs w:val="14"/>
          <w:color w:val="auto"/>
        </w:rPr>
        <w:t xml:space="preserve"> and, more specifically, under the News &amp; Events tab at </w:t>
      </w:r>
      <w:r>
        <w:rPr>
          <w:rFonts w:ascii="Times New Roman" w:cs="Times New Roman" w:eastAsia="Times New Roman" w:hAnsi="Times New Roman"/>
          <w:sz w:val="14"/>
          <w:szCs w:val="14"/>
          <w:u w:val="single" w:color="auto"/>
          <w:color w:val="auto"/>
        </w:rPr>
        <w:t>www.spfi.bank/news-events/press-releases</w:t>
      </w:r>
      <w:r>
        <w:rPr>
          <w:rFonts w:ascii="Times New Roman" w:cs="Times New Roman" w:eastAsia="Times New Roman" w:hAnsi="Times New Roman"/>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contained on, or that may be accessed through, the Company’s web site is not incorporated by reference into, and is not a part of, this document.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These forward-looking statements reflect South Plains’ current views with respect to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general economic conditions, the extent of the impact of the COVID-19 pandemic (and any current or future variants thereof) on our customers, changes in market interest rates, the persistence of the inflationary environment in the United States and our market areas, regulatory considerations, competition and market expansion opportunities, changes in non-interest expenditures or in the anticipated benefits of such expenditures,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and other documents South Plains files with the SEC from time to time. South Plains urges readers of this press release to review the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section of our most recent Annual Report on Form 10-K, as well as the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section of other documents South Plains files or furnishes with the SEC from time to time, which are available on the SEC’s website,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 All forward-looking statements, express or implied, included in the press release are qualified in their entirety by this cautionary statement.</w:t>
      </w:r>
    </w:p>
    <w:p>
      <w:pPr>
        <w:spacing w:after="0" w:line="350"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4"/>
          <w:szCs w:val="14"/>
          <w:color w:val="auto"/>
        </w:rPr>
        <w:t>Contact:</w:t>
      </w:r>
      <w:r>
        <w:rPr>
          <w:sz w:val="20"/>
          <w:szCs w:val="20"/>
          <w:color w:val="auto"/>
        </w:rPr>
        <w:tab/>
      </w:r>
      <w:r>
        <w:rPr>
          <w:rFonts w:ascii="Times New Roman" w:cs="Times New Roman" w:eastAsia="Times New Roman" w:hAnsi="Times New Roman"/>
          <w:sz w:val="14"/>
          <w:szCs w:val="14"/>
          <w:color w:val="auto"/>
        </w:rPr>
        <w:t>Mikella Newsom, Chief Risk Officer and Secretary</w:t>
      </w:r>
    </w:p>
    <w:p>
      <w:pPr>
        <w:spacing w:after="0" w:line="25" w:lineRule="exact"/>
        <w:rPr>
          <w:sz w:val="20"/>
          <w:szCs w:val="20"/>
          <w:color w:val="auto"/>
        </w:rPr>
      </w:pPr>
    </w:p>
    <w:p>
      <w:pPr>
        <w:ind w:left="1700" w:right="8400" w:firstLine="6"/>
        <w:spacing w:after="0" w:line="273" w:lineRule="auto"/>
        <w:tabs>
          <w:tab w:leader="none" w:pos="204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771-3347 </w:t>
      </w:r>
      <w:r>
        <w:rPr>
          <w:rFonts w:ascii="Times New Roman" w:cs="Times New Roman" w:eastAsia="Times New Roman" w:hAnsi="Times New Roman"/>
          <w:sz w:val="14"/>
          <w:szCs w:val="14"/>
          <w:u w:val="single" w:color="auto"/>
          <w:color w:val="auto"/>
        </w:rPr>
        <w:t>investors@city.bank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227965</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gridSpan w:val="9"/>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4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Income Statement Data:</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40,752</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33,080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34,600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34,438</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33,016</w:t>
            </w: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3,133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3,260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120" w:type="dxa"/>
            <w:vAlign w:val="bottom"/>
          </w:tcPr>
          <w:p>
            <w:pPr>
              <w:spacing w:after="0"/>
              <w:rPr>
                <w:sz w:val="14"/>
                <w:szCs w:val="14"/>
                <w:color w:val="auto"/>
              </w:rPr>
            </w:pP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37,105</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29,947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31,449</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31,178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29,593</w:t>
            </w: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loan losses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(2,007)</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18,835</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23,697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22,928</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25,791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22,250</w:t>
            </w: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36,003</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37,924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36,132</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38,063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36,778</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3,527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3,716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20" w:type="dxa"/>
            <w:vAlign w:val="bottom"/>
            <w:shd w:val="clear" w:color="auto" w:fill="CCEEFF"/>
          </w:tcPr>
          <w:p>
            <w:pPr>
              <w:spacing w:after="0"/>
              <w:rPr>
                <w:sz w:val="14"/>
                <w:szCs w:val="14"/>
                <w:color w:val="auto"/>
              </w:rPr>
            </w:pP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15,936</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14,278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14,614</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15,190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13,650</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Share Data (Common Stock):</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basic</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0.91</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0.81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0.85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0.76</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diluted</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0.88</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0.78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0.79</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0.74</w:t>
            </w: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declared and paid</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0.11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0.07</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 value</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21.90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22.34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20" w:type="dxa"/>
            <w:vAlign w:val="bottom"/>
            <w:shd w:val="clear" w:color="auto" w:fill="CCEEFF"/>
          </w:tcPr>
          <w:p>
            <w:pPr>
              <w:spacing w:after="0"/>
              <w:rPr>
                <w:sz w:val="14"/>
                <w:szCs w:val="14"/>
                <w:color w:val="auto"/>
              </w:rPr>
            </w:pP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(non-GAAP)</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20.49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20.90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120" w:type="dxa"/>
            <w:vAlign w:val="bottom"/>
          </w:tcPr>
          <w:p>
            <w:pPr>
              <w:spacing w:after="0"/>
              <w:rPr>
                <w:sz w:val="14"/>
                <w:szCs w:val="14"/>
                <w:color w:val="auto"/>
              </w:rPr>
            </w:pP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17,490,706</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17,716,136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17,777,542</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17,931,174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18,039,553</w:t>
            </w: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dilutive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18,020,548</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18,392,397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18,433,038</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18,463,697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18,553,050</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17,417,094</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17,673,407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17,760,243</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17,824,094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18,014,398</w:t>
            </w: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Period End Balance Sheet Data:</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375,690</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528,612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486,821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327,600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383,949</w:t>
            </w:r>
          </w:p>
        </w:tc>
        <w:tc>
          <w:tcPr>
            <w:tcW w:w="120" w:type="dxa"/>
            <w:vAlign w:val="bottom"/>
            <w:shd w:val="clear" w:color="auto" w:fill="CCEEFF"/>
          </w:tcPr>
          <w:p>
            <w:pPr>
              <w:spacing w:after="0"/>
              <w:rPr>
                <w:sz w:val="14"/>
                <w:szCs w:val="14"/>
                <w:color w:val="auto"/>
              </w:rPr>
            </w:pP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763,943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793,404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724,504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752,562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777,613</w:t>
            </w:r>
          </w:p>
        </w:tc>
        <w:tc>
          <w:tcPr>
            <w:tcW w:w="120" w:type="dxa"/>
            <w:vAlign w:val="bottom"/>
          </w:tcPr>
          <w:p>
            <w:pPr>
              <w:spacing w:after="0"/>
              <w:rPr>
                <w:sz w:val="14"/>
                <w:szCs w:val="14"/>
                <w:color w:val="auto"/>
              </w:rPr>
            </w:pP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2,580,493</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2,453,631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2,437,577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2,429,041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2,303,462</w:t>
            </w:r>
          </w:p>
        </w:tc>
        <w:tc>
          <w:tcPr>
            <w:tcW w:w="120" w:type="dxa"/>
            <w:vAlign w:val="bottom"/>
            <w:shd w:val="clear" w:color="auto" w:fill="CCEEFF"/>
          </w:tcPr>
          <w:p>
            <w:pPr>
              <w:spacing w:after="0"/>
              <w:rPr>
                <w:sz w:val="14"/>
                <w:szCs w:val="14"/>
                <w:color w:val="auto"/>
              </w:rPr>
            </w:pP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loan losses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39,785</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39,649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42,098</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42,768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42,963</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3,974,772</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3,999,744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3,901,855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3,774,175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3,712,915</w:t>
            </w:r>
          </w:p>
        </w:tc>
        <w:tc>
          <w:tcPr>
            <w:tcW w:w="120" w:type="dxa"/>
            <w:vAlign w:val="bottom"/>
            <w:shd w:val="clear" w:color="auto" w:fill="CCEEFF"/>
          </w:tcPr>
          <w:p>
            <w:pPr>
              <w:spacing w:after="0"/>
              <w:rPr>
                <w:sz w:val="14"/>
                <w:szCs w:val="14"/>
                <w:color w:val="auto"/>
              </w:rPr>
            </w:pP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2,230,105</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2,318,942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2,269,855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2,157,981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2,159,554</w:t>
            </w:r>
          </w:p>
        </w:tc>
        <w:tc>
          <w:tcPr>
            <w:tcW w:w="120" w:type="dxa"/>
            <w:vAlign w:val="bottom"/>
          </w:tcPr>
          <w:p>
            <w:pPr>
              <w:spacing w:after="0"/>
              <w:rPr>
                <w:sz w:val="14"/>
                <w:szCs w:val="14"/>
                <w:color w:val="auto"/>
              </w:rPr>
            </w:pP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1,195,732</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1,131,215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1,071,367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1,054,264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998,941</w:t>
            </w:r>
          </w:p>
        </w:tc>
        <w:tc>
          <w:tcPr>
            <w:tcW w:w="120" w:type="dxa"/>
            <w:vAlign w:val="bottom"/>
            <w:shd w:val="clear" w:color="auto" w:fill="CCEEFF"/>
          </w:tcPr>
          <w:p>
            <w:pPr>
              <w:spacing w:after="0"/>
              <w:rPr>
                <w:sz w:val="14"/>
                <w:szCs w:val="14"/>
                <w:color w:val="auto"/>
              </w:rPr>
            </w:pP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3,425,837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3,450,157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3,341,222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3,212,245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3,158,495</w:t>
            </w:r>
          </w:p>
        </w:tc>
        <w:tc>
          <w:tcPr>
            <w:tcW w:w="120" w:type="dxa"/>
            <w:vAlign w:val="bottom"/>
          </w:tcPr>
          <w:p>
            <w:pPr>
              <w:spacing w:after="0"/>
              <w:rPr>
                <w:sz w:val="14"/>
                <w:szCs w:val="14"/>
                <w:color w:val="auto"/>
              </w:rPr>
            </w:pP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122,261</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122,214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122,168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122,121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125,965</w:t>
            </w:r>
          </w:p>
        </w:tc>
        <w:tc>
          <w:tcPr>
            <w:tcW w:w="120" w:type="dxa"/>
            <w:vAlign w:val="bottom"/>
            <w:shd w:val="clear" w:color="auto" w:fill="CCEEFF"/>
          </w:tcPr>
          <w:p>
            <w:pPr>
              <w:spacing w:after="0"/>
              <w:rPr>
                <w:sz w:val="14"/>
                <w:szCs w:val="14"/>
                <w:color w:val="auto"/>
              </w:rPr>
            </w:pP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364,026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387,068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398,276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392,815</w:t>
            </w:r>
          </w:p>
        </w:tc>
        <w:tc>
          <w:tcPr>
            <w:tcW w:w="120" w:type="dxa"/>
            <w:vAlign w:val="bottom"/>
          </w:tcPr>
          <w:p>
            <w:pPr>
              <w:spacing w:after="0"/>
              <w:rPr>
                <w:sz w:val="14"/>
                <w:szCs w:val="14"/>
                <w:color w:val="auto"/>
              </w:rPr>
            </w:pP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Summary Performance Ratios:</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1.61%</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average equity</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17.02%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14.58%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15.24%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r>
      <w:tr>
        <w:trPr>
          <w:trHeight w:val="172"/>
        </w:trPr>
        <w:tc>
          <w:tcPr>
            <w:tcW w:w="4000" w:type="dxa"/>
            <w:vAlign w:val="bottom"/>
          </w:tcPr>
          <w:p>
            <w:pPr>
              <w:spacing w:after="0" w:line="173" w:lineRule="exact"/>
              <w:rPr>
                <w:sz w:val="20"/>
                <w:szCs w:val="20"/>
                <w:color w:val="auto"/>
              </w:rPr>
            </w:pPr>
            <w:r>
              <w:rPr>
                <w:rFonts w:ascii="Times New Roman" w:cs="Times New Roman" w:eastAsia="Times New Roman" w:hAnsi="Times New Roman"/>
                <w:sz w:val="12"/>
                <w:szCs w:val="12"/>
                <w:color w:val="auto"/>
              </w:rPr>
              <w:t xml:space="preserve">Net interest margin </w:t>
            </w:r>
            <w:r>
              <w:rPr>
                <w:rFonts w:ascii="Times New Roman" w:cs="Times New Roman" w:eastAsia="Times New Roman" w:hAnsi="Times New Roman"/>
                <w:sz w:val="19"/>
                <w:szCs w:val="19"/>
                <w:color w:val="auto"/>
                <w:vertAlign w:val="superscript"/>
              </w:rPr>
              <w:t>(1)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4.02%</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3.42%</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Yield on loans</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5.57%</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Cost of interest-bearing deposits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0.42%</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0.34%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0.37%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0.40%</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64.01%</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70.30%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66.07%</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66.45%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w:t>
            </w: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Credit Quality Data:</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loans</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7,889</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12,141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10,598</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10,895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12,538</w:t>
            </w: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0.31%</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0.54%</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1,141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1,081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20" w:type="dxa"/>
            <w:vAlign w:val="bottom"/>
            <w:shd w:val="clear" w:color="auto" w:fill="CCEEFF"/>
          </w:tcPr>
          <w:p>
            <w:pPr>
              <w:spacing w:after="0"/>
              <w:rPr>
                <w:sz w:val="14"/>
                <w:szCs w:val="14"/>
                <w:color w:val="auto"/>
              </w:rPr>
            </w:pP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0.20%</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0.32%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0.37%</w:t>
            </w:r>
          </w:p>
        </w:tc>
      </w:tr>
      <w:tr>
        <w:trPr>
          <w:trHeight w:val="17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loan losses to total loans held for investment</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1.54%</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86"/>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Net charge-offs to average loans outstanding (annualized)</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(0.02)%</w:t>
            </w:r>
          </w:p>
        </w:tc>
        <w:tc>
          <w:tcPr>
            <w:tcW w:w="16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321"/>
        </w:trPr>
        <w:tc>
          <w:tcPr>
            <w:tcW w:w="4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4"/>
              </w:rPr>
              <w:t>June 30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400" w:type="dxa"/>
            <w:vAlign w:val="bottom"/>
            <w:gridSpan w:val="2"/>
          </w:tcPr>
          <w:p>
            <w:pPr>
              <w:ind w:left="50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7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10.55%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r>
      <w:tr>
        <w:trPr>
          <w:trHeight w:val="172"/>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Tangible common equity to tangible assets (non-GAAP)</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8.59%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9.94%</w:t>
            </w:r>
          </w:p>
        </w:tc>
      </w:tr>
      <w:tr>
        <w:trPr>
          <w:trHeight w:val="17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7"/>
              </w:rPr>
              <w:t>12.24%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12.86%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12.91%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r>
      <w:tr>
        <w:trPr>
          <w:trHeight w:val="172"/>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7"/>
              </w:rPr>
              <w:t>10.93%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10.78%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10.77%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10.54%</w:t>
            </w:r>
          </w:p>
        </w:tc>
      </w:tr>
      <w:tr>
        <w:trPr>
          <w:trHeight w:val="17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7"/>
              </w:rPr>
              <w:t>17.32%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18.22%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18.40%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227965</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Loans, excluding PPP </w:t>
            </w:r>
            <w:r>
              <w:rPr>
                <w:rFonts w:ascii="Times New Roman" w:cs="Times New Roman" w:eastAsia="Times New Roman" w:hAnsi="Times New Roman"/>
                <w:sz w:val="20"/>
                <w:szCs w:val="20"/>
                <w:color w:val="auto"/>
                <w:vertAlign w:val="superscript"/>
              </w:rPr>
              <w:t>(1)</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2,531,085</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34,522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5.47%</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2,211,825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27,084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Loans - PPP</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18,179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898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19.81%</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156,977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2.22%</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543,527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2.66%</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220,006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329,869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0.80%</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370,634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3,733,970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41,055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4.41%</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3,502,969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33,325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255,093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3,972,545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3,758,062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NOW, Savings, MMA’s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1,903,452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0.29%</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1,873,699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960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326,043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 securities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75,845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5.36%</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75,682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2.74%</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2,360,513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0.62%</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2,332,367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1,171,454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1,002,737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65,031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39,215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383,743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3,972,545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3,758,062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gridSpan w:val="2"/>
          </w:tcPr>
          <w:p>
            <w:pPr>
              <w:spacing w:after="0"/>
              <w:rPr>
                <w:sz w:val="13"/>
                <w:szCs w:val="13"/>
                <w:color w:val="auto"/>
              </w:rPr>
            </w:pPr>
          </w:p>
        </w:tc>
        <w:tc>
          <w:tcPr>
            <w:tcW w:w="124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124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37,408</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29,902</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 xml:space="preserve">Net interest margin </w:t>
            </w:r>
            <w:r>
              <w:rPr>
                <w:rFonts w:ascii="Times New Roman" w:cs="Times New Roman" w:eastAsia="Times New Roman" w:hAnsi="Times New Roman"/>
                <w:sz w:val="23"/>
                <w:szCs w:val="23"/>
                <w:color w:val="auto"/>
                <w:vertAlign w:val="superscript"/>
              </w:rPr>
              <w:t>(2)</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4.02%</w:t>
            </w: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Loans, excluding PPP </w:t>
            </w:r>
            <w:r>
              <w:rPr>
                <w:rFonts w:ascii="Times New Roman" w:cs="Times New Roman" w:eastAsia="Times New Roman" w:hAnsi="Times New Roman"/>
                <w:sz w:val="20"/>
                <w:szCs w:val="20"/>
                <w:color w:val="auto"/>
                <w:vertAlign w:val="superscript"/>
              </w:rPr>
              <w:t>(1)</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2,489,048</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63,146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5.12%</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2,187,470</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53,367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Loans - PPP</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26,886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12.40%</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168,238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5,275</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579,243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2.05%</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544,761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2.67%</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218,351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0.44%</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350,434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3,711,519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74,440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4.04%</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3,469,253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66,619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262,351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3,961,895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3,731,604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NOW, Savings, MMA’s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1,920,608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0.24%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1,840,831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1.16%</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325,213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15,726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39,283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 securities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75,822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5.39%</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75,659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548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2.38%</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2,379,789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0.57%</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2,343,105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6,861</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969,040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57,936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41,408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378,051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3,961,895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3,731,604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gridSpan w:val="2"/>
          </w:tcPr>
          <w:p>
            <w:pPr>
              <w:spacing w:after="0"/>
              <w:rPr>
                <w:sz w:val="13"/>
                <w:szCs w:val="13"/>
                <w:color w:val="auto"/>
              </w:rPr>
            </w:pPr>
          </w:p>
        </w:tc>
        <w:tc>
          <w:tcPr>
            <w:tcW w:w="124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124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67,660</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59,758</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 xml:space="preserve">Net interest margin </w:t>
            </w:r>
            <w:r>
              <w:rPr>
                <w:rFonts w:ascii="Times New Roman" w:cs="Times New Roman" w:eastAsia="Times New Roman" w:hAnsi="Times New Roman"/>
                <w:sz w:val="23"/>
                <w:szCs w:val="23"/>
                <w:color w:val="auto"/>
                <w:vertAlign w:val="superscript"/>
              </w:rPr>
              <w:t>(2)</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3.68%</w:t>
            </w: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0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31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67,127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68,425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418,396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763,943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724,504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37,949</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76,507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2,580,493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2,437,577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Allowance for loan losses</w:t>
            </w:r>
          </w:p>
        </w:tc>
        <w:tc>
          <w:tcPr>
            <w:tcW w:w="2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(39,785)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(42,098)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loans held for investment</w:t>
            </w:r>
          </w:p>
        </w:tc>
        <w:tc>
          <w:tcPr>
            <w:tcW w:w="29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2,540,708</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2,395,479</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56,531</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57,699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19,508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Mortgage servicing assets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27,505</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147,826</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115,742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1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3,974,772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3,901,855</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576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Liabilities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bearing deposits</w:t>
            </w:r>
          </w:p>
        </w:tc>
        <w:tc>
          <w:tcPr>
            <w:tcW w:w="31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1,195,732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1,071,367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2,230,105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2,269,855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9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3,425,837</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3,341,222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Other borrowings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 securities</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75,868</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75,775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Trust preferred subordinated debentures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62,648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31,038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9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3,610,746</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3,494,428</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17,417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17,760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125,332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133,215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242,750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(46,832)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92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364,026</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407,427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3,974,772</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3,901,855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3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including fees</w:t>
            </w:r>
          </w:p>
        </w:tc>
        <w:tc>
          <w:tcPr>
            <w:tcW w:w="17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35,419</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29,360</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64,797</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58,640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3,656</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9,035</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7,358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income</w:t>
            </w:r>
          </w:p>
        </w:tc>
        <w:tc>
          <w:tcPr>
            <w:tcW w:w="15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40,752</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33,016</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73,832</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2,186</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4,207</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 securities</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1,012</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 preferred subordinated debentures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221</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548</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15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29,593</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67,052</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59,137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Provision for loan losses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(2,007)</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(2,085)</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 after provision for loan losses</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31,600</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69,137</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61,055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Service charges on deposits</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1,599</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3,385</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insurance activities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1,240</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3,147</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Mortgage banking activities</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13,711</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22,306</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32,527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card services and interchange fees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3,073</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6,700</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2,627</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6,994</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Noninterest income</w:t>
            </w:r>
          </w:p>
        </w:tc>
        <w:tc>
          <w:tcPr>
            <w:tcW w:w="15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18,835</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22,250</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42,532</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23,377</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44,693</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47,695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Net occupancy expense</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3,499</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7,770</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1,522</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5,272</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development</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812</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1,425</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7,568</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14,767</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14,601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36,778</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73,927</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73,835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5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19,937</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17,072</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37,742</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3,422</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7,528</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15,936</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34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4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806,538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755,444</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Commercial - Specialized</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378,725</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 General</w:t>
            </w:r>
          </w:p>
        </w:tc>
        <w:tc>
          <w:tcPr>
            <w:tcW w:w="3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483,964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460,024</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Consumer:</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1-4 Family Residential</w:t>
            </w:r>
          </w:p>
        </w:tc>
        <w:tc>
          <w:tcPr>
            <w:tcW w:w="3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407,881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387,690</w:t>
            </w:r>
          </w:p>
        </w:tc>
      </w:tr>
      <w:tr>
        <w:trPr>
          <w:trHeight w:val="172"/>
        </w:trPr>
        <w:tc>
          <w:tcPr>
            <w:tcW w:w="20" w:type="dxa"/>
            <w:vAlign w:val="bottom"/>
          </w:tcPr>
          <w:p>
            <w:pPr>
              <w:spacing w:after="0"/>
              <w:rPr>
                <w:sz w:val="14"/>
                <w:szCs w:val="14"/>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Auto Loans</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299,703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240,719</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Consumer</w:t>
            </w:r>
          </w:p>
        </w:tc>
        <w:tc>
          <w:tcPr>
            <w:tcW w:w="3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78,124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68,113</w:t>
            </w: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152,674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146,862</w:t>
            </w:r>
          </w:p>
        </w:tc>
      </w:tr>
      <w:tr>
        <w:trPr>
          <w:trHeight w:val="212"/>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 held for investment</w:t>
            </w:r>
          </w:p>
        </w:tc>
        <w:tc>
          <w:tcPr>
            <w:tcW w:w="3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2,580,493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2,437,577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32"/>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 Composition</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34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demand deposits</w:t>
            </w:r>
          </w:p>
        </w:tc>
        <w:tc>
          <w:tcPr>
            <w:tcW w:w="34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1,195,732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1,071,367</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NOW &amp; other transaction accounts</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395,322</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MMDA &amp; other savings</w:t>
            </w:r>
          </w:p>
        </w:tc>
        <w:tc>
          <w:tcPr>
            <w:tcW w:w="3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1,532,139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1,534,795</w:t>
            </w: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340,199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339,738</w:t>
            </w:r>
          </w:p>
        </w:tc>
      </w:tr>
      <w:tr>
        <w:trPr>
          <w:trHeight w:val="212"/>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deposits</w:t>
            </w:r>
          </w:p>
        </w:tc>
        <w:tc>
          <w:tcPr>
            <w:tcW w:w="3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3,425,837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3,341,222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18"/>
        </w:trPr>
        <w:tc>
          <w:tcPr>
            <w:tcW w:w="20" w:type="dxa"/>
            <w:vAlign w:val="bottom"/>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20" w:type="dxa"/>
            <w:vAlign w:val="bottom"/>
            <w:gridSpan w:val="10"/>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Pre-tax, pre-provision income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15,936</w:t>
            </w:r>
          </w:p>
        </w:tc>
        <w:tc>
          <w:tcPr>
            <w:tcW w:w="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14,278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14,614</w:t>
            </w: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15,190</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13,650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4,001</w:t>
            </w:r>
          </w:p>
        </w:tc>
        <w:tc>
          <w:tcPr>
            <w:tcW w:w="200" w:type="dxa"/>
            <w:vAlign w:val="bottom"/>
          </w:tcPr>
          <w:p>
            <w:pPr>
              <w:spacing w:after="0"/>
              <w:rPr>
                <w:sz w:val="14"/>
                <w:szCs w:val="14"/>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3,527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3,631</w:t>
            </w: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loan losses</w:t>
            </w:r>
          </w:p>
        </w:tc>
        <w:tc>
          <w:tcPr>
            <w:tcW w:w="4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(2,085)</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(2,007)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Pre-tax, pre-provision income</w:t>
            </w:r>
          </w:p>
        </w:tc>
        <w:tc>
          <w:tcPr>
            <w:tcW w:w="44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19,937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15,720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18,245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18,906</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15,065</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2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(Unaudited)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100" w:type="dxa"/>
            <w:vAlign w:val="bottom"/>
            <w:gridSpan w:val="3"/>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18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common stockholders’ equity</w:t>
            </w:r>
          </w:p>
        </w:tc>
        <w:tc>
          <w:tcPr>
            <w:tcW w:w="6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364,026</w:t>
            </w:r>
          </w:p>
        </w:tc>
        <w:tc>
          <w:tcPr>
            <w:tcW w:w="18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387,068</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$ 407,427</w:t>
            </w:r>
          </w:p>
        </w:tc>
        <w:tc>
          <w:tcPr>
            <w:tcW w:w="1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$ 398,276</w:t>
            </w:r>
          </w:p>
        </w:tc>
        <w:tc>
          <w:tcPr>
            <w:tcW w:w="1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$ 392,815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(24,620)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(25,011)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(25,804)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(26,226)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top w:val="single" w:sz="8" w:color="auto"/>
              <w:left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left w:val="single" w:sz="8" w:color="CCEEFF"/>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6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339,406</w:t>
            </w:r>
          </w:p>
        </w:tc>
        <w:tc>
          <w:tcPr>
            <w:tcW w:w="1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362,057</w:t>
            </w:r>
          </w:p>
        </w:tc>
        <w:tc>
          <w:tcPr>
            <w:tcW w:w="10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$ 382,024</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$ 372,472</w:t>
            </w:r>
          </w:p>
        </w:tc>
        <w:tc>
          <w:tcPr>
            <w:tcW w:w="14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$ 366,589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6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3,974,772</w:t>
            </w: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3,999,744</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$ 3,901,855</w:t>
            </w:r>
          </w:p>
        </w:tc>
        <w:tc>
          <w:tcPr>
            <w:tcW w:w="1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$ 3,774,175</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$ 3,712,915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(24,620)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(25,011)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(25,804)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(26,226)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top w:val="single" w:sz="8" w:color="auto"/>
              <w:left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left w:val="single" w:sz="8" w:color="CCEEFF"/>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6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3,950,152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3,974,733</w:t>
            </w:r>
          </w:p>
        </w:tc>
        <w:tc>
          <w:tcPr>
            <w:tcW w:w="10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$ 3,876,452</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$ 3,748,371</w:t>
            </w:r>
          </w:p>
        </w:tc>
        <w:tc>
          <w:tcPr>
            <w:tcW w:w="14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$ 3,686,689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100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17,417,094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17,673,407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17,760,243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17,824,094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18,014,398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1100" w:type="dxa"/>
            <w:vAlign w:val="bottom"/>
            <w:gridSpan w:val="3"/>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180" w:type="dxa"/>
            <w:vAlign w:val="bottom"/>
            <w:gridSpan w:val="2"/>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9.16%</w:t>
            </w:r>
          </w:p>
        </w:tc>
        <w:tc>
          <w:tcPr>
            <w:tcW w:w="200" w:type="dxa"/>
            <w:vAlign w:val="bottom"/>
          </w:tcPr>
          <w:p>
            <w:pPr>
              <w:spacing w:after="0"/>
              <w:rPr>
                <w:sz w:val="14"/>
                <w:szCs w:val="14"/>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10.44%</w:t>
            </w: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4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8.59%</w:t>
            </w:r>
          </w:p>
        </w:tc>
        <w:tc>
          <w:tcPr>
            <w:tcW w:w="200" w:type="dxa"/>
            <w:vAlign w:val="bottom"/>
            <w:tcBorders>
              <w:left w:val="single" w:sz="8" w:color="CCEEFF"/>
            </w:tcBorders>
            <w:shd w:val="clear" w:color="auto" w:fill="CCEEFF"/>
          </w:tcPr>
          <w:p>
            <w:pPr>
              <w:spacing w:after="0"/>
              <w:rPr>
                <w:sz w:val="14"/>
                <w:szCs w:val="14"/>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9.11%</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9.85%</w:t>
            </w:r>
          </w:p>
        </w:tc>
        <w:tc>
          <w:tcPr>
            <w:tcW w:w="120" w:type="dxa"/>
            <w:vAlign w:val="bottom"/>
            <w:tcBorders>
              <w:left w:val="single" w:sz="8" w:color="CCEEFF"/>
            </w:tcBorders>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9.94%</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Book value per share</w:t>
            </w:r>
          </w:p>
        </w:tc>
        <w:tc>
          <w:tcPr>
            <w:tcW w:w="6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20.90</w:t>
            </w:r>
          </w:p>
        </w:tc>
        <w:tc>
          <w:tcPr>
            <w:tcW w:w="1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21.90</w:t>
            </w:r>
          </w:p>
        </w:tc>
        <w:tc>
          <w:tcPr>
            <w:tcW w:w="10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4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book value per share</w:t>
            </w:r>
          </w:p>
        </w:tc>
        <w:tc>
          <w:tcPr>
            <w:tcW w:w="6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19.49</w:t>
            </w:r>
          </w:p>
        </w:tc>
        <w:tc>
          <w:tcPr>
            <w:tcW w:w="18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20.49</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1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5" w:name="page16"/>
    <w:bookmarkEnd w:id="15"/>
    <w:p>
      <w:pPr>
        <w:ind w:left="92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137795</wp:posOffset>
            </wp:positionV>
            <wp:extent cx="7209790" cy="5807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0" w:num="1">
            <w:col w:w="10140"/>
          </w:cols>
          <w:pgMar w:left="1440" w:top="244"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21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821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5882640</wp:posOffset>
            </wp:positionV>
            <wp:extent cx="7160260"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902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9029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866"/>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2022-07-22T06:33:33Z</dcterms:created>
  <dcterms:modified xsi:type="dcterms:W3CDTF">2022-07-22T06:33:33Z</dcterms:modified>
</cp:coreProperties>
</file>