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HorizontalLine"/>
        <w:bidi w:val="0"/>
        <w:jc w:val="center"/>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0" w:after="0"/>
        <w:jc w:val="left"/>
        <w:rPr/>
      </w:pPr>
      <w:r>
        <w:rPr/>
      </w:r>
    </w:p>
    <w:p>
      <w:pPr>
        <w:pStyle w:val="HorizontalLine"/>
        <w:bidi w:val="0"/>
        <w:jc w:val="center"/>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(Mark One)</w:t>
      </w:r>
    </w:p>
    <w:p>
      <w:pPr>
        <w:pStyle w:val="TextBody"/>
        <w:bidi w:val="0"/>
        <w:spacing w:before="0" w:after="0"/>
        <w:jc w:val="left"/>
        <w:rPr/>
      </w:pPr>
      <w:r>
        <w:rPr/>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quarterly period ended June 30, 2023</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0" w:after="0"/>
        <w:jc w:val="left"/>
        <w:rPr/>
      </w:pPr>
      <w:r>
        <w:rPr/>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pPr>
            <w:r>
              <w:rPr/>
              <w:t>☐</w:t>
            </w:r>
          </w:p>
        </w:tc>
        <w:tc>
          <w:tcPr>
            <w:tcW w:w="98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transition period from ______ to ______</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Commission File Number: 001-38895</w:t>
      </w:r>
    </w:p>
    <w:p>
      <w:pPr>
        <w:pStyle w:val="TextBody"/>
        <w:bidi w:val="0"/>
        <w:spacing w:before="0" w:after="0"/>
        <w:jc w:val="left"/>
        <w:rPr/>
      </w:pPr>
      <w:r>
        <w:rPr/>
      </w:r>
    </w:p>
    <w:p>
      <w:pPr>
        <w:pStyle w:val="HorizontalLine"/>
        <w:bidi w:val="0"/>
        <w:jc w:val="center"/>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South Plains Financial,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spacing w:before="0" w:after="0"/>
        <w:jc w:val="left"/>
        <w:rPr/>
      </w:pPr>
      <w:r>
        <w:rPr/>
      </w:r>
    </w:p>
    <w:tbl>
      <w:tblPr>
        <w:tblW w:w="7855" w:type="dxa"/>
        <w:jc w:val="left"/>
        <w:tblInd w:w="0" w:type="dxa"/>
        <w:tblLayout w:type="fixed"/>
        <w:tblCellMar>
          <w:top w:w="0" w:type="dxa"/>
          <w:left w:w="0" w:type="dxa"/>
          <w:bottom w:w="0" w:type="dxa"/>
          <w:right w:w="0" w:type="dxa"/>
        </w:tblCellMar>
      </w:tblPr>
      <w:tblGrid>
        <w:gridCol w:w="4880"/>
        <w:gridCol w:w="60"/>
        <w:gridCol w:w="2915"/>
      </w:tblGrid>
      <w:tr>
        <w:trPr/>
        <w:tc>
          <w:tcPr>
            <w:tcW w:w="4880" w:type="dxa"/>
            <w:tcBorders/>
            <w:vAlign w:val="center"/>
          </w:tcPr>
          <w:p>
            <w:pPr>
              <w:pStyle w:val="TableContents"/>
              <w:bidi w:val="0"/>
              <w:spacing w:before="0" w:after="0"/>
              <w:jc w:val="center"/>
              <w:rPr/>
            </w:pPr>
            <w:r>
              <w:rPr/>
              <w:t> </w:t>
            </w:r>
            <w:r>
              <w:rPr>
                <w:rFonts w:ascii="Times New Roman" w:hAnsi="Times New Roman"/>
                <w:b/>
                <w:sz w:val="20"/>
              </w:rPr>
              <w:t>Texas</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75-2453320</w:t>
            </w:r>
          </w:p>
        </w:tc>
      </w:tr>
      <w:tr>
        <w:trPr/>
        <w:tc>
          <w:tcPr>
            <w:tcW w:w="48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 or organization)</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5219 City Bank Parkway</w:t>
            </w:r>
          </w:p>
          <w:p>
            <w:pPr>
              <w:pStyle w:val="TableContents"/>
              <w:bidi w:val="0"/>
              <w:spacing w:before="0" w:after="0"/>
              <w:jc w:val="center"/>
              <w:rPr>
                <w:rFonts w:ascii="Times New Roman" w:hAnsi="Times New Roman"/>
                <w:b/>
                <w:sz w:val="20"/>
              </w:rPr>
            </w:pPr>
            <w:r>
              <w:rPr>
                <w:rFonts w:ascii="Times New Roman" w:hAnsi="Times New Roman"/>
                <w:b/>
                <w:sz w:val="20"/>
              </w:rPr>
              <w:t>Lubbock, Texas</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79407</w:t>
            </w:r>
          </w:p>
        </w:tc>
      </w:tr>
      <w:tr>
        <w:trPr/>
        <w:tc>
          <w:tcPr>
            <w:tcW w:w="48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(Address of principal executive offices)</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Registrant’s telephone number, including area code: (806) 792-7101</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tbl>
      <w:tblPr>
        <w:tblW w:w="8535" w:type="dxa"/>
        <w:jc w:val="left"/>
        <w:tblInd w:w="-15" w:type="dxa"/>
        <w:tblLayout w:type="fixed"/>
        <w:tblCellMar>
          <w:top w:w="28" w:type="dxa"/>
          <w:left w:w="28" w:type="dxa"/>
          <w:bottom w:w="28" w:type="dxa"/>
          <w:right w:w="28" w:type="dxa"/>
        </w:tblCellMar>
      </w:tblPr>
      <w:tblGrid>
        <w:gridCol w:w="3410"/>
        <w:gridCol w:w="1535"/>
        <w:gridCol w:w="3590"/>
      </w:tblGrid>
      <w:tr>
        <w:trPr/>
        <w:tc>
          <w:tcPr>
            <w:tcW w:w="341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Trading Symbol(s)</w:t>
            </w:r>
          </w:p>
        </w:tc>
        <w:tc>
          <w:tcPr>
            <w:tcW w:w="35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Name of each exchange on which registered</w:t>
            </w:r>
          </w:p>
        </w:tc>
      </w:tr>
      <w:tr>
        <w:trPr/>
        <w:tc>
          <w:tcPr>
            <w:tcW w:w="341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Common Stock, $1.00 par value per share</w:t>
            </w:r>
          </w:p>
        </w:tc>
        <w:tc>
          <w:tcPr>
            <w:tcW w:w="15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SPFI</w:t>
            </w:r>
          </w:p>
        </w:tc>
        <w:tc>
          <w:tcPr>
            <w:tcW w:w="359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Large accelerated filer</w:t>
            </w:r>
          </w:p>
        </w:tc>
        <w:tc>
          <w:tcPr>
            <w:tcW w:w="23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Accelerated filer</w:t>
            </w:r>
          </w:p>
        </w:tc>
        <w:tc>
          <w:tcPr>
            <w:tcW w:w="245" w:type="dxa"/>
            <w:tcBorders/>
            <w:vAlign w:val="center"/>
          </w:tcPr>
          <w:p>
            <w:pPr>
              <w:pStyle w:val="TableContents"/>
              <w:bidi w:val="0"/>
              <w:spacing w:before="0" w:after="0"/>
              <w:jc w:val="left"/>
              <w:rPr/>
            </w:pPr>
            <w:r>
              <w:rPr/>
              <w:t>☒</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Non-accelerated filer</w:t>
            </w:r>
          </w:p>
        </w:tc>
        <w:tc>
          <w:tcPr>
            <w:tcW w:w="23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Smaller reporting company</w:t>
            </w:r>
          </w:p>
        </w:tc>
        <w:tc>
          <w:tcPr>
            <w:tcW w:w="245" w:type="dxa"/>
            <w:tcBorders/>
            <w:vAlign w:val="center"/>
          </w:tcPr>
          <w:p>
            <w:pPr>
              <w:pStyle w:val="TableContents"/>
              <w:bidi w:val="0"/>
              <w:spacing w:before="0" w:after="0"/>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Emerging growth company</w:t>
            </w:r>
          </w:p>
        </w:tc>
        <w:tc>
          <w:tcPr>
            <w:tcW w:w="245" w:type="dxa"/>
            <w:tcBorders/>
            <w:vAlign w:val="center"/>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August 3, 2023, the registrant had 16,913,686 shares of common stock, par value $1.00 per share, outstanding.</w:t>
      </w:r>
    </w:p>
    <w:p>
      <w:pPr>
        <w:pStyle w:val="TextBody"/>
        <w:bidi w:val="0"/>
        <w:spacing w:before="0" w:after="0"/>
        <w:jc w:val="both"/>
        <w:rPr>
          <w:rFonts w:ascii="Times New Roman" w:hAnsi="Times New Roman"/>
          <w:sz w:val="20"/>
        </w:rPr>
      </w:pPr>
      <w:r>
        <w:rPr>
          <w:rFonts w:ascii="Times New Roman" w:hAnsi="Times New Roman"/>
          <w:sz w:val="20"/>
        </w:rPr>
      </w:r>
    </w:p>
    <w:p>
      <w:pPr>
        <w:pStyle w:val="HorizontalLine"/>
        <w:bidi w:val="0"/>
        <w:jc w:val="both"/>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rPr>
      </w:pPr>
      <w:bookmarkStart w:id="0" w:name="TABLEOFCONTENTS"/>
      <w:bookmarkEnd w:id="0"/>
      <w:r>
        <w:rPr>
          <w:rFonts w:ascii="Times New Roman" w:hAnsi="Times New Roman"/>
          <w:b/>
          <w:color w:val="000000"/>
          <w:sz w:val="20"/>
        </w:rPr>
        <w:t>TABLE OF CONTENTS</w:t>
      </w:r>
    </w:p>
    <w:p>
      <w:pPr>
        <w:pStyle w:val="TextBody"/>
        <w:bidi w:val="0"/>
        <w:spacing w:before="0" w:after="0"/>
        <w:jc w:val="left"/>
        <w:rPr/>
      </w:pPr>
      <w:r>
        <w:rPr/>
      </w:r>
    </w:p>
    <w:tbl>
      <w:tblPr>
        <w:tblW w:w="8535" w:type="dxa"/>
        <w:jc w:val="left"/>
        <w:tblInd w:w="0" w:type="dxa"/>
        <w:tblLayout w:type="fixed"/>
        <w:tblCellMar>
          <w:top w:w="0" w:type="dxa"/>
          <w:left w:w="0" w:type="dxa"/>
          <w:bottom w:w="0" w:type="dxa"/>
          <w:right w:w="0" w:type="dxa"/>
        </w:tblCellMar>
      </w:tblPr>
      <w:tblGrid>
        <w:gridCol w:w="800"/>
        <w:gridCol w:w="7280"/>
        <w:gridCol w:w="455"/>
      </w:tblGrid>
      <w:tr>
        <w:trPr/>
        <w:tc>
          <w:tcPr>
            <w:tcW w:w="80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Page</w:t>
            </w:r>
          </w:p>
        </w:tc>
      </w:tr>
      <w:tr>
        <w:trPr/>
        <w:tc>
          <w:tcPr>
            <w:tcW w:w="800" w:type="dxa"/>
            <w:tcBorders/>
            <w:shd w:fill="CCEEFF" w:val="clear"/>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PART I.</w:t>
            </w:r>
          </w:p>
        </w:tc>
        <w:tc>
          <w:tcPr>
            <w:tcW w:w="7280" w:type="dxa"/>
            <w:tcBorders/>
            <w:shd w:fill="CCEEFF" w:val="clear"/>
            <w:vAlign w:val="center"/>
          </w:tcPr>
          <w:p>
            <w:pPr>
              <w:pStyle w:val="TableContents"/>
              <w:bidi w:val="0"/>
              <w:spacing w:before="0" w:after="283"/>
              <w:jc w:val="left"/>
              <w:rPr/>
            </w:pPr>
            <w:hyperlink w:anchor="PARTI.FINANCIALINFORMATIO">
              <w:r>
                <w:rPr>
                  <w:rStyle w:val="InternetLink"/>
                </w:rPr>
                <w:t>FINANCIAL INFORMATION</w:t>
              </w:r>
            </w:hyperlink>
            <w:r>
              <w:rPr/>
              <w:t xml:space="preserve"> </w:t>
            </w:r>
          </w:p>
        </w:tc>
        <w:tc>
          <w:tcPr>
            <w:tcW w:w="45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w:t>
            </w:r>
          </w:p>
        </w:tc>
      </w:tr>
      <w:tr>
        <w:trPr/>
        <w:tc>
          <w:tcPr>
            <w:tcW w:w="8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Item 1.</w:t>
            </w:r>
          </w:p>
        </w:tc>
        <w:tc>
          <w:tcPr>
            <w:tcW w:w="7280" w:type="dxa"/>
            <w:tcBorders/>
            <w:vAlign w:val="center"/>
          </w:tcPr>
          <w:p>
            <w:pPr>
              <w:pStyle w:val="TableContents"/>
              <w:bidi w:val="0"/>
              <w:spacing w:before="0" w:after="283"/>
              <w:jc w:val="left"/>
              <w:rPr/>
            </w:pPr>
            <w:hyperlink w:anchor="ConsolidatedFinancialStat">
              <w:r>
                <w:rPr>
                  <w:rStyle w:val="InternetLink"/>
                </w:rPr>
                <w:t>Consolidated Financial Statements</w:t>
              </w:r>
            </w:hyperlink>
            <w:r>
              <w:rPr/>
              <w:t xml:space="preserve"> </w:t>
            </w:r>
          </w:p>
        </w:tc>
        <w:tc>
          <w:tcPr>
            <w:tcW w:w="45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w:t>
            </w:r>
          </w:p>
        </w:tc>
      </w:tr>
      <w:tr>
        <w:trPr/>
        <w:tc>
          <w:tcPr>
            <w:tcW w:w="80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ind w:left="314" w:right="0" w:hanging="0"/>
              <w:jc w:val="left"/>
              <w:rPr/>
            </w:pPr>
            <w:hyperlink w:anchor="BALANCESHEETS">
              <w:r>
                <w:rPr>
                  <w:rStyle w:val="InternetLink"/>
                  <w:rFonts w:ascii="Times New Roman" w:hAnsi="Times New Roman"/>
                  <w:color w:val="000000"/>
                  <w:sz w:val="20"/>
                </w:rPr>
                <w:t>Consolidated Balance Sheets (Unaudited)</w:t>
              </w:r>
            </w:hyperlink>
          </w:p>
        </w:tc>
        <w:tc>
          <w:tcPr>
            <w:tcW w:w="45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w:t>
            </w:r>
          </w:p>
        </w:tc>
      </w:tr>
      <w:tr>
        <w:trPr/>
        <w:tc>
          <w:tcPr>
            <w:tcW w:w="80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314" w:right="0" w:hanging="0"/>
              <w:jc w:val="left"/>
              <w:rPr/>
            </w:pPr>
            <w:hyperlink w:anchor="STATEMENTSOFCOMPREHENSIVE">
              <w:r>
                <w:rPr>
                  <w:rStyle w:val="InternetLink"/>
                  <w:rFonts w:ascii="Times New Roman" w:hAnsi="Times New Roman"/>
                  <w:color w:val="000000"/>
                  <w:sz w:val="20"/>
                </w:rPr>
                <w:t>Consolidated Statements of Comprehensive Income (Loss) (Unaudited)</w:t>
              </w:r>
            </w:hyperlink>
          </w:p>
        </w:tc>
        <w:tc>
          <w:tcPr>
            <w:tcW w:w="45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4</w:t>
            </w:r>
          </w:p>
        </w:tc>
      </w:tr>
      <w:tr>
        <w:trPr/>
        <w:tc>
          <w:tcPr>
            <w:tcW w:w="80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ind w:left="314" w:right="0" w:hanging="0"/>
              <w:jc w:val="left"/>
              <w:rPr/>
            </w:pPr>
            <w:hyperlink w:anchor="CHANGESINSTOCKHOLDERSEQUI">
              <w:r>
                <w:rPr>
                  <w:rStyle w:val="InternetLink"/>
                  <w:rFonts w:ascii="Times New Roman" w:hAnsi="Times New Roman"/>
                  <w:color w:val="000000"/>
                  <w:sz w:val="20"/>
                </w:rPr>
                <w:t>Consolidated Statements of Changes in Stockholders’ Equity (Unaudited)</w:t>
              </w:r>
            </w:hyperlink>
          </w:p>
        </w:tc>
        <w:tc>
          <w:tcPr>
            <w:tcW w:w="45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6</w:t>
            </w:r>
          </w:p>
        </w:tc>
      </w:tr>
      <w:tr>
        <w:trPr/>
        <w:tc>
          <w:tcPr>
            <w:tcW w:w="80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314" w:right="0" w:hanging="0"/>
              <w:jc w:val="left"/>
              <w:rPr/>
            </w:pPr>
            <w:hyperlink w:anchor="CASHFLOWS">
              <w:r>
                <w:rPr>
                  <w:rStyle w:val="InternetLink"/>
                  <w:rFonts w:ascii="Times New Roman" w:hAnsi="Times New Roman"/>
                  <w:color w:val="000000"/>
                  <w:sz w:val="20"/>
                </w:rPr>
                <w:t>Consolidated Statements of Cash Flows (Unaudited)</w:t>
              </w:r>
            </w:hyperlink>
          </w:p>
        </w:tc>
        <w:tc>
          <w:tcPr>
            <w:tcW w:w="45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7</w:t>
            </w:r>
          </w:p>
        </w:tc>
      </w:tr>
      <w:tr>
        <w:trPr/>
        <w:tc>
          <w:tcPr>
            <w:tcW w:w="800" w:type="dxa"/>
            <w:tcBorders/>
            <w:shd w:fill="CCEEFF" w:val="clear"/>
            <w:vAlign w:val="center"/>
          </w:tcPr>
          <w:p>
            <w:pPr>
              <w:pStyle w:val="TableContents"/>
              <w:bidi w:val="0"/>
              <w:spacing w:before="0" w:after="283"/>
              <w:jc w:val="left"/>
              <w:rPr/>
            </w:pPr>
            <w:r>
              <w:rPr/>
              <w:t> </w:t>
            </w:r>
          </w:p>
        </w:tc>
        <w:tc>
          <w:tcPr>
            <w:tcW w:w="7280" w:type="dxa"/>
            <w:tcBorders/>
            <w:shd w:fill="CCEEFF" w:val="clear"/>
            <w:vAlign w:val="center"/>
          </w:tcPr>
          <w:p>
            <w:pPr>
              <w:pStyle w:val="TableContents"/>
              <w:bidi w:val="0"/>
              <w:spacing w:before="0" w:after="0"/>
              <w:ind w:left="314" w:right="0" w:hanging="0"/>
              <w:jc w:val="left"/>
              <w:rPr/>
            </w:pPr>
            <w:hyperlink w:anchor="NOTESTOCONSOLIDATEDFINANC">
              <w:r>
                <w:rPr>
                  <w:rStyle w:val="InternetLink"/>
                  <w:rFonts w:ascii="Times New Roman" w:hAnsi="Times New Roman"/>
                  <w:color w:val="000000"/>
                  <w:sz w:val="20"/>
                </w:rPr>
                <w:t>Notes to Consolidated Financial Statements (Unaudited)</w:t>
              </w:r>
            </w:hyperlink>
          </w:p>
        </w:tc>
        <w:tc>
          <w:tcPr>
            <w:tcW w:w="45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8</w:t>
            </w:r>
          </w:p>
        </w:tc>
      </w:tr>
      <w:tr>
        <w:trPr/>
        <w:tc>
          <w:tcPr>
            <w:tcW w:w="8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Item 2.</w:t>
            </w:r>
          </w:p>
        </w:tc>
        <w:tc>
          <w:tcPr>
            <w:tcW w:w="7280" w:type="dxa"/>
            <w:tcBorders/>
            <w:vAlign w:val="center"/>
          </w:tcPr>
          <w:p>
            <w:pPr>
              <w:pStyle w:val="TableContents"/>
              <w:bidi w:val="0"/>
              <w:spacing w:before="0" w:after="0"/>
              <w:jc w:val="left"/>
              <w:rPr/>
            </w:pPr>
            <w:hyperlink w:anchor="ManagementsDiscussionandA">
              <w:r>
                <w:rPr>
                  <w:rStyle w:val="InternetLink"/>
                  <w:rFonts w:ascii="Times New Roman" w:hAnsi="Times New Roman"/>
                  <w:color w:val="000000"/>
                  <w:sz w:val="20"/>
                </w:rPr>
                <w:t>Management’s Discussion and Analysis of Financial Condition and Results of Operations</w:t>
              </w:r>
            </w:hyperlink>
          </w:p>
        </w:tc>
        <w:tc>
          <w:tcPr>
            <w:tcW w:w="45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32</w:t>
            </w:r>
          </w:p>
        </w:tc>
      </w:tr>
      <w:tr>
        <w:trPr/>
        <w:tc>
          <w:tcPr>
            <w:tcW w:w="800"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Item 3.</w:t>
            </w:r>
          </w:p>
        </w:tc>
        <w:tc>
          <w:tcPr>
            <w:tcW w:w="7280" w:type="dxa"/>
            <w:tcBorders/>
            <w:shd w:fill="CCEEFF" w:val="clear"/>
            <w:vAlign w:val="center"/>
          </w:tcPr>
          <w:p>
            <w:pPr>
              <w:pStyle w:val="TableContents"/>
              <w:bidi w:val="0"/>
              <w:spacing w:before="0" w:after="0"/>
              <w:jc w:val="left"/>
              <w:rPr/>
            </w:pPr>
            <w:hyperlink w:anchor="QuantitativeandQualitativ">
              <w:r>
                <w:rPr>
                  <w:rStyle w:val="InternetLink"/>
                  <w:rFonts w:ascii="Times New Roman" w:hAnsi="Times New Roman"/>
                  <w:color w:val="000000"/>
                  <w:sz w:val="20"/>
                </w:rPr>
                <w:t>Quantitative and Qualitative Disclosures About Market Risk</w:t>
              </w:r>
            </w:hyperlink>
          </w:p>
        </w:tc>
        <w:tc>
          <w:tcPr>
            <w:tcW w:w="45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56</w:t>
            </w:r>
          </w:p>
        </w:tc>
      </w:tr>
      <w:tr>
        <w:trPr/>
        <w:tc>
          <w:tcPr>
            <w:tcW w:w="8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Item 4.</w:t>
            </w:r>
          </w:p>
        </w:tc>
        <w:tc>
          <w:tcPr>
            <w:tcW w:w="7280" w:type="dxa"/>
            <w:tcBorders/>
            <w:vAlign w:val="center"/>
          </w:tcPr>
          <w:p>
            <w:pPr>
              <w:pStyle w:val="TableContents"/>
              <w:bidi w:val="0"/>
              <w:spacing w:before="0" w:after="0"/>
              <w:jc w:val="left"/>
              <w:rPr/>
            </w:pPr>
            <w:hyperlink w:anchor="ControlsandProcedures">
              <w:r>
                <w:rPr>
                  <w:rStyle w:val="InternetLink"/>
                  <w:rFonts w:ascii="Times New Roman" w:hAnsi="Times New Roman"/>
                  <w:color w:val="000000"/>
                  <w:sz w:val="20"/>
                </w:rPr>
                <w:t>Controls and Procedures</w:t>
              </w:r>
            </w:hyperlink>
          </w:p>
        </w:tc>
        <w:tc>
          <w:tcPr>
            <w:tcW w:w="45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56</w:t>
            </w:r>
          </w:p>
        </w:tc>
      </w:tr>
      <w:tr>
        <w:trPr/>
        <w:tc>
          <w:tcPr>
            <w:tcW w:w="800" w:type="dxa"/>
            <w:tcBorders/>
            <w:shd w:fill="CCEEFF" w:val="clear"/>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PART II.</w:t>
            </w:r>
          </w:p>
        </w:tc>
        <w:tc>
          <w:tcPr>
            <w:tcW w:w="7280" w:type="dxa"/>
            <w:tcBorders/>
            <w:shd w:fill="CCEEFF" w:val="clear"/>
            <w:vAlign w:val="center"/>
          </w:tcPr>
          <w:p>
            <w:pPr>
              <w:pStyle w:val="TableContents"/>
              <w:bidi w:val="0"/>
              <w:spacing w:before="0" w:after="0"/>
              <w:jc w:val="left"/>
              <w:rPr/>
            </w:pPr>
            <w:hyperlink w:anchor="PARTII.OTHERINFORMATION">
              <w:r>
                <w:rPr>
                  <w:rStyle w:val="InternetLink"/>
                  <w:rFonts w:ascii="Times New Roman" w:hAnsi="Times New Roman"/>
                  <w:color w:val="000000"/>
                  <w:sz w:val="20"/>
                </w:rPr>
                <w:t>OTHER INFORMATION</w:t>
              </w:r>
            </w:hyperlink>
          </w:p>
        </w:tc>
        <w:tc>
          <w:tcPr>
            <w:tcW w:w="45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57</w:t>
            </w:r>
          </w:p>
        </w:tc>
      </w:tr>
      <w:tr>
        <w:trPr/>
        <w:tc>
          <w:tcPr>
            <w:tcW w:w="8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Item 1.</w:t>
            </w:r>
          </w:p>
        </w:tc>
        <w:tc>
          <w:tcPr>
            <w:tcW w:w="7280" w:type="dxa"/>
            <w:tcBorders/>
            <w:vAlign w:val="center"/>
          </w:tcPr>
          <w:p>
            <w:pPr>
              <w:pStyle w:val="TableContents"/>
              <w:bidi w:val="0"/>
              <w:spacing w:before="0" w:after="0"/>
              <w:jc w:val="left"/>
              <w:rPr/>
            </w:pPr>
            <w:hyperlink w:anchor="LegalProceedings">
              <w:r>
                <w:rPr>
                  <w:rStyle w:val="InternetLink"/>
                  <w:rFonts w:ascii="Times New Roman" w:hAnsi="Times New Roman"/>
                  <w:color w:val="000000"/>
                  <w:sz w:val="20"/>
                </w:rPr>
                <w:t>Legal Proceedings</w:t>
              </w:r>
            </w:hyperlink>
          </w:p>
        </w:tc>
        <w:tc>
          <w:tcPr>
            <w:tcW w:w="45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57</w:t>
            </w:r>
          </w:p>
        </w:tc>
      </w:tr>
      <w:tr>
        <w:trPr/>
        <w:tc>
          <w:tcPr>
            <w:tcW w:w="800"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Item 1A.</w:t>
            </w:r>
          </w:p>
        </w:tc>
        <w:tc>
          <w:tcPr>
            <w:tcW w:w="7280" w:type="dxa"/>
            <w:tcBorders/>
            <w:shd w:fill="CCEEFF" w:val="clear"/>
            <w:vAlign w:val="center"/>
          </w:tcPr>
          <w:p>
            <w:pPr>
              <w:pStyle w:val="TableContents"/>
              <w:bidi w:val="0"/>
              <w:spacing w:before="0" w:after="0"/>
              <w:jc w:val="left"/>
              <w:rPr/>
            </w:pPr>
            <w:hyperlink w:anchor="RiskFactors">
              <w:r>
                <w:rPr>
                  <w:rStyle w:val="InternetLink"/>
                  <w:rFonts w:ascii="Times New Roman" w:hAnsi="Times New Roman"/>
                  <w:color w:val="000000"/>
                  <w:sz w:val="20"/>
                </w:rPr>
                <w:t>Risk Factors</w:t>
              </w:r>
            </w:hyperlink>
          </w:p>
        </w:tc>
        <w:tc>
          <w:tcPr>
            <w:tcW w:w="45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57</w:t>
            </w:r>
          </w:p>
        </w:tc>
      </w:tr>
      <w:tr>
        <w:trPr/>
        <w:tc>
          <w:tcPr>
            <w:tcW w:w="8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Item 2.</w:t>
            </w:r>
          </w:p>
        </w:tc>
        <w:tc>
          <w:tcPr>
            <w:tcW w:w="7280" w:type="dxa"/>
            <w:tcBorders/>
            <w:vAlign w:val="center"/>
          </w:tcPr>
          <w:p>
            <w:pPr>
              <w:pStyle w:val="TableContents"/>
              <w:bidi w:val="0"/>
              <w:spacing w:before="0" w:after="0"/>
              <w:jc w:val="left"/>
              <w:rPr/>
            </w:pPr>
            <w:hyperlink w:anchor="UnregisteredSalesofEquity">
              <w:r>
                <w:rPr>
                  <w:rStyle w:val="InternetLink"/>
                  <w:rFonts w:ascii="Times New Roman" w:hAnsi="Times New Roman"/>
                  <w:color w:val="000000"/>
                  <w:sz w:val="20"/>
                </w:rPr>
                <w:t>Unregistered Sales of Equity Securities and Use of Proceeds</w:t>
              </w:r>
            </w:hyperlink>
          </w:p>
        </w:tc>
        <w:tc>
          <w:tcPr>
            <w:tcW w:w="45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57</w:t>
            </w:r>
          </w:p>
        </w:tc>
      </w:tr>
      <w:tr>
        <w:trPr/>
        <w:tc>
          <w:tcPr>
            <w:tcW w:w="800"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Item 3.</w:t>
            </w:r>
          </w:p>
        </w:tc>
        <w:tc>
          <w:tcPr>
            <w:tcW w:w="7280" w:type="dxa"/>
            <w:tcBorders/>
            <w:shd w:fill="CCEEFF" w:val="clear"/>
            <w:vAlign w:val="center"/>
          </w:tcPr>
          <w:p>
            <w:pPr>
              <w:pStyle w:val="TableContents"/>
              <w:bidi w:val="0"/>
              <w:spacing w:before="0" w:after="0"/>
              <w:jc w:val="left"/>
              <w:rPr/>
            </w:pPr>
            <w:hyperlink w:anchor="DefaultsuponSeniorSecurit">
              <w:r>
                <w:rPr>
                  <w:rStyle w:val="InternetLink"/>
                  <w:rFonts w:ascii="Times New Roman" w:hAnsi="Times New Roman"/>
                  <w:color w:val="000000"/>
                  <w:sz w:val="20"/>
                </w:rPr>
                <w:t>Defaults Upon Senior Securities</w:t>
              </w:r>
            </w:hyperlink>
          </w:p>
        </w:tc>
        <w:tc>
          <w:tcPr>
            <w:tcW w:w="45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57</w:t>
            </w:r>
          </w:p>
        </w:tc>
      </w:tr>
      <w:tr>
        <w:trPr/>
        <w:tc>
          <w:tcPr>
            <w:tcW w:w="8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Item 4.</w:t>
            </w:r>
          </w:p>
        </w:tc>
        <w:tc>
          <w:tcPr>
            <w:tcW w:w="7280" w:type="dxa"/>
            <w:tcBorders/>
            <w:vAlign w:val="center"/>
          </w:tcPr>
          <w:p>
            <w:pPr>
              <w:pStyle w:val="TableContents"/>
              <w:bidi w:val="0"/>
              <w:spacing w:before="0" w:after="0"/>
              <w:jc w:val="left"/>
              <w:rPr/>
            </w:pPr>
            <w:hyperlink w:anchor="MineSafetyDisclosures">
              <w:r>
                <w:rPr>
                  <w:rStyle w:val="InternetLink"/>
                  <w:rFonts w:ascii="Times New Roman" w:hAnsi="Times New Roman"/>
                  <w:color w:val="000000"/>
                  <w:sz w:val="20"/>
                </w:rPr>
                <w:t>Mine Safety Disclosures</w:t>
              </w:r>
            </w:hyperlink>
          </w:p>
        </w:tc>
        <w:tc>
          <w:tcPr>
            <w:tcW w:w="45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57</w:t>
            </w:r>
          </w:p>
        </w:tc>
      </w:tr>
      <w:tr>
        <w:trPr/>
        <w:tc>
          <w:tcPr>
            <w:tcW w:w="800" w:type="dxa"/>
            <w:tcBorders/>
            <w:shd w:fill="CCEEFF" w:val="cle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Item 5.</w:t>
            </w:r>
          </w:p>
        </w:tc>
        <w:tc>
          <w:tcPr>
            <w:tcW w:w="7280" w:type="dxa"/>
            <w:tcBorders/>
            <w:shd w:fill="CCEEFF" w:val="clear"/>
            <w:vAlign w:val="center"/>
          </w:tcPr>
          <w:p>
            <w:pPr>
              <w:pStyle w:val="TableContents"/>
              <w:bidi w:val="0"/>
              <w:spacing w:before="0" w:after="0"/>
              <w:jc w:val="left"/>
              <w:rPr/>
            </w:pPr>
            <w:hyperlink w:anchor="OtherInformation">
              <w:r>
                <w:rPr>
                  <w:rStyle w:val="InternetLink"/>
                  <w:rFonts w:ascii="Times New Roman" w:hAnsi="Times New Roman"/>
                  <w:color w:val="000000"/>
                  <w:sz w:val="20"/>
                </w:rPr>
                <w:t>Other Information</w:t>
              </w:r>
            </w:hyperlink>
          </w:p>
        </w:tc>
        <w:tc>
          <w:tcPr>
            <w:tcW w:w="45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57</w:t>
            </w:r>
          </w:p>
        </w:tc>
      </w:tr>
      <w:tr>
        <w:trPr/>
        <w:tc>
          <w:tcPr>
            <w:tcW w:w="8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Item 6.</w:t>
            </w:r>
          </w:p>
        </w:tc>
        <w:tc>
          <w:tcPr>
            <w:tcW w:w="7280" w:type="dxa"/>
            <w:tcBorders/>
            <w:vAlign w:val="center"/>
          </w:tcPr>
          <w:p>
            <w:pPr>
              <w:pStyle w:val="TableContents"/>
              <w:bidi w:val="0"/>
              <w:spacing w:before="0" w:after="0"/>
              <w:jc w:val="left"/>
              <w:rPr/>
            </w:pPr>
            <w:hyperlink w:anchor="Exhibits">
              <w:r>
                <w:rPr>
                  <w:rStyle w:val="InternetLink"/>
                  <w:rFonts w:ascii="Times New Roman" w:hAnsi="Times New Roman"/>
                  <w:color w:val="000000"/>
                  <w:sz w:val="20"/>
                </w:rPr>
                <w:t>Exhibits</w:t>
              </w:r>
            </w:hyperlink>
          </w:p>
        </w:tc>
        <w:tc>
          <w:tcPr>
            <w:tcW w:w="45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58</w:t>
            </w:r>
          </w:p>
        </w:tc>
      </w:tr>
      <w:tr>
        <w:trPr/>
        <w:tc>
          <w:tcPr>
            <w:tcW w:w="8080" w:type="dxa"/>
            <w:gridSpan w:val="2"/>
            <w:tcBorders/>
            <w:shd w:fill="CCEEFF" w:val="clear"/>
            <w:vAlign w:val="center"/>
          </w:tcPr>
          <w:p>
            <w:pPr>
              <w:pStyle w:val="TableContents"/>
              <w:bidi w:val="0"/>
              <w:spacing w:before="0" w:after="0"/>
              <w:jc w:val="left"/>
              <w:rPr/>
            </w:pPr>
            <w:hyperlink w:anchor="SIGNATURES">
              <w:r>
                <w:rPr>
                  <w:rStyle w:val="InternetLink"/>
                  <w:rFonts w:ascii="Times New Roman" w:hAnsi="Times New Roman"/>
                  <w:color w:val="000000"/>
                  <w:sz w:val="20"/>
                </w:rPr>
                <w:t>Signatures</w:t>
              </w:r>
            </w:hyperlink>
          </w:p>
        </w:tc>
        <w:tc>
          <w:tcPr>
            <w:tcW w:w="455" w:type="dxa"/>
            <w:tcBorders/>
            <w:shd w:fill="CCEEFF" w:val="cle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59</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left"/>
        <w:rPr>
          <w:rFonts w:ascii="Times New Roman" w:hAnsi="Times New Roman"/>
          <w:b/>
          <w:color w:val="000000"/>
          <w:sz w:val="20"/>
        </w:rPr>
      </w:pPr>
      <w:bookmarkStart w:id="1" w:name="PARTI.FINANCIALINFORMATIO"/>
      <w:bookmarkEnd w:id="1"/>
      <w:r>
        <w:rPr>
          <w:rFonts w:ascii="Times New Roman" w:hAnsi="Times New Roman"/>
          <w:b/>
          <w:color w:val="000000"/>
          <w:sz w:val="20"/>
        </w:rPr>
        <w:t>PART I. FINANCIAL INFORMATION</w:t>
      </w:r>
    </w:p>
    <w:p>
      <w:pPr>
        <w:pStyle w:val="Normal"/>
        <w:bidi w:val="0"/>
        <w:spacing w:before="0" w:after="0"/>
        <w:jc w:val="left"/>
        <w:rPr>
          <w:sz w:val="4"/>
          <w:szCs w:val="4"/>
        </w:rPr>
      </w:pPr>
      <w:r>
        <w:rPr>
          <w:sz w:val="4"/>
          <w:szCs w:val="4"/>
        </w:rPr>
      </w:r>
      <w:bookmarkStart w:id="2" w:name="ConsolidatedFinancialStat"/>
      <w:bookmarkStart w:id="3" w:name="ConsolidatedFinancialStat"/>
      <w:bookmarkEnd w:id="3"/>
    </w:p>
    <w:tbl>
      <w:tblPr>
        <w:tblW w:w="3580" w:type="dxa"/>
        <w:jc w:val="left"/>
        <w:tblInd w:w="0" w:type="dxa"/>
        <w:tblLayout w:type="fixed"/>
        <w:tblCellMar>
          <w:top w:w="0" w:type="dxa"/>
          <w:left w:w="0" w:type="dxa"/>
          <w:bottom w:w="0" w:type="dxa"/>
          <w:right w:w="0" w:type="dxa"/>
        </w:tblCellMar>
      </w:tblPr>
      <w:tblGrid>
        <w:gridCol w:w="620"/>
        <w:gridCol w:w="2960"/>
      </w:tblGrid>
      <w:tr>
        <w:trPr/>
        <w:tc>
          <w:tcPr>
            <w:tcW w:w="62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Financial Statements</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SOUTH PLAINS FINANCIAL,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CONSOLIDATED </w:t>
      </w:r>
      <w:bookmarkStart w:id="4" w:name="BALANCESHEETS"/>
      <w:bookmarkEnd w:id="4"/>
      <w:r>
        <w:rPr>
          <w:rFonts w:ascii="Times New Roman" w:hAnsi="Times New Roman"/>
          <w:b/>
          <w:color w:val="000000"/>
          <w:sz w:val="20"/>
        </w:rPr>
        <w:t>BALANCE SHEETS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(Dollars in thousands, except per share data)</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667"/>
        <w:gridCol w:w="60"/>
        <w:gridCol w:w="125"/>
        <w:gridCol w:w="980"/>
        <w:gridCol w:w="80"/>
        <w:gridCol w:w="60"/>
        <w:gridCol w:w="128"/>
        <w:gridCol w:w="1009"/>
        <w:gridCol w:w="96"/>
      </w:tblGrid>
      <w:tr>
        <w:trPr/>
        <w:tc>
          <w:tcPr>
            <w:tcW w:w="76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96" w:type="dxa"/>
            <w:tcBorders/>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7"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0"/>
              <w:ind w:left="180" w:right="0" w:hanging="180"/>
              <w:jc w:val="left"/>
              <w:rPr>
                <w:rFonts w:ascii="Times New Roman" w:hAnsi="Times New Roman"/>
                <w:sz w:val="20"/>
                <w:u w:val="single"/>
              </w:rPr>
            </w:pPr>
            <w:r>
              <w:rPr>
                <w:rFonts w:ascii="Times New Roman" w:hAnsi="Times New Roman"/>
                <w:sz w:val="20"/>
                <w:u w:val="single"/>
              </w:rPr>
              <w:t>ASSETS</w:t>
            </w:r>
          </w:p>
        </w:tc>
        <w:tc>
          <w:tcPr>
            <w:tcW w:w="60" w:type="dxa"/>
            <w:tcBorders/>
            <w:vAlign w:val="bottom"/>
          </w:tcPr>
          <w:p>
            <w:pPr>
              <w:pStyle w:val="TableContents"/>
              <w:bidi w:val="0"/>
              <w:spacing w:before="0" w:after="283"/>
              <w:jc w:val="left"/>
              <w:rPr/>
            </w:pPr>
            <w:r>
              <w:rPr/>
              <w:t> </w:t>
            </w:r>
          </w:p>
        </w:tc>
        <w:tc>
          <w:tcPr>
            <w:tcW w:w="110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7"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r>
      <w:tr>
        <w:trPr/>
        <w:tc>
          <w:tcPr>
            <w:tcW w:w="7667"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and due from banks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64,497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61,613</w:t>
            </w:r>
          </w:p>
        </w:tc>
        <w:tc>
          <w:tcPr>
            <w:tcW w:w="96" w:type="dxa"/>
            <w:tcBorders/>
            <w:shd w:fill="CCEEFF" w:val="clear"/>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Interest-bearing deposits in banks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231,084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173,270</w:t>
            </w:r>
          </w:p>
        </w:tc>
        <w:tc>
          <w:tcPr>
            <w:tcW w:w="96" w:type="dxa"/>
            <w:tcBorders/>
            <w:vAlign w:val="bottom"/>
          </w:tcPr>
          <w:p>
            <w:pPr>
              <w:pStyle w:val="TableContents"/>
              <w:bidi w:val="0"/>
              <w:spacing w:before="0" w:after="283"/>
              <w:jc w:val="left"/>
              <w:rPr/>
            </w:pPr>
            <w:r>
              <w:rPr/>
              <w:t> </w:t>
            </w:r>
          </w:p>
        </w:tc>
      </w:tr>
      <w:tr>
        <w:trPr/>
        <w:tc>
          <w:tcPr>
            <w:tcW w:w="7667"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295,581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234,883</w:t>
            </w:r>
          </w:p>
        </w:tc>
        <w:tc>
          <w:tcPr>
            <w:tcW w:w="96" w:type="dxa"/>
            <w:tcBorders/>
            <w:shd w:fill="CCEEFF" w:val="clear"/>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Securities available for sale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628,093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701,711</w:t>
            </w:r>
          </w:p>
        </w:tc>
        <w:tc>
          <w:tcPr>
            <w:tcW w:w="96" w:type="dxa"/>
            <w:tcBorders/>
            <w:vAlign w:val="bottom"/>
          </w:tcPr>
          <w:p>
            <w:pPr>
              <w:pStyle w:val="TableContents"/>
              <w:bidi w:val="0"/>
              <w:spacing w:before="0" w:after="283"/>
              <w:jc w:val="left"/>
              <w:rPr/>
            </w:pPr>
            <w:r>
              <w:rPr/>
              <w:t> </w:t>
            </w:r>
          </w:p>
        </w:tc>
      </w:tr>
      <w:tr>
        <w:trPr/>
        <w:tc>
          <w:tcPr>
            <w:tcW w:w="7667" w:type="dxa"/>
            <w:tcBorders/>
            <w:shd w:fill="CCEEFF" w:val="clear"/>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Loans held for sale ($15,516 and $10,038 at fair value at June 30, 2023 and December 31, 2022, respectively)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22,158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30,403</w:t>
            </w:r>
          </w:p>
        </w:tc>
        <w:tc>
          <w:tcPr>
            <w:tcW w:w="96" w:type="dxa"/>
            <w:tcBorders/>
            <w:shd w:fill="CCEEFF" w:val="clear"/>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Loans held for investment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2,979,063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2,748,081</w:t>
            </w:r>
          </w:p>
        </w:tc>
        <w:tc>
          <w:tcPr>
            <w:tcW w:w="96" w:type="dxa"/>
            <w:tcBorders/>
            <w:vAlign w:val="bottom"/>
          </w:tcPr>
          <w:p>
            <w:pPr>
              <w:pStyle w:val="TableContents"/>
              <w:bidi w:val="0"/>
              <w:spacing w:before="0" w:after="283"/>
              <w:jc w:val="left"/>
              <w:rPr/>
            </w:pPr>
            <w:r>
              <w:rPr/>
              <w:t> </w:t>
            </w:r>
          </w:p>
        </w:tc>
      </w:tr>
      <w:tr>
        <w:trPr/>
        <w:tc>
          <w:tcPr>
            <w:tcW w:w="7667"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Allowance for credit losses on loans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(43,137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(39,288</w:t>
            </w:r>
          </w:p>
        </w:tc>
        <w:tc>
          <w:tcPr>
            <w:tcW w:w="9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667" w:type="dxa"/>
            <w:tcBorders/>
            <w:vAlign w:val="bottom"/>
          </w:tcPr>
          <w:p>
            <w:pPr>
              <w:pStyle w:val="TableContents"/>
              <w:bidi w:val="0"/>
              <w:spacing w:before="0" w:after="0"/>
              <w:ind w:left="180" w:right="0" w:hanging="0"/>
              <w:jc w:val="left"/>
              <w:rPr/>
            </w:pPr>
            <w:r>
              <w:rPr/>
              <w:t>Loans held for investment,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2,935,926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2,708,793</w:t>
            </w:r>
          </w:p>
        </w:tc>
        <w:tc>
          <w:tcPr>
            <w:tcW w:w="96" w:type="dxa"/>
            <w:tcBorders/>
            <w:vAlign w:val="bottom"/>
          </w:tcPr>
          <w:p>
            <w:pPr>
              <w:pStyle w:val="TableContents"/>
              <w:bidi w:val="0"/>
              <w:spacing w:before="0" w:after="283"/>
              <w:jc w:val="left"/>
              <w:rPr/>
            </w:pPr>
            <w:r>
              <w:rPr/>
              <w:t> </w:t>
            </w:r>
          </w:p>
        </w:tc>
      </w:tr>
      <w:tr>
        <w:trPr/>
        <w:tc>
          <w:tcPr>
            <w:tcW w:w="7667"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Accrued interest receivable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15,917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16,432</w:t>
            </w:r>
          </w:p>
        </w:tc>
        <w:tc>
          <w:tcPr>
            <w:tcW w:w="96" w:type="dxa"/>
            <w:tcBorders/>
            <w:shd w:fill="CCEEFF" w:val="clear"/>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Premises and equipment,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56,416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56,337</w:t>
            </w:r>
          </w:p>
        </w:tc>
        <w:tc>
          <w:tcPr>
            <w:tcW w:w="96" w:type="dxa"/>
            <w:tcBorders/>
            <w:vAlign w:val="bottom"/>
          </w:tcPr>
          <w:p>
            <w:pPr>
              <w:pStyle w:val="TableContents"/>
              <w:bidi w:val="0"/>
              <w:spacing w:before="0" w:after="283"/>
              <w:jc w:val="left"/>
              <w:rPr/>
            </w:pPr>
            <w:r>
              <w:rPr/>
              <w:t> </w:t>
            </w:r>
          </w:p>
        </w:tc>
      </w:tr>
      <w:tr>
        <w:trPr/>
        <w:tc>
          <w:tcPr>
            <w:tcW w:w="7667"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Bank-owned life insurance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73,804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73,174</w:t>
            </w:r>
          </w:p>
        </w:tc>
        <w:tc>
          <w:tcPr>
            <w:tcW w:w="96" w:type="dxa"/>
            <w:tcBorders/>
            <w:shd w:fill="CCEEFF" w:val="clear"/>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Goodwill</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19,315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19,508</w:t>
            </w:r>
          </w:p>
        </w:tc>
        <w:tc>
          <w:tcPr>
            <w:tcW w:w="96" w:type="dxa"/>
            <w:tcBorders/>
            <w:vAlign w:val="bottom"/>
          </w:tcPr>
          <w:p>
            <w:pPr>
              <w:pStyle w:val="TableContents"/>
              <w:bidi w:val="0"/>
              <w:spacing w:before="0" w:after="283"/>
              <w:jc w:val="left"/>
              <w:rPr/>
            </w:pPr>
            <w:r>
              <w:rPr/>
              <w:t> </w:t>
            </w:r>
          </w:p>
        </w:tc>
      </w:tr>
      <w:tr>
        <w:trPr/>
        <w:tc>
          <w:tcPr>
            <w:tcW w:w="7667"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Intangible assets,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4,349</w:t>
            </w:r>
          </w:p>
        </w:tc>
        <w:tc>
          <w:tcPr>
            <w:tcW w:w="96" w:type="dxa"/>
            <w:tcBorders/>
            <w:shd w:fill="CCEEFF" w:val="clear"/>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Mortgage servicing rights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26,658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27,474</w:t>
            </w:r>
          </w:p>
        </w:tc>
        <w:tc>
          <w:tcPr>
            <w:tcW w:w="96" w:type="dxa"/>
            <w:tcBorders/>
            <w:vAlign w:val="bottom"/>
          </w:tcPr>
          <w:p>
            <w:pPr>
              <w:pStyle w:val="TableContents"/>
              <w:bidi w:val="0"/>
              <w:spacing w:before="0" w:after="283"/>
              <w:jc w:val="left"/>
              <w:rPr/>
            </w:pPr>
            <w:r>
              <w:rPr/>
              <w:t> </w:t>
            </w:r>
          </w:p>
        </w:tc>
      </w:tr>
      <w:tr>
        <w:trPr/>
        <w:tc>
          <w:tcPr>
            <w:tcW w:w="7667"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Deferred tax asset,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22,359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22,818</w:t>
            </w:r>
          </w:p>
        </w:tc>
        <w:tc>
          <w:tcPr>
            <w:tcW w:w="96" w:type="dxa"/>
            <w:tcBorders/>
            <w:shd w:fill="CCEEFF" w:val="clear"/>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assets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51,068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48,181</w:t>
            </w:r>
          </w:p>
        </w:tc>
        <w:tc>
          <w:tcPr>
            <w:tcW w:w="96" w:type="dxa"/>
            <w:tcBorders/>
            <w:vAlign w:val="bottom"/>
          </w:tcPr>
          <w:p>
            <w:pPr>
              <w:pStyle w:val="TableContents"/>
              <w:bidi w:val="0"/>
              <w:spacing w:before="0" w:after="283"/>
              <w:jc w:val="left"/>
              <w:rPr/>
            </w:pPr>
            <w:r>
              <w:rPr/>
              <w:t> </w:t>
            </w:r>
          </w:p>
        </w:tc>
      </w:tr>
      <w:tr>
        <w:trPr/>
        <w:tc>
          <w:tcPr>
            <w:tcW w:w="7667" w:type="dxa"/>
            <w:tcBorders/>
            <w:shd w:fill="CCEEFF" w:val="clear"/>
            <w:vAlign w:val="bottom"/>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Total assets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4,150,129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3,944,063</w:t>
            </w:r>
          </w:p>
        </w:tc>
        <w:tc>
          <w:tcPr>
            <w:tcW w:w="96" w:type="dxa"/>
            <w:tcBorders/>
            <w:shd w:fill="CCEEFF" w:val="clear"/>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7667" w:type="dxa"/>
            <w:tcBorders/>
            <w:shd w:fill="CCEEFF" w:val="clear"/>
            <w:vAlign w:val="bottom"/>
          </w:tcPr>
          <w:p>
            <w:pPr>
              <w:pStyle w:val="TableContents"/>
              <w:bidi w:val="0"/>
              <w:spacing w:before="0" w:after="0"/>
              <w:ind w:left="180" w:right="0" w:hanging="180"/>
              <w:jc w:val="left"/>
              <w:rPr>
                <w:rFonts w:ascii="Times New Roman" w:hAnsi="Times New Roman"/>
                <w:sz w:val="20"/>
                <w:u w:val="single"/>
              </w:rPr>
            </w:pPr>
            <w:r>
              <w:rPr>
                <w:rFonts w:ascii="Times New Roman" w:hAnsi="Times New Roman"/>
                <w:sz w:val="20"/>
                <w:u w:val="single"/>
              </w:rPr>
              <w:t>LIABILITIES AND STOCKHOLDERS’ EQUITY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7667"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Deposits: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Noninterest-bearing</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1,100,767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1,150,488</w:t>
            </w:r>
          </w:p>
        </w:tc>
        <w:tc>
          <w:tcPr>
            <w:tcW w:w="96" w:type="dxa"/>
            <w:tcBorders/>
            <w:vAlign w:val="bottom"/>
          </w:tcPr>
          <w:p>
            <w:pPr>
              <w:pStyle w:val="TableContents"/>
              <w:bidi w:val="0"/>
              <w:spacing w:before="0" w:after="283"/>
              <w:jc w:val="left"/>
              <w:rPr/>
            </w:pPr>
            <w:r>
              <w:rPr/>
              <w:t> </w:t>
            </w:r>
          </w:p>
        </w:tc>
      </w:tr>
      <w:tr>
        <w:trPr/>
        <w:tc>
          <w:tcPr>
            <w:tcW w:w="7667"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Interest-bearing</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2,473,755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2,255,942</w:t>
            </w:r>
          </w:p>
        </w:tc>
        <w:tc>
          <w:tcPr>
            <w:tcW w:w="96" w:type="dxa"/>
            <w:tcBorders/>
            <w:shd w:fill="CCEEFF" w:val="clear"/>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Total deposits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3,574,522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3,406,430</w:t>
            </w:r>
          </w:p>
        </w:tc>
        <w:tc>
          <w:tcPr>
            <w:tcW w:w="96" w:type="dxa"/>
            <w:tcBorders/>
            <w:vAlign w:val="bottom"/>
          </w:tcPr>
          <w:p>
            <w:pPr>
              <w:pStyle w:val="TableContents"/>
              <w:bidi w:val="0"/>
              <w:spacing w:before="0" w:after="283"/>
              <w:jc w:val="left"/>
              <w:rPr/>
            </w:pPr>
            <w:r>
              <w:rPr/>
              <w:t> </w:t>
            </w:r>
          </w:p>
        </w:tc>
      </w:tr>
      <w:tr>
        <w:trPr/>
        <w:tc>
          <w:tcPr>
            <w:tcW w:w="7667"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Accrued expenses and other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61,131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58,265</w:t>
            </w:r>
          </w:p>
        </w:tc>
        <w:tc>
          <w:tcPr>
            <w:tcW w:w="96" w:type="dxa"/>
            <w:tcBorders/>
            <w:shd w:fill="CCEEFF" w:val="clear"/>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Subordinated debt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76,054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75,961</w:t>
            </w:r>
          </w:p>
        </w:tc>
        <w:tc>
          <w:tcPr>
            <w:tcW w:w="96" w:type="dxa"/>
            <w:tcBorders/>
            <w:vAlign w:val="bottom"/>
          </w:tcPr>
          <w:p>
            <w:pPr>
              <w:pStyle w:val="TableContents"/>
              <w:bidi w:val="0"/>
              <w:spacing w:before="0" w:after="283"/>
              <w:jc w:val="left"/>
              <w:rPr/>
            </w:pPr>
            <w:r>
              <w:rPr/>
              <w:t> </w:t>
            </w:r>
          </w:p>
        </w:tc>
      </w:tr>
      <w:tr>
        <w:trPr/>
        <w:tc>
          <w:tcPr>
            <w:tcW w:w="7667"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Junior subordinated deferrable interest debentures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46,393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46,393</w:t>
            </w:r>
          </w:p>
        </w:tc>
        <w:tc>
          <w:tcPr>
            <w:tcW w:w="96" w:type="dxa"/>
            <w:tcBorders/>
            <w:shd w:fill="CCEEFF" w:val="clear"/>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Total liabilities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3,758,100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3,587,049</w:t>
            </w:r>
          </w:p>
        </w:tc>
        <w:tc>
          <w:tcPr>
            <w:tcW w:w="96" w:type="dxa"/>
            <w:tcBorders/>
            <w:vAlign w:val="bottom"/>
          </w:tcPr>
          <w:p>
            <w:pPr>
              <w:pStyle w:val="TableContents"/>
              <w:bidi w:val="0"/>
              <w:spacing w:before="0" w:after="283"/>
              <w:jc w:val="left"/>
              <w:rPr/>
            </w:pPr>
            <w:r>
              <w:rPr/>
              <w:t> </w:t>
            </w:r>
          </w:p>
        </w:tc>
      </w:tr>
      <w:tr>
        <w:trPr/>
        <w:tc>
          <w:tcPr>
            <w:tcW w:w="766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Stockholders’ equity: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7667" w:type="dxa"/>
            <w:tcBorders/>
            <w:shd w:fill="CCEEFF" w:val="clear"/>
            <w:vAlign w:val="bottom"/>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Common stock, $1.00 par value per share, 30,000,000 shares authorized; 16,952,072 and 17,027,197 issued and outstanding at June 30, 2023 and December 31, 2022, respectively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16,952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17,027</w:t>
            </w:r>
          </w:p>
        </w:tc>
        <w:tc>
          <w:tcPr>
            <w:tcW w:w="96" w:type="dxa"/>
            <w:tcBorders/>
            <w:shd w:fill="CCEEFF" w:val="clear"/>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Additional paid-in capital</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111,133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112,834</w:t>
            </w:r>
          </w:p>
        </w:tc>
        <w:tc>
          <w:tcPr>
            <w:tcW w:w="96" w:type="dxa"/>
            <w:tcBorders/>
            <w:vAlign w:val="bottom"/>
          </w:tcPr>
          <w:p>
            <w:pPr>
              <w:pStyle w:val="TableContents"/>
              <w:bidi w:val="0"/>
              <w:spacing w:before="0" w:after="283"/>
              <w:jc w:val="left"/>
              <w:rPr/>
            </w:pPr>
            <w:r>
              <w:rPr/>
              <w:t> </w:t>
            </w:r>
          </w:p>
        </w:tc>
      </w:tr>
      <w:tr>
        <w:trPr/>
        <w:tc>
          <w:tcPr>
            <w:tcW w:w="7667"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Retained earnings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325,772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292,261</w:t>
            </w:r>
          </w:p>
        </w:tc>
        <w:tc>
          <w:tcPr>
            <w:tcW w:w="96" w:type="dxa"/>
            <w:tcBorders/>
            <w:shd w:fill="CCEEFF" w:val="clear"/>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Accumulated other comprehensive loss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(61,828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(65,108</w:t>
            </w:r>
          </w:p>
        </w:tc>
        <w:tc>
          <w:tcPr>
            <w:tcW w:w="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667"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Total stockholders’ equity</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392,029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357,014</w:t>
            </w:r>
          </w:p>
        </w:tc>
        <w:tc>
          <w:tcPr>
            <w:tcW w:w="96" w:type="dxa"/>
            <w:tcBorders/>
            <w:shd w:fill="CCEEFF" w:val="clear"/>
            <w:vAlign w:val="bottom"/>
          </w:tcPr>
          <w:p>
            <w:pPr>
              <w:pStyle w:val="TableContents"/>
              <w:bidi w:val="0"/>
              <w:spacing w:before="0" w:after="283"/>
              <w:jc w:val="left"/>
              <w:rPr/>
            </w:pPr>
            <w:r>
              <w:rPr/>
              <w:t> </w:t>
            </w:r>
          </w:p>
        </w:tc>
      </w:tr>
      <w:tr>
        <w:trPr/>
        <w:tc>
          <w:tcPr>
            <w:tcW w:w="7667"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Total liabilities and stockholders’ equity</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4,150,129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3,944,063</w:t>
            </w:r>
          </w:p>
        </w:tc>
        <w:tc>
          <w:tcPr>
            <w:tcW w:w="96"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SOUTH PLAINS FINANCIAL,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CONSOLIDATED </w:t>
      </w:r>
      <w:bookmarkStart w:id="5" w:name="STATEMENTSOFCOMPREHENSIVE"/>
      <w:bookmarkEnd w:id="5"/>
      <w:r>
        <w:rPr>
          <w:rFonts w:ascii="Times New Roman" w:hAnsi="Times New Roman"/>
          <w:b/>
          <w:color w:val="000000"/>
          <w:sz w:val="20"/>
        </w:rPr>
        <w:t>STATEMENTS OF COMPREHENSIVE INCOME (LOSS)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(Dollars in thousands, except per share data)</w:t>
      </w:r>
    </w:p>
    <w:p>
      <w:pPr>
        <w:pStyle w:val="TextBody"/>
        <w:bidi w:val="0"/>
        <w:spacing w:before="0" w:after="0"/>
        <w:jc w:val="left"/>
        <w:rPr/>
      </w:pPr>
      <w:r>
        <w:rPr/>
      </w:r>
    </w:p>
    <w:tbl>
      <w:tblPr>
        <w:tblW w:w="8342" w:type="dxa"/>
        <w:jc w:val="left"/>
        <w:tblInd w:w="0" w:type="dxa"/>
        <w:tblLayout w:type="fixed"/>
        <w:tblCellMar>
          <w:top w:w="0" w:type="dxa"/>
          <w:left w:w="0" w:type="dxa"/>
          <w:bottom w:w="0" w:type="dxa"/>
          <w:right w:w="0" w:type="dxa"/>
        </w:tblCellMar>
      </w:tblPr>
      <w:tblGrid>
        <w:gridCol w:w="4640"/>
        <w:gridCol w:w="60"/>
        <w:gridCol w:w="136"/>
        <w:gridCol w:w="742"/>
        <w:gridCol w:w="65"/>
        <w:gridCol w:w="65"/>
        <w:gridCol w:w="136"/>
        <w:gridCol w:w="643"/>
        <w:gridCol w:w="60"/>
        <w:gridCol w:w="60"/>
        <w:gridCol w:w="125"/>
        <w:gridCol w:w="680"/>
        <w:gridCol w:w="60"/>
        <w:gridCol w:w="60"/>
        <w:gridCol w:w="125"/>
        <w:gridCol w:w="590"/>
        <w:gridCol w:w="95"/>
      </w:tblGrid>
      <w:tr>
        <w:trPr/>
        <w:tc>
          <w:tcPr>
            <w:tcW w:w="46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95" w:type="dxa"/>
            <w:tcBorders/>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7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95" w:type="dxa"/>
            <w:tcBorders/>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left"/>
              <w:rPr/>
            </w:pPr>
            <w:r>
              <w:rPr/>
              <w:t> </w:t>
            </w:r>
          </w:p>
        </w:tc>
        <w:tc>
          <w:tcPr>
            <w:tcW w:w="878"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7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Loans, including fees</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42,864</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35,419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82,461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64,797</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Securities:</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Taxable</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5,365</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10,605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5,918</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Non-taxable</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1,108</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2,281</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Federal funds sold and interest-bearing deposits in banks</w:t>
            </w:r>
          </w:p>
        </w:tc>
        <w:tc>
          <w:tcPr>
            <w:tcW w:w="60"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1,484</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836</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677" w:right="0" w:hanging="144"/>
              <w:jc w:val="left"/>
              <w:rPr>
                <w:rFonts w:ascii="Times New Roman" w:hAnsi="Times New Roman"/>
                <w:sz w:val="20"/>
              </w:rPr>
            </w:pPr>
            <w:r>
              <w:rPr>
                <w:rFonts w:ascii="Times New Roman" w:hAnsi="Times New Roman"/>
                <w:sz w:val="20"/>
              </w:rPr>
              <w:t>Total interest income</w:t>
            </w:r>
          </w:p>
        </w:tc>
        <w:tc>
          <w:tcPr>
            <w:tcW w:w="60" w:type="dxa"/>
            <w:tcBorders/>
            <w:vAlign w:val="bottom"/>
          </w:tcPr>
          <w:p>
            <w:pPr>
              <w:pStyle w:val="TableContents"/>
              <w:bidi w:val="0"/>
              <w:spacing w:before="0" w:after="283"/>
              <w:jc w:val="righ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50,821</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64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40,752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98,269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73,832</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Deposits</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14,433</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25,803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4,207</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Notes payable &amp; other borrowings</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Subordinated debt</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1,013</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2,025</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Junior subordinated deferrable interest debentures</w:t>
            </w:r>
          </w:p>
        </w:tc>
        <w:tc>
          <w:tcPr>
            <w:tcW w:w="60"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789</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548</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677" w:right="0" w:hanging="144"/>
              <w:jc w:val="left"/>
              <w:rPr>
                <w:rFonts w:ascii="Times New Roman" w:hAnsi="Times New Roman"/>
                <w:sz w:val="20"/>
              </w:rPr>
            </w:pPr>
            <w:r>
              <w:rPr>
                <w:rFonts w:ascii="Times New Roman" w:hAnsi="Times New Roman"/>
                <w:sz w:val="20"/>
              </w:rPr>
              <w:t>Total interest expense</w:t>
            </w:r>
          </w:p>
        </w:tc>
        <w:tc>
          <w:tcPr>
            <w:tcW w:w="60" w:type="dxa"/>
            <w:tcBorders/>
            <w:vAlign w:val="bottom"/>
          </w:tcPr>
          <w:p>
            <w:pPr>
              <w:pStyle w:val="TableContents"/>
              <w:bidi w:val="0"/>
              <w:spacing w:before="0" w:after="283"/>
              <w:jc w:val="righ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16,240</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64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29,373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6,780</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interest income</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34,581</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37,105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68,896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67,052</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283"/>
              <w:jc w:val="left"/>
              <w:rPr/>
            </w:pPr>
            <w:r>
              <w:rPr/>
              <w:t>Provision for credit losses</w:t>
            </w:r>
          </w:p>
        </w:tc>
        <w:tc>
          <w:tcPr>
            <w:tcW w:w="60" w:type="dxa"/>
            <w:tcBorders/>
            <w:vAlign w:val="bottom"/>
          </w:tcPr>
          <w:p>
            <w:pPr>
              <w:pStyle w:val="TableContents"/>
              <w:bidi w:val="0"/>
              <w:spacing w:before="0" w:after="283"/>
              <w:jc w:val="righ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3,700</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643"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(2,085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Net interest income, after provision for credit losses</w:t>
            </w:r>
          </w:p>
        </w:tc>
        <w:tc>
          <w:tcPr>
            <w:tcW w:w="60"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30,881</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37,105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64,186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69,137</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Noninterest income:</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Service charges on deposit accounts</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1,745</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3,385</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Income from insurance activities</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3,147</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Net gain on sales of loans</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3,528</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6,446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13,472</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Bank card services and interchange fees</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4,043</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6,700</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Other mortgage banking income</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1,731</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8,834</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Investment commissions</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420</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1,012</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Fiduciary fees</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597</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1,247</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0" w:right="0" w:firstLine="180"/>
              <w:jc w:val="left"/>
              <w:rPr/>
            </w:pPr>
            <w:r>
              <w:rPr/>
              <w:t>Gain on sale of subsidiary</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33,488</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33,488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w:t>
            </w:r>
          </w:p>
        </w:tc>
        <w:tc>
          <w:tcPr>
            <w:tcW w:w="60"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1,523</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4,735</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677" w:right="0" w:hanging="144"/>
              <w:jc w:val="left"/>
              <w:rPr>
                <w:rFonts w:ascii="Times New Roman" w:hAnsi="Times New Roman"/>
                <w:sz w:val="20"/>
              </w:rPr>
            </w:pPr>
            <w:r>
              <w:rPr>
                <w:rFonts w:ascii="Times New Roman" w:hAnsi="Times New Roman"/>
                <w:sz w:val="20"/>
              </w:rPr>
              <w:t>Total noninterest income</w:t>
            </w:r>
          </w:p>
        </w:tc>
        <w:tc>
          <w:tcPr>
            <w:tcW w:w="60" w:type="dxa"/>
            <w:tcBorders/>
            <w:vAlign w:val="bottom"/>
          </w:tcPr>
          <w:p>
            <w:pPr>
              <w:pStyle w:val="TableContents"/>
              <w:bidi w:val="0"/>
              <w:spacing w:before="0" w:after="283"/>
              <w:jc w:val="righ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47,112</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64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57,803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42,532</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Noninterest expense:</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Salaries and employee benefits</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23,437</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21,990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42,691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44,693</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Occupancy and equipment, net</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4,303</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7,770</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Professional services</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1,716</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5,272</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Marketing and development</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784</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1,478</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IT and data services</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888</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1,994</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Bank card expenses</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1,316</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2,651</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Appraisal expenses</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301</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1,073</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360" w:right="0" w:hanging="180"/>
              <w:jc w:val="left"/>
              <w:rPr/>
            </w:pPr>
            <w:r>
              <w:rPr/>
              <w:t>Realized loss on sale of securities</w:t>
            </w:r>
          </w:p>
        </w:tc>
        <w:tc>
          <w:tcPr>
            <w:tcW w:w="60"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bottom"/>
          </w:tcPr>
          <w:p>
            <w:pPr>
              <w:pStyle w:val="TableContents"/>
              <w:bidi w:val="0"/>
              <w:spacing w:before="0" w:after="283"/>
              <w:jc w:val="right"/>
              <w:rPr/>
            </w:pPr>
            <w:r>
              <w:rPr/>
              <w:t>3,409</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3"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3,409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w:t>
            </w:r>
          </w:p>
        </w:tc>
        <w:tc>
          <w:tcPr>
            <w:tcW w:w="60" w:type="dxa"/>
            <w:tcBorders/>
            <w:vAlign w:val="bottom"/>
          </w:tcPr>
          <w:p>
            <w:pPr>
              <w:pStyle w:val="TableContents"/>
              <w:bidi w:val="0"/>
              <w:spacing w:before="0" w:after="283"/>
              <w:jc w:val="righ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4,345</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64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9,049</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677" w:right="0" w:hanging="144"/>
              <w:jc w:val="left"/>
              <w:rPr>
                <w:rFonts w:ascii="Times New Roman" w:hAnsi="Times New Roman"/>
                <w:sz w:val="20"/>
              </w:rPr>
            </w:pPr>
            <w:r>
              <w:rPr>
                <w:rFonts w:ascii="Times New Roman" w:hAnsi="Times New Roman"/>
                <w:sz w:val="20"/>
              </w:rPr>
              <w:t>Total noninterest expense</w:t>
            </w:r>
          </w:p>
        </w:tc>
        <w:tc>
          <w:tcPr>
            <w:tcW w:w="60"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40,499</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36,056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72,860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73,980</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Income before income taxes</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37,494</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19,884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49,129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37,689</w:t>
            </w:r>
          </w:p>
        </w:tc>
        <w:tc>
          <w:tcPr>
            <w:tcW w:w="95" w:type="dxa"/>
            <w:tcBorders/>
            <w:vAlign w:val="bottom"/>
          </w:tcPr>
          <w:p>
            <w:pPr>
              <w:pStyle w:val="TableContents"/>
              <w:bidi w:val="0"/>
              <w:spacing w:before="0" w:after="283"/>
              <w:jc w:val="left"/>
              <w:rPr/>
            </w:pPr>
            <w:r>
              <w:rPr/>
              <w:t> </w:t>
            </w:r>
          </w:p>
        </w:tc>
      </w:tr>
      <w:tr>
        <w:trPr/>
        <w:tc>
          <w:tcPr>
            <w:tcW w:w="46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Income tax expense</w:t>
            </w:r>
          </w:p>
        </w:tc>
        <w:tc>
          <w:tcPr>
            <w:tcW w:w="60"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7,811</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7,528</w:t>
            </w:r>
          </w:p>
        </w:tc>
        <w:tc>
          <w:tcPr>
            <w:tcW w:w="95" w:type="dxa"/>
            <w:tcBorders/>
            <w:shd w:fill="CCEEFF" w:val="clear"/>
            <w:vAlign w:val="bottom"/>
          </w:tcPr>
          <w:p>
            <w:pPr>
              <w:pStyle w:val="TableContents"/>
              <w:bidi w:val="0"/>
              <w:spacing w:before="0" w:after="283"/>
              <w:jc w:val="left"/>
              <w:rPr/>
            </w:pPr>
            <w:r>
              <w:rPr/>
              <w:t> </w:t>
            </w:r>
          </w:p>
        </w:tc>
      </w:tr>
      <w:tr>
        <w:trPr/>
        <w:tc>
          <w:tcPr>
            <w:tcW w:w="4640" w:type="dxa"/>
            <w:tcBorders/>
            <w:vAlign w:val="bottom"/>
          </w:tcPr>
          <w:p>
            <w:pPr>
              <w:pStyle w:val="TableContents"/>
              <w:bidi w:val="0"/>
              <w:spacing w:before="0" w:after="0"/>
              <w:ind w:left="677" w:right="0" w:hanging="144"/>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right"/>
              <w:rPr/>
            </w:pPr>
            <w:r>
              <w:rPr/>
              <w:t> </w:t>
            </w:r>
          </w:p>
        </w:tc>
        <w:tc>
          <w:tcPr>
            <w:tcW w:w="1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29,683</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15,883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38,927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30,161</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SOUTH PLAINS FINANCIAL,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CONSOLIDATED STATEMENTS OF COMPREHENSIVE INCOME (LOSS) (CONTINUED)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(Dollars in thousands, except per share data)</w:t>
      </w:r>
    </w:p>
    <w:p>
      <w:pPr>
        <w:pStyle w:val="TextBody"/>
        <w:bidi w:val="0"/>
        <w:spacing w:before="0" w:after="0"/>
        <w:jc w:val="left"/>
        <w:rPr/>
      </w:pPr>
      <w:r>
        <w:rPr/>
      </w:r>
    </w:p>
    <w:tbl>
      <w:tblPr>
        <w:tblW w:w="9206" w:type="dxa"/>
        <w:jc w:val="left"/>
        <w:tblInd w:w="0" w:type="dxa"/>
        <w:tblLayout w:type="fixed"/>
        <w:tblCellMar>
          <w:top w:w="0" w:type="dxa"/>
          <w:left w:w="0" w:type="dxa"/>
          <w:bottom w:w="0" w:type="dxa"/>
          <w:right w:w="0" w:type="dxa"/>
        </w:tblCellMar>
      </w:tblPr>
      <w:tblGrid>
        <w:gridCol w:w="5495"/>
        <w:gridCol w:w="60"/>
        <w:gridCol w:w="137"/>
        <w:gridCol w:w="647"/>
        <w:gridCol w:w="87"/>
        <w:gridCol w:w="65"/>
        <w:gridCol w:w="137"/>
        <w:gridCol w:w="713"/>
        <w:gridCol w:w="80"/>
        <w:gridCol w:w="60"/>
        <w:gridCol w:w="125"/>
        <w:gridCol w:w="590"/>
        <w:gridCol w:w="80"/>
        <w:gridCol w:w="60"/>
        <w:gridCol w:w="125"/>
        <w:gridCol w:w="650"/>
        <w:gridCol w:w="95"/>
      </w:tblGrid>
      <w:tr>
        <w:trPr/>
        <w:tc>
          <w:tcPr>
            <w:tcW w:w="54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8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95" w:type="dxa"/>
            <w:tcBorders/>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95" w:type="dxa"/>
            <w:tcBorders/>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Earnings per share:</w:t>
            </w:r>
          </w:p>
        </w:tc>
        <w:tc>
          <w:tcPr>
            <w:tcW w:w="60" w:type="dxa"/>
            <w:tcBorders/>
            <w:vAlign w:val="bottom"/>
          </w:tcPr>
          <w:p>
            <w:pPr>
              <w:pStyle w:val="TableContents"/>
              <w:bidi w:val="0"/>
              <w:spacing w:before="0" w:after="283"/>
              <w:jc w:val="left"/>
              <w:rPr/>
            </w:pPr>
            <w:r>
              <w:rPr/>
              <w:t> </w:t>
            </w:r>
          </w:p>
        </w:tc>
        <w:tc>
          <w:tcPr>
            <w:tcW w:w="784" w:type="dxa"/>
            <w:gridSpan w:val="2"/>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5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1.71</w:t>
            </w:r>
          </w:p>
        </w:tc>
        <w:tc>
          <w:tcPr>
            <w:tcW w:w="95"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1.71</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1.66</w:t>
            </w:r>
          </w:p>
        </w:tc>
        <w:tc>
          <w:tcPr>
            <w:tcW w:w="95"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29,683</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15,883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38,927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30,161</w:t>
            </w:r>
          </w:p>
        </w:tc>
        <w:tc>
          <w:tcPr>
            <w:tcW w:w="95"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283"/>
              <w:jc w:val="left"/>
              <w:rPr/>
            </w:pPr>
            <w:r>
              <w:rPr/>
              <w:t>Other comprehensive income (loss):</w:t>
            </w:r>
          </w:p>
        </w:tc>
        <w:tc>
          <w:tcPr>
            <w:tcW w:w="60"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283"/>
              <w:jc w:val="left"/>
              <w:rPr/>
            </w:pPr>
            <w:r>
              <w:rPr/>
              <w:t>Unrealized gains (losses) on securities available for sale</w:t>
            </w:r>
          </w:p>
        </w:tc>
        <w:tc>
          <w:tcPr>
            <w:tcW w:w="60"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(7,109</w:t>
            </w:r>
          </w:p>
        </w:tc>
        <w:tc>
          <w:tcPr>
            <w:tcW w:w="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(42,097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(86,974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495" w:type="dxa"/>
            <w:tcBorders/>
            <w:shd w:fill="CCEEFF" w:val="clear"/>
            <w:vAlign w:val="bottom"/>
          </w:tcPr>
          <w:p>
            <w:pPr>
              <w:pStyle w:val="TableContents"/>
              <w:bidi w:val="0"/>
              <w:spacing w:before="0" w:after="0"/>
              <w:ind w:left="360" w:right="0" w:hanging="18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Less: Change in fair value on hedged state and municipal securities</w:t>
            </w:r>
          </w:p>
        </w:tc>
        <w:tc>
          <w:tcPr>
            <w:tcW w:w="60"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1,866</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10,349</w:t>
            </w:r>
          </w:p>
        </w:tc>
        <w:tc>
          <w:tcPr>
            <w:tcW w:w="95"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180" w:right="0" w:hanging="0"/>
              <w:jc w:val="left"/>
              <w:rPr/>
            </w:pPr>
            <w:r>
              <w:rPr/>
              <w:t>Reclassification adjustment for loss on sale of securities</w:t>
            </w:r>
          </w:p>
        </w:tc>
        <w:tc>
          <w:tcPr>
            <w:tcW w:w="60" w:type="dxa"/>
            <w:tcBorders/>
            <w:vAlign w:val="bottom"/>
          </w:tcPr>
          <w:p>
            <w:pPr>
              <w:pStyle w:val="TableContents"/>
              <w:bidi w:val="0"/>
              <w:spacing w:before="0" w:after="283"/>
              <w:jc w:val="right"/>
              <w:rPr/>
            </w:pPr>
            <w:r>
              <w:rPr/>
              <w:t> </w:t>
            </w:r>
          </w:p>
        </w:tc>
        <w:tc>
          <w:tcPr>
            <w:tcW w:w="137" w:type="dxa"/>
            <w:tcBorders>
              <w:bottom w:val="single" w:sz="12" w:space="0" w:color="000000"/>
            </w:tcBorders>
            <w:tcMar>
              <w:bottom w:w="28" w:type="dxa"/>
            </w:tcMar>
            <w:vAlign w:val="bottom"/>
          </w:tcPr>
          <w:p>
            <w:pPr>
              <w:pStyle w:val="TableContents"/>
              <w:bidi w:val="0"/>
              <w:spacing w:before="0" w:after="283"/>
              <w:jc w:val="left"/>
              <w:rPr/>
            </w:pPr>
            <w:r>
              <w:rPr/>
              <w:t> </w:t>
            </w:r>
          </w:p>
        </w:tc>
        <w:tc>
          <w:tcPr>
            <w:tcW w:w="647" w:type="dxa"/>
            <w:tcBorders>
              <w:bottom w:val="single" w:sz="12" w:space="0" w:color="000000"/>
            </w:tcBorders>
            <w:tcMar>
              <w:bottom w:w="28" w:type="dxa"/>
            </w:tcMar>
            <w:vAlign w:val="bottom"/>
          </w:tcPr>
          <w:p>
            <w:pPr>
              <w:pStyle w:val="TableContents"/>
              <w:bidi w:val="0"/>
              <w:spacing w:before="0" w:after="283"/>
              <w:jc w:val="right"/>
              <w:rPr/>
            </w:pPr>
            <w:r>
              <w:rPr/>
              <w:t>3,409</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7" w:type="dxa"/>
            <w:tcBorders>
              <w:bottom w:val="single" w:sz="12" w:space="0" w:color="000000"/>
            </w:tcBorders>
            <w:tcMar>
              <w:bottom w:w="28" w:type="dxa"/>
            </w:tcMar>
            <w:vAlign w:val="bottom"/>
          </w:tcPr>
          <w:p>
            <w:pPr>
              <w:pStyle w:val="TableContents"/>
              <w:bidi w:val="0"/>
              <w:spacing w:before="0" w:after="283"/>
              <w:jc w:val="left"/>
              <w:rPr/>
            </w:pPr>
            <w:r>
              <w:rPr/>
              <w:t> </w:t>
            </w:r>
          </w:p>
        </w:tc>
        <w:tc>
          <w:tcPr>
            <w:tcW w:w="713"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3,409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549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Tax effect</w:t>
            </w:r>
          </w:p>
        </w:tc>
        <w:tc>
          <w:tcPr>
            <w:tcW w:w="60" w:type="dxa"/>
            <w:tcBorders/>
            <w:shd w:fill="CCEEFF" w:val="clear"/>
            <w:vAlign w:val="bottom"/>
          </w:tcPr>
          <w:p>
            <w:pPr>
              <w:pStyle w:val="TableContents"/>
              <w:bidi w:val="0"/>
              <w:spacing w:before="0" w:after="283"/>
              <w:jc w:val="righ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4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385</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8,116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(872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16,091</w:t>
            </w:r>
          </w:p>
        </w:tc>
        <w:tc>
          <w:tcPr>
            <w:tcW w:w="95" w:type="dxa"/>
            <w:tcBorders/>
            <w:shd w:fill="CCEEFF" w:val="clear"/>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0"/>
              <w:ind w:left="360" w:right="0" w:hanging="0"/>
              <w:jc w:val="left"/>
              <w:rPr/>
            </w:pPr>
            <w:r>
              <w:rPr/>
              <w:t>Other comprehensive income (loss)</w:t>
            </w:r>
          </w:p>
        </w:tc>
        <w:tc>
          <w:tcPr>
            <w:tcW w:w="60" w:type="dxa"/>
            <w:tcBorders/>
            <w:vAlign w:val="bottom"/>
          </w:tcPr>
          <w:p>
            <w:pPr>
              <w:pStyle w:val="TableContents"/>
              <w:bidi w:val="0"/>
              <w:spacing w:before="0" w:after="283"/>
              <w:jc w:val="right"/>
              <w:rPr/>
            </w:pPr>
            <w:r>
              <w:rPr/>
              <w:t> </w:t>
            </w:r>
          </w:p>
        </w:tc>
        <w:tc>
          <w:tcPr>
            <w:tcW w:w="137" w:type="dxa"/>
            <w:tcBorders>
              <w:bottom w:val="single" w:sz="12" w:space="0" w:color="000000"/>
            </w:tcBorders>
            <w:tcMar>
              <w:bottom w:w="28" w:type="dxa"/>
            </w:tcMar>
            <w:vAlign w:val="bottom"/>
          </w:tcPr>
          <w:p>
            <w:pPr>
              <w:pStyle w:val="TableContents"/>
              <w:bidi w:val="0"/>
              <w:spacing w:before="0" w:after="283"/>
              <w:jc w:val="left"/>
              <w:rPr/>
            </w:pPr>
            <w:r>
              <w:rPr/>
              <w:t> </w:t>
            </w:r>
          </w:p>
        </w:tc>
        <w:tc>
          <w:tcPr>
            <w:tcW w:w="6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(1,449</w:t>
            </w:r>
          </w:p>
        </w:tc>
        <w:tc>
          <w:tcPr>
            <w:tcW w:w="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vAlign w:val="bottom"/>
          </w:tcPr>
          <w:p>
            <w:pPr>
              <w:pStyle w:val="TableContents"/>
              <w:bidi w:val="0"/>
              <w:spacing w:before="0" w:after="283"/>
              <w:jc w:val="right"/>
              <w:rPr/>
            </w:pPr>
            <w:r>
              <w:rPr/>
              <w:t> </w:t>
            </w:r>
          </w:p>
        </w:tc>
        <w:tc>
          <w:tcPr>
            <w:tcW w:w="137" w:type="dxa"/>
            <w:tcBorders>
              <w:bottom w:val="single" w:sz="12" w:space="0" w:color="000000"/>
            </w:tcBorders>
            <w:tcMar>
              <w:bottom w:w="28" w:type="dxa"/>
            </w:tcMar>
            <w:vAlign w:val="bottom"/>
          </w:tcPr>
          <w:p>
            <w:pPr>
              <w:pStyle w:val="TableContents"/>
              <w:bidi w:val="0"/>
              <w:spacing w:before="0" w:after="283"/>
              <w:jc w:val="left"/>
              <w:rPr/>
            </w:pPr>
            <w:r>
              <w:rPr/>
              <w:t> </w:t>
            </w:r>
          </w:p>
        </w:tc>
        <w:tc>
          <w:tcPr>
            <w:tcW w:w="71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(30,531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3,280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(60,534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495" w:type="dxa"/>
            <w:tcBorders/>
            <w:shd w:fill="CCEEFF" w:val="clear"/>
            <w:vAlign w:val="bottom"/>
          </w:tcPr>
          <w:p>
            <w:pPr>
              <w:pStyle w:val="TableContents"/>
              <w:bidi w:val="0"/>
              <w:spacing w:before="0" w:after="0"/>
              <w:ind w:left="677" w:right="0" w:hanging="144"/>
              <w:jc w:val="left"/>
              <w:rPr>
                <w:rFonts w:ascii="Times New Roman" w:hAnsi="Times New Roman"/>
                <w:sz w:val="20"/>
              </w:rPr>
            </w:pPr>
            <w:r>
              <w:rPr>
                <w:rFonts w:ascii="Times New Roman" w:hAnsi="Times New Roman"/>
                <w:sz w:val="20"/>
              </w:rPr>
              <w:t>Comprehensive income (loss)</w:t>
            </w:r>
          </w:p>
        </w:tc>
        <w:tc>
          <w:tcPr>
            <w:tcW w:w="60" w:type="dxa"/>
            <w:tcBorders/>
            <w:shd w:fill="CCEEFF" w:val="clear"/>
            <w:vAlign w:val="bottom"/>
          </w:tcPr>
          <w:p>
            <w:pPr>
              <w:pStyle w:val="TableContents"/>
              <w:bidi w:val="0"/>
              <w:spacing w:before="0" w:after="283"/>
              <w:jc w:val="right"/>
              <w:rPr/>
            </w:pPr>
            <w:r>
              <w:rPr/>
              <w:t> </w:t>
            </w:r>
          </w:p>
        </w:tc>
        <w:tc>
          <w:tcPr>
            <w:tcW w:w="1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28,234</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(14,648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42,207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(30,373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SOUTH PLAINS FINANCIAL,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CONSOLIDATED STATEMENTS OF </w:t>
      </w:r>
      <w:bookmarkStart w:id="6" w:name="CHANGESINSTOCKHOLDERSEQUI"/>
      <w:bookmarkEnd w:id="6"/>
      <w:r>
        <w:rPr>
          <w:rFonts w:ascii="Times New Roman" w:hAnsi="Times New Roman"/>
          <w:b/>
          <w:color w:val="000000"/>
          <w:sz w:val="20"/>
        </w:rPr>
        <w:t>CHANGES IN STOCKHOLDERS’ EQUITY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(Dollars in thousands, except per share data)</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650"/>
        <w:gridCol w:w="60"/>
        <w:gridCol w:w="60"/>
        <w:gridCol w:w="950"/>
        <w:gridCol w:w="95"/>
        <w:gridCol w:w="60"/>
        <w:gridCol w:w="125"/>
        <w:gridCol w:w="590"/>
        <w:gridCol w:w="95"/>
        <w:gridCol w:w="60"/>
        <w:gridCol w:w="140"/>
        <w:gridCol w:w="780"/>
        <w:gridCol w:w="95"/>
        <w:gridCol w:w="60"/>
        <w:gridCol w:w="125"/>
        <w:gridCol w:w="695"/>
        <w:gridCol w:w="95"/>
        <w:gridCol w:w="60"/>
        <w:gridCol w:w="216"/>
        <w:gridCol w:w="1124"/>
        <w:gridCol w:w="80"/>
        <w:gridCol w:w="60"/>
        <w:gridCol w:w="125"/>
        <w:gridCol w:w="695"/>
        <w:gridCol w:w="110"/>
      </w:tblGrid>
      <w:tr>
        <w:trPr/>
        <w:tc>
          <w:tcPr>
            <w:tcW w:w="36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8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Common Stock</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Additional</w:t>
            </w:r>
          </w:p>
          <w:p>
            <w:pPr>
              <w:pStyle w:val="TableContents"/>
              <w:bidi w:val="0"/>
              <w:spacing w:before="0" w:after="0"/>
              <w:jc w:val="center"/>
              <w:rPr>
                <w:rFonts w:ascii="Times New Roman" w:hAnsi="Times New Roman"/>
                <w:b/>
                <w:sz w:val="20"/>
              </w:rPr>
            </w:pPr>
            <w:r>
              <w:rPr>
                <w:rFonts w:ascii="Times New Roman" w:hAnsi="Times New Roman"/>
                <w:b/>
                <w:sz w:val="20"/>
              </w:rPr>
              <w:t>Paid-in</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Retained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Accumulated</w:t>
            </w:r>
          </w:p>
          <w:p>
            <w:pPr>
              <w:pStyle w:val="TableContents"/>
              <w:bidi w:val="0"/>
              <w:spacing w:before="0" w:after="0"/>
              <w:jc w:val="center"/>
              <w:rPr>
                <w:rFonts w:ascii="Times New Roman" w:hAnsi="Times New Roman"/>
                <w:b/>
                <w:sz w:val="20"/>
              </w:rPr>
            </w:pPr>
            <w:r>
              <w:rPr>
                <w:rFonts w:ascii="Times New Roman" w:hAnsi="Times New Roman"/>
                <w:b/>
                <w:sz w:val="20"/>
              </w:rPr>
              <w:t>Other</w:t>
            </w:r>
          </w:p>
          <w:p>
            <w:pPr>
              <w:pStyle w:val="TableContents"/>
              <w:bidi w:val="0"/>
              <w:spacing w:before="0" w:after="0"/>
              <w:jc w:val="center"/>
              <w:rPr>
                <w:rFonts w:ascii="Times New Roman" w:hAnsi="Times New Roman"/>
                <w:b/>
                <w:sz w:val="20"/>
              </w:rPr>
            </w:pPr>
            <w:r>
              <w:rPr>
                <w:rFonts w:ascii="Times New Roman" w:hAnsi="Times New Roman"/>
                <w:b/>
                <w:sz w:val="20"/>
              </w:rPr>
              <w:t>Comprehensive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Capital</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Earnings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Income (Loss)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110" w:type="dxa"/>
            <w:tcBorders/>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0"/>
              <w:jc w:val="left"/>
              <w:rPr>
                <w:rFonts w:ascii="Times New Roman" w:hAnsi="Times New Roman"/>
                <w:b/>
                <w:sz w:val="20"/>
              </w:rPr>
            </w:pPr>
            <w:r>
              <w:rPr>
                <w:rFonts w:ascii="Times New Roman" w:hAnsi="Times New Roman"/>
                <w:b/>
                <w:sz w:val="20"/>
              </w:rPr>
              <w:t>Six Months Ended June 30,</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at December 31, 2021</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17,760,243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17,760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133,215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242,750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13,702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407,427</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30,161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30,161</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dividends declared  - $0.22 per share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(3,889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(3,889</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comprehensive loss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(60,534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(60,534</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shd w:fill="CCEEFF" w:val="clear"/>
            <w:vAlign w:val="bottom"/>
          </w:tcPr>
          <w:p>
            <w:pPr>
              <w:pStyle w:val="TableContents"/>
              <w:bidi w:val="0"/>
              <w:spacing w:before="0" w:after="0"/>
              <w:ind w:left="180" w:right="0" w:hanging="180"/>
              <w:jc w:val="left"/>
              <w:rPr/>
            </w:pPr>
            <w:r>
              <w:rPr/>
              <w:t>Impact of adoption of Topic 842 related to leases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(717</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(717</w:t>
            </w:r>
          </w:p>
        </w:tc>
        <w:tc>
          <w:tcPr>
            <w:tcW w:w="110" w:type="dxa"/>
            <w:tcBorders/>
            <w:shd w:fill="CCEEFF" w:val="clear"/>
            <w:vAlign w:val="bottom"/>
          </w:tcPr>
          <w:p>
            <w:pPr>
              <w:pStyle w:val="TableContents"/>
              <w:bidi w:val="0"/>
              <w:spacing w:before="0" w:after="283"/>
              <w:jc w:val="left"/>
              <w:rPr/>
            </w:pPr>
            <w:r>
              <w:rPr/>
              <w:t>)</w:t>
            </w:r>
          </w:p>
        </w:tc>
      </w:tr>
      <w:tr>
        <w:trPr/>
        <w:tc>
          <w:tcPr>
            <w:tcW w:w="365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Exercise of employee stock options and vesting of restricted stock units, net of 4,824 shares for cashless exercise and net of 7,129 shares for taxes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20,337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(195</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Repurchases of common stock</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(363,486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(8,845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(9,208</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Stock-based compensation</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1,177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4"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1,177</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at June 30, 2022</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17,417,094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17,417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125,332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268,305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(46,832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364,222</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at December 31, 2022</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17,027,197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17,027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112,834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292,261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(65,108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357,014</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38,927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38,927</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dividends declared  - $0.26 per share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(4,419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(4,419</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comprehensive income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3,280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3,280</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180"/>
              <w:jc w:val="left"/>
              <w:rPr/>
            </w:pPr>
            <w:r>
              <w:rPr/>
              <w:t>Impact of adoption of ASU 2016-13 - CECL</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(997</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(997</w:t>
            </w:r>
          </w:p>
        </w:tc>
        <w:tc>
          <w:tcPr>
            <w:tcW w:w="110" w:type="dxa"/>
            <w:tcBorders/>
            <w:shd w:fill="CCEEFF" w:val="clear"/>
            <w:vAlign w:val="bottom"/>
          </w:tcPr>
          <w:p>
            <w:pPr>
              <w:pStyle w:val="TableContents"/>
              <w:bidi w:val="0"/>
              <w:spacing w:before="0" w:after="283"/>
              <w:jc w:val="left"/>
              <w:rPr/>
            </w:pPr>
            <w:r>
              <w:rPr/>
              <w:t>)</w:t>
            </w:r>
          </w:p>
        </w:tc>
      </w:tr>
      <w:tr>
        <w:trPr/>
        <w:tc>
          <w:tcPr>
            <w:tcW w:w="365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Exercise of employee stock options and vesting of restricted stock units, net of 24,140 shares for cashless exercise and net of 13,892 shares for taxes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37,829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(342</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Repurchases of common stock</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(112,954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(2,435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(2,548</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Stock-based compensation</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4"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1,114</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at June 30, 2023</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16,952,072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16,952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111,133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325,772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(61,828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392,029</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b/>
                <w:sz w:val="20"/>
              </w:rPr>
            </w:pPr>
            <w:r>
              <w:rPr>
                <w:rFonts w:ascii="Times New Roman" w:hAnsi="Times New Roman"/>
                <w:b/>
                <w:sz w:val="20"/>
              </w:rPr>
              <w:t>Three Months Ended June 30,</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at March 31, 2022</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17,673,407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17,673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130,618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255,078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(16,301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387,068</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15,883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15,883</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dividends declared  - $0.11 per share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(1,939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(1,939</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comprehensive loss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(30,531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(30,531</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vAlign w:val="bottom"/>
          </w:tcPr>
          <w:p>
            <w:pPr>
              <w:pStyle w:val="TableContents"/>
              <w:bidi w:val="0"/>
              <w:spacing w:before="0" w:after="0"/>
              <w:ind w:left="180" w:right="0" w:hanging="180"/>
              <w:jc w:val="left"/>
              <w:rPr/>
            </w:pPr>
            <w:r>
              <w:rPr/>
              <w:t>Impact of adoption of Topic 842 related to leases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(717</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(717</w:t>
            </w:r>
          </w:p>
        </w:tc>
        <w:tc>
          <w:tcPr>
            <w:tcW w:w="110" w:type="dxa"/>
            <w:tcBorders/>
            <w:vAlign w:val="bottom"/>
          </w:tcPr>
          <w:p>
            <w:pPr>
              <w:pStyle w:val="TableContents"/>
              <w:bidi w:val="0"/>
              <w:spacing w:before="0" w:after="283"/>
              <w:jc w:val="left"/>
              <w:rPr/>
            </w:pPr>
            <w:r>
              <w:rPr/>
              <w:t>)</w:t>
            </w:r>
          </w:p>
        </w:tc>
      </w:tr>
      <w:tr>
        <w:trPr/>
        <w:tc>
          <w:tcPr>
            <w:tcW w:w="3650" w:type="dxa"/>
            <w:tcBorders/>
            <w:shd w:fill="CCEEFF" w:val="clear"/>
            <w:vAlign w:val="bottom"/>
          </w:tcPr>
          <w:p>
            <w:pPr>
              <w:pStyle w:val="TableContents"/>
              <w:bidi w:val="0"/>
              <w:spacing w:before="0" w:after="0"/>
              <w:ind w:left="180" w:right="0" w:hanging="0"/>
              <w:jc w:val="left"/>
              <w:rPr/>
            </w:pPr>
            <w:r>
              <w:rPr/>
              <w:t xml:space="preserve">Exercise of employee stock options and vesting of  restricted stock units, net of 272 shares for taxes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675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Repurchases of common stock</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(256,988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(5,933</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(6,190</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4"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648</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at June 30, 2022</w:t>
            </w:r>
          </w:p>
        </w:tc>
        <w:tc>
          <w:tcPr>
            <w:tcW w:w="60" w:type="dxa"/>
            <w:tcBorders/>
            <w:vAlign w:val="bottom"/>
          </w:tcPr>
          <w:p>
            <w:pPr>
              <w:pStyle w:val="TableContents"/>
              <w:bidi w:val="0"/>
              <w:spacing w:before="0" w:after="283"/>
              <w:jc w:val="righ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17,417,094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17,417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125,332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268,305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(46,832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364,222</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at March 31, 2023</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17,062,572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17,062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112,981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298,300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(60,379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367,964</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29,683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29,683</w:t>
            </w:r>
          </w:p>
        </w:tc>
        <w:tc>
          <w:tcPr>
            <w:tcW w:w="11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dividends declared  - $0.13 per share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(2,211</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(2,211</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comprehensive loss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(1,449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(1,449</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vAlign w:val="bottom"/>
          </w:tcPr>
          <w:p>
            <w:pPr>
              <w:pStyle w:val="TableContents"/>
              <w:bidi w:val="0"/>
              <w:spacing w:before="0" w:after="0"/>
              <w:ind w:left="180" w:right="0" w:hanging="0"/>
              <w:jc w:val="left"/>
              <w:rPr/>
            </w:pPr>
            <w:r>
              <w:rPr/>
              <w:t>Exercise of employee stock options and vesting of restricted stock units, net of 10,567 shares for cashless exercise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2,454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(3</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283"/>
              <w:jc w:val="left"/>
              <w:rPr/>
            </w:pPr>
            <w:r>
              <w:rPr/>
              <w:t>Repurchases of common stock</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(112,954</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(113</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(2,435</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(2,548</w:t>
            </w:r>
          </w:p>
        </w:tc>
        <w:tc>
          <w:tcPr>
            <w:tcW w:w="110" w:type="dxa"/>
            <w:tcBorders/>
            <w:shd w:fill="CCEEFF" w:val="clear"/>
            <w:vAlign w:val="bottom"/>
          </w:tcPr>
          <w:p>
            <w:pPr>
              <w:pStyle w:val="TableContents"/>
              <w:bidi w:val="0"/>
              <w:spacing w:before="0" w:after="283"/>
              <w:jc w:val="left"/>
              <w:rPr/>
            </w:pPr>
            <w:r>
              <w:rPr/>
              <w:t>)</w:t>
            </w:r>
          </w:p>
        </w:tc>
      </w:tr>
      <w:tr>
        <w:trPr/>
        <w:tc>
          <w:tcPr>
            <w:tcW w:w="36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Stock-based compensation</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4"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590</w:t>
            </w:r>
          </w:p>
        </w:tc>
        <w:tc>
          <w:tcPr>
            <w:tcW w:w="11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at June 30, 2023</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16,952,072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16,952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111,133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325,772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(61,828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392,029</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SOUTH PLAINS FINANCIAL, INC. AND SUBSIDIARIES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CONSOLIDATED STATEMENTS OF </w:t>
      </w:r>
      <w:bookmarkStart w:id="7" w:name="CASHFLOWS"/>
      <w:bookmarkEnd w:id="7"/>
      <w:r>
        <w:rPr>
          <w:rFonts w:ascii="Times New Roman" w:hAnsi="Times New Roman"/>
          <w:b/>
          <w:color w:val="000000"/>
          <w:sz w:val="20"/>
        </w:rPr>
        <w:t>CASH FLOWS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pPr>
      <w:r>
        <w:rPr/>
      </w:r>
    </w:p>
    <w:tbl>
      <w:tblPr>
        <w:tblW w:w="8090" w:type="dxa"/>
        <w:jc w:val="left"/>
        <w:tblInd w:w="0" w:type="dxa"/>
        <w:tblLayout w:type="fixed"/>
        <w:tblCellMar>
          <w:top w:w="0" w:type="dxa"/>
          <w:left w:w="0" w:type="dxa"/>
          <w:bottom w:w="0" w:type="dxa"/>
          <w:right w:w="0" w:type="dxa"/>
        </w:tblCellMar>
      </w:tblPr>
      <w:tblGrid>
        <w:gridCol w:w="6020"/>
        <w:gridCol w:w="60"/>
        <w:gridCol w:w="125"/>
        <w:gridCol w:w="755"/>
        <w:gridCol w:w="95"/>
        <w:gridCol w:w="60"/>
        <w:gridCol w:w="125"/>
        <w:gridCol w:w="755"/>
        <w:gridCol w:w="95"/>
      </w:tblGrid>
      <w:tr>
        <w:trPr/>
        <w:tc>
          <w:tcPr>
            <w:tcW w:w="60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1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95" w:type="dxa"/>
            <w:tcBorders/>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95" w:type="dxa"/>
            <w:tcBorders/>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flows from operating activities:</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38,927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30,161</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Adjustments to reconcile net income to net cash from operating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Provision for credit losses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(2,085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vAlign w:val="bottom"/>
          </w:tcPr>
          <w:p>
            <w:pPr>
              <w:pStyle w:val="TableContents"/>
              <w:bidi w:val="0"/>
              <w:spacing w:before="0" w:after="0"/>
              <w:ind w:left="360" w:right="0" w:hanging="0"/>
              <w:jc w:val="left"/>
              <w:rPr/>
            </w:pPr>
            <w:r>
              <w:rPr/>
              <w:t>Provision for foreclosed asset losses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3,508</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Accretion and amortization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2,077</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Other gains,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vAlign w:val="bottom"/>
          </w:tcPr>
          <w:p>
            <w:pPr>
              <w:pStyle w:val="TableContents"/>
              <w:bidi w:val="0"/>
              <w:spacing w:before="0" w:after="0"/>
              <w:ind w:left="360" w:right="0" w:hanging="0"/>
              <w:jc w:val="left"/>
              <w:rPr/>
            </w:pPr>
            <w:r>
              <w:rPr/>
              <w:t>Gain on sale of subsidiary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(33,488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360" w:right="0" w:hanging="0"/>
              <w:jc w:val="left"/>
              <w:rPr/>
            </w:pPr>
            <w:r>
              <w:rPr/>
              <w:t>Loss on sale of securities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3,409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Net gain on sales of loans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(6,446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(13,472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Proceeds from sales of loans held for sale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233,170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492,086</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Loans originated for sale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(219,212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(442,236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Deferred income tax expense (benefit)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(148</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2,411</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Earnings on bank-owned life insurance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1,114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1,177</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Change in valuation of mortgage servicing rights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(5,625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Net change in: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677" w:right="0" w:hanging="144"/>
              <w:jc w:val="left"/>
              <w:rPr>
                <w:rFonts w:ascii="Times New Roman" w:hAnsi="Times New Roman"/>
                <w:sz w:val="20"/>
              </w:rPr>
            </w:pPr>
            <w:r>
              <w:rPr>
                <w:rFonts w:ascii="Times New Roman" w:hAnsi="Times New Roman"/>
                <w:sz w:val="20"/>
              </w:rPr>
              <w:t>Accrued interest receivable and other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(4,759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1,042</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677" w:right="0" w:hanging="144"/>
              <w:jc w:val="left"/>
              <w:rPr>
                <w:rFonts w:ascii="Times New Roman" w:hAnsi="Times New Roman"/>
                <w:sz w:val="20"/>
              </w:rPr>
            </w:pPr>
            <w:r>
              <w:rPr>
                <w:rFonts w:ascii="Times New Roman" w:hAnsi="Times New Roman"/>
                <w:sz w:val="20"/>
              </w:rPr>
              <w:t>Accrued expenses and other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21,058</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864" w:right="0" w:hanging="144"/>
              <w:jc w:val="left"/>
              <w:rPr>
                <w:rFonts w:ascii="Times New Roman" w:hAnsi="Times New Roman"/>
                <w:sz w:val="20"/>
              </w:rPr>
            </w:pPr>
            <w:r>
              <w:rPr>
                <w:rFonts w:ascii="Times New Roman" w:hAnsi="Times New Roman"/>
                <w:sz w:val="20"/>
              </w:rPr>
              <w:t>Net cash provided by operating activities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25,725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89,447</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flows from investing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Activity in securities available for sale: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Purchases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(176,713</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0"/>
              <w:ind w:left="360" w:right="0" w:hanging="0"/>
              <w:jc w:val="left"/>
              <w:rPr/>
            </w:pPr>
            <w:r>
              <w:rPr/>
              <w:t>Sales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52,828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Maturities, prepayments, and calls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20,418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48,318</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Loan originations and principal collections,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(232,692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(143,497</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Purchases of premises and equipment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(3,452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(1,998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Proceeds from sales of premises and equipment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239</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80" w:right="0" w:hanging="0"/>
              <w:jc w:val="left"/>
              <w:rPr/>
            </w:pPr>
            <w:r>
              <w:rPr/>
              <w:t>Proceeds from sale of subsidiary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35,500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Proceeds from sales of foreclosed assets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692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1,750</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864" w:right="0" w:hanging="144"/>
              <w:jc w:val="left"/>
              <w:rPr>
                <w:rFonts w:ascii="Times New Roman" w:hAnsi="Times New Roman"/>
                <w:sz w:val="20"/>
              </w:rPr>
            </w:pPr>
            <w:r>
              <w:rPr>
                <w:rFonts w:ascii="Times New Roman" w:hAnsi="Times New Roman"/>
                <w:sz w:val="20"/>
              </w:rPr>
              <w:t>Net cash used in investing activities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(125,810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(271,901</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Cash flows from financing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Net change in deposits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168,092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84,615</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Payments to tax authorities for stock-based compensation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Cash dividends paid on common stock</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(4,419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(3,889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Payments to repurchase common stock</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(2,548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(9,208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bidi w:val="0"/>
              <w:spacing w:before="0" w:after="0"/>
              <w:ind w:left="864" w:right="0" w:hanging="144"/>
              <w:jc w:val="left"/>
              <w:rPr>
                <w:rFonts w:ascii="Times New Roman" w:hAnsi="Times New Roman"/>
                <w:sz w:val="20"/>
              </w:rPr>
            </w:pPr>
            <w:r>
              <w:rPr>
                <w:rFonts w:ascii="Times New Roman" w:hAnsi="Times New Roman"/>
                <w:sz w:val="20"/>
              </w:rPr>
              <w:t>Net cash provided by financing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160,783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71,323</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change in 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60,698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(111,131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02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Beginning cash and cash equivalents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234,883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486,821</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Ending 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295,581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375,690</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Supplemental disclosures of cash flow information:</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Interest paid on deposits and borrowed funds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28,552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6,619</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288" w:right="0" w:hanging="144"/>
              <w:jc w:val="left"/>
              <w:rPr/>
            </w:pPr>
            <w:r>
              <w:rPr/>
              <w:t>Income taxes paid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1,082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2,776</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Supplemental schedule of noncash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Loans transferred to foreclosed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353</w:t>
            </w:r>
          </w:p>
        </w:tc>
        <w:tc>
          <w:tcPr>
            <w:tcW w:w="95" w:type="dxa"/>
            <w:tcBorders/>
            <w:shd w:fill="CCEEFF" w:val="clear"/>
            <w:vAlign w:val="bottom"/>
          </w:tcPr>
          <w:p>
            <w:pPr>
              <w:pStyle w:val="TableContents"/>
              <w:bidi w:val="0"/>
              <w:spacing w:before="0" w:after="283"/>
              <w:jc w:val="left"/>
              <w:rPr/>
            </w:pPr>
            <w:r>
              <w:rPr/>
              <w:t> </w:t>
            </w:r>
          </w:p>
        </w:tc>
      </w:tr>
      <w:tr>
        <w:trPr/>
        <w:tc>
          <w:tcPr>
            <w:tcW w:w="6020" w:type="dxa"/>
            <w:tcBorders/>
            <w:vAlign w:val="bottom"/>
          </w:tcPr>
          <w:p>
            <w:pPr>
              <w:pStyle w:val="TableContents"/>
              <w:bidi w:val="0"/>
              <w:spacing w:before="0" w:after="0"/>
              <w:ind w:left="180" w:right="0" w:hanging="0"/>
              <w:jc w:val="left"/>
              <w:rPr/>
            </w:pPr>
            <w:r>
              <w:rPr/>
              <w:t>Premises and equipment transferred to other real estate owned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172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r>
      <w:tr>
        <w:trPr/>
        <w:tc>
          <w:tcPr>
            <w:tcW w:w="602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Additions to mortgage servicing rights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2,180</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SOUTH PLAINS FINANCIAL, INC. AND SUBSIDIARIES</w:t>
      </w:r>
    </w:p>
    <w:p>
      <w:pPr>
        <w:pStyle w:val="TextBody"/>
        <w:bidi w:val="0"/>
        <w:spacing w:before="0" w:after="0"/>
        <w:jc w:val="center"/>
        <w:rPr>
          <w:rFonts w:ascii="Times New Roman" w:hAnsi="Times New Roman"/>
          <w:b/>
          <w:color w:val="000000"/>
          <w:sz w:val="20"/>
        </w:rPr>
      </w:pPr>
      <w:bookmarkStart w:id="8" w:name="NOTESTOCONSOLIDATEDFINANC"/>
      <w:bookmarkEnd w:id="8"/>
      <w:r>
        <w:rPr>
          <w:rFonts w:ascii="Times New Roman" w:hAnsi="Times New Roman"/>
          <w:b/>
          <w:color w:val="000000"/>
          <w:sz w:val="20"/>
        </w:rPr>
        <w:t>NOTES TO CONSOLIDATED FINANCIAL STATEMENTS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  SUMMARY OF SIGNIFICANT ACCOUNTING POLICIES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1"/>
        <w:jc w:val="both"/>
        <w:rPr>
          <w:rFonts w:ascii="Times New Roman" w:hAnsi="Times New Roman"/>
          <w:color w:val="000000"/>
          <w:sz w:val="20"/>
        </w:rPr>
      </w:pPr>
      <w:r>
        <w:rPr>
          <w:rFonts w:ascii="Times New Roman" w:hAnsi="Times New Roman"/>
          <w:i/>
          <w:color w:val="000000"/>
          <w:sz w:val="20"/>
          <w:u w:val="single"/>
        </w:rPr>
        <w:t>Nature of Operations</w:t>
      </w:r>
      <w:r>
        <w:rPr>
          <w:rFonts w:ascii="Times New Roman" w:hAnsi="Times New Roman"/>
          <w:color w:val="000000"/>
          <w:sz w:val="20"/>
        </w:rPr>
        <w:t xml:space="preserve"> – South Plains Financial, Inc. (“SPFI”) is a Texas corporation and registered bank holding company that conducts its principal activities through its subsidiaries from offices located throughout Texas and Eastern New Mexico. Principal activities include commercial and retail banking, along with investment, trust, and mortgage services. The following were subsidiaries of SPFI as of June 30, 2023:</w:t>
      </w:r>
    </w:p>
    <w:p>
      <w:pPr>
        <w:pStyle w:val="TextBody"/>
        <w:bidi w:val="0"/>
        <w:spacing w:before="0" w:after="0"/>
        <w:jc w:val="left"/>
        <w:rPr/>
      </w:pPr>
      <w:r>
        <w:rPr/>
      </w:r>
    </w:p>
    <w:tbl>
      <w:tblPr>
        <w:tblW w:w="6055" w:type="dxa"/>
        <w:jc w:val="left"/>
        <w:tblInd w:w="0" w:type="dxa"/>
        <w:tblLayout w:type="fixed"/>
        <w:tblCellMar>
          <w:top w:w="0" w:type="dxa"/>
          <w:left w:w="0" w:type="dxa"/>
          <w:bottom w:w="0" w:type="dxa"/>
          <w:right w:w="0" w:type="dxa"/>
        </w:tblCellMar>
      </w:tblPr>
      <w:tblGrid>
        <w:gridCol w:w="4205"/>
        <w:gridCol w:w="1850"/>
      </w:tblGrid>
      <w:tr>
        <w:trPr/>
        <w:tc>
          <w:tcPr>
            <w:tcW w:w="4205" w:type="dxa"/>
            <w:tcBorders/>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Wholly-Owned, Consolidated Subsidiaries:</w:t>
            </w:r>
          </w:p>
        </w:tc>
        <w:tc>
          <w:tcPr>
            <w:tcW w:w="1850"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City Bank</w:t>
            </w:r>
          </w:p>
        </w:tc>
        <w:tc>
          <w:tcPr>
            <w:tcW w:w="185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Bank subsidiary</w:t>
            </w:r>
          </w:p>
        </w:tc>
      </w:tr>
      <w:tr>
        <w:trPr/>
        <w:tc>
          <w:tcPr>
            <w:tcW w:w="4205" w:type="dxa"/>
            <w:tcBorders/>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Ruidoso Retail, Inc.</w:t>
            </w:r>
          </w:p>
        </w:tc>
        <w:tc>
          <w:tcPr>
            <w:tcW w:w="1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Non-bank subsidiary</w:t>
            </w:r>
          </w:p>
        </w:tc>
      </w:tr>
      <w:tr>
        <w:trPr/>
        <w:tc>
          <w:tcPr>
            <w:tcW w:w="4205"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CB Provence, LLC</w:t>
            </w:r>
          </w:p>
        </w:tc>
        <w:tc>
          <w:tcPr>
            <w:tcW w:w="185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Non-bank subsidiary</w:t>
            </w:r>
          </w:p>
        </w:tc>
      </w:tr>
      <w:tr>
        <w:trPr/>
        <w:tc>
          <w:tcPr>
            <w:tcW w:w="4205" w:type="dxa"/>
            <w:tcBorders/>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CBT Brushy Creek, LLC</w:t>
            </w:r>
          </w:p>
        </w:tc>
        <w:tc>
          <w:tcPr>
            <w:tcW w:w="18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Non-bank subsidiary</w:t>
            </w:r>
          </w:p>
        </w:tc>
      </w:tr>
      <w:tr>
        <w:trPr/>
        <w:tc>
          <w:tcPr>
            <w:tcW w:w="4205"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CBT Properties, LLC</w:t>
            </w:r>
          </w:p>
        </w:tc>
        <w:tc>
          <w:tcPr>
            <w:tcW w:w="185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Non-bank subsidiary</w:t>
            </w:r>
          </w:p>
        </w:tc>
      </w:tr>
      <w:tr>
        <w:trPr/>
        <w:tc>
          <w:tcPr>
            <w:tcW w:w="4205"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Wholly-Owned, Equity Method Subsidiaries:</w:t>
            </w:r>
          </w:p>
        </w:tc>
        <w:tc>
          <w:tcPr>
            <w:tcW w:w="1850"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South Plains Financial Capital Trusts (SPFCT) III-V</w:t>
            </w:r>
          </w:p>
        </w:tc>
        <w:tc>
          <w:tcPr>
            <w:tcW w:w="185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Non-bank subsidiaries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April 1, 2023, SPFI entered into a Securities Purchase Agreement (“Agreement”) with Alliant Insurance Services, Inc. (“Alliant”), providing for the sale of Windmark Insurance Agency, Inc. (“Windmark”) through a sale of all of the outstanding shares of capital stock of Windmark to Alliant. The transaction was consummated on April 1, 2023. Pursuant to the terms and subject to the conditions of the Agreement, SPFI received an aggregate purchase price of $35.5 million in exchange for Windmark’s common shares, representing a pre-tax gain of $33.5 million. The purchase price may be increased by the net amount of Windmark working capital as provided in the Agreement. This transaction did not meet the criteria for discontinued operations reporting.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u w:val="single"/>
        </w:rPr>
        <w:t>Basis of Presentation and Consolidation</w:t>
      </w:r>
      <w:r>
        <w:rPr>
          <w:rFonts w:ascii="Times New Roman" w:hAnsi="Times New Roman"/>
          <w:color w:val="000000"/>
          <w:sz w:val="20"/>
        </w:rPr>
        <w:t xml:space="preserve"> –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consolidated financial statements in this Quarterly Report on Form 10-Q for the three and six months ended June 30, 2023 (this “Form 10-Q”) include the accounts of SPFI and its wholly-owned consolidated subsidiaries (collectively referred to as the “Company”) identified above. All significant intercompany balances and transactions have been eliminated in consolidation.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interim consolidated financial statements in this Form 10-Q have not been audited by an independent registered public accounting firm, but in the opinion of management, reflect all adjustments necessary for a fair presentation of the Company’s financial position, results of operations, and cash flows.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Securities and Exchange Commission (“SEC”). Accordingly, the financial statements do not include all of the information and notes required by GAAP for complete financial statements and should be read in conjunction with the Company’s audited consolidated financial statements, and notes thereto in the Company’s Annual Report on Form 10-K for the year ended December 31, 2022. Operating results for the interim periods disclosed herein are not necessarily indicative of the results that may be expected for a full year or any future period.</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i/>
          <w:color w:val="000000"/>
          <w:sz w:val="20"/>
          <w:u w:val="single"/>
        </w:rPr>
        <w:t>Use of Estimates</w:t>
      </w:r>
      <w:r>
        <w:rPr>
          <w:rFonts w:ascii="Times New Roman" w:hAnsi="Times New Roman"/>
          <w:color w:val="000000"/>
          <w:sz w:val="20"/>
        </w:rPr>
        <w:t xml:space="preserve"> –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credit losses </w:t>
      </w:r>
      <w:r>
        <w:rPr>
          <w:rFonts w:ascii="Times New Roman" w:hAnsi="Times New Roman"/>
          <w:b w:val="false"/>
          <w:i w:val="false"/>
          <w:caps w:val="false"/>
          <w:smallCaps w:val="false"/>
          <w:color w:val="000000"/>
          <w:spacing w:val="0"/>
          <w:sz w:val="20"/>
        </w:rPr>
        <w:t>(“ACL”)</w:t>
      </w:r>
      <w:r>
        <w:rPr>
          <w:rFonts w:ascii="Times New Roman" w:hAnsi="Times New Roman"/>
          <w:caps w:val="false"/>
          <w:smallCaps w:val="false"/>
          <w:color w:val="000000"/>
          <w:sz w:val="20"/>
        </w:rPr>
        <w:t xml:space="preserve"> </w:t>
      </w:r>
      <w:r>
        <w:rPr>
          <w:rFonts w:ascii="Times New Roman" w:hAnsi="Times New Roman"/>
          <w:color w:val="000000"/>
          <w:sz w:val="20"/>
        </w:rPr>
        <w:t>is a material estimate that is particularly susceptible to significant change in the near term; the assumptions used in stock-based compensation, derivatives, mortgage servicing rights, and fair values of financial instruments can also involve significant management estimates.</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caps w:val="false"/>
          <w:smallCaps w:val="false"/>
          <w:color w:val="000000"/>
          <w:sz w:val="20"/>
          <w:u w:val="single"/>
        </w:rPr>
        <w:t>Accounting Changes</w:t>
      </w:r>
      <w:r>
        <w:rPr>
          <w:rFonts w:ascii="Times New Roman" w:hAnsi="Times New Roman"/>
          <w:b w:val="false"/>
          <w:i w:val="false"/>
          <w:caps w:val="false"/>
          <w:smallCaps w:val="false"/>
          <w:color w:val="000000"/>
          <w:sz w:val="20"/>
        </w:rPr>
        <w:t xml:space="preserve"> – Updates to the Financial Accounting Standards Board (“FASB”) Accounting Standards Codification (“ASC”) are prescribed in Accounting Standards Updates (“ASUs”), which are not authoritative until incorporated into the ASC.</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caps w:val="false"/>
          <w:smallCaps w:val="false"/>
          <w:color w:val="000000"/>
          <w:spacing w:val="0"/>
          <w:sz w:val="20"/>
        </w:rPr>
        <w:t>ASU 2016-13 Financial Instruments - Credit Losses (Topic 326).</w:t>
      </w:r>
      <w:r>
        <w:rPr>
          <w:rFonts w:ascii="Times New Roman" w:hAnsi="Times New Roman"/>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The FASB issued guidance to replace the incurred loss model with an expected loss model, which is referred to as the current expected credit loss (“CECL”) model. The CECL model is applicable to the measurement of credit losses on financial assets measured at amortized cost, including loan receivables and held to maturity debt securities. The CECL model also applies to off-balance sheet credit exposures not accounted for as insurance (loan commitments, standby letters of credit, financial guarantees, and other similar instruments) and net investments in sales type and direct financing leases recognized by a lessor in accordance with Topic 842 on leases.  In addition, Topic 326 made changes to the accounting for securities available for sale. One such change is to require credit losses to be presented as an allowance rather than as a write-down on securities available for sale management does not intend to sell or believes that it is more likely than not they will be required to sell.  The Company adopted the CECL model effective January 1, 2023 using the modified retrospective approach, as a result, the Company recognized a one-time, after tax cumulative effect debit adjustment of $997 thousand to retained earnings, increased the ACL for loans by approximately $100 thousand and increased the ACL for off-balance sheet credit exposures by approximately $1.2 million.  Results for reporting periods beginning after January 1, 2023 are presented under Topic 326, while prior period amounts continue to be reported in accordance with previously applicable GAAP.</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bidi w:val="0"/>
        <w:spacing w:before="200" w:after="200"/>
        <w:jc w:val="both"/>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rPr>
          <w:t>Table of Contents</w:t>
        </w:r>
      </w:hyperlink>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pacing w:val="0"/>
          <w:sz w:val="20"/>
        </w:rPr>
        <w:t>The Company made the following policy elections related to the adoption of the CECL model. First, accrued interest will be written off against interest income when financial assets are placed into nonaccrual status. Therefore, accrued interest will be excluded from the amortized cost basis for purposes of calculating the ACL. Accrued interest receivable is presented in a separate line item in the Consolidated Balance Sheets. Second, the fair value of collateral practical expedient has been elected on certain loans in determining the ACL, for which the repayment is expected to be provided substantially through the operation or sale of the collateral when the borrower is experiencing financial difficulty.</w:t>
      </w:r>
      <w:r>
        <w:rPr>
          <w:rFonts w:ascii="Times New Roman" w:hAnsi="Times New Roman"/>
          <w:b w:val="false"/>
          <w:i w:val="false"/>
          <w:caps w:val="false"/>
          <w:smallCaps w:val="false"/>
          <w:color w:val="000000"/>
          <w:sz w:val="20"/>
        </w:rPr>
        <w:t xml:space="preserve"> </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impact on the ACL resulting from the adoption of the CECL model is shown below.</w:t>
      </w:r>
      <w:r>
        <w:rPr>
          <w:rFonts w:ascii="Times New Roman" w:hAnsi="Times New Roman"/>
          <w:b w:val="false"/>
          <w:i w:val="false"/>
          <w:caps w:val="false"/>
          <w:smallCaps w:val="false"/>
          <w:color w:val="000000"/>
          <w:spacing w:val="0"/>
          <w:sz w:val="20"/>
        </w:rPr>
        <w:t xml:space="preserve"> </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pPr>
      <w:r>
        <w:rPr/>
      </w:r>
    </w:p>
    <w:tbl>
      <w:tblPr>
        <w:tblW w:w="8364" w:type="dxa"/>
        <w:jc w:val="left"/>
        <w:tblInd w:w="0" w:type="dxa"/>
        <w:tblLayout w:type="fixed"/>
        <w:tblCellMar>
          <w:top w:w="0" w:type="dxa"/>
          <w:left w:w="0" w:type="dxa"/>
          <w:bottom w:w="0" w:type="dxa"/>
          <w:right w:w="0" w:type="dxa"/>
        </w:tblCellMar>
      </w:tblPr>
      <w:tblGrid>
        <w:gridCol w:w="4760"/>
        <w:gridCol w:w="60"/>
        <w:gridCol w:w="202"/>
        <w:gridCol w:w="958"/>
        <w:gridCol w:w="60"/>
        <w:gridCol w:w="60"/>
        <w:gridCol w:w="154"/>
        <w:gridCol w:w="675"/>
        <w:gridCol w:w="80"/>
        <w:gridCol w:w="60"/>
        <w:gridCol w:w="213"/>
        <w:gridCol w:w="1007"/>
        <w:gridCol w:w="75"/>
      </w:tblGrid>
      <w:tr>
        <w:trPr/>
        <w:tc>
          <w:tcPr>
            <w:tcW w:w="4760" w:type="dxa"/>
            <w:tcBorders/>
            <w:vAlign w:val="bottom"/>
          </w:tcPr>
          <w:p>
            <w:pPr>
              <w:pStyle w:val="TableContents"/>
              <w:bidi w:val="0"/>
              <w:spacing w:before="0" w:after="283"/>
              <w:jc w:val="left"/>
              <w:rPr/>
            </w:pPr>
            <w:r>
              <w:rPr/>
              <w:t> </w:t>
            </w:r>
            <w:r>
              <w:rPr/>
              <w:t xml:space="preserve">(Dollars in </w:t>
            </w:r>
            <w:r>
              <w:rPr>
                <w:rFonts w:ascii="Times New Roman" w:hAnsi="Times New Roman"/>
                <w:sz w:val="20"/>
              </w:rPr>
              <w:t>thousand</w:t>
            </w:r>
            <w:r>
              <w:rPr/>
              <w:t>s)</w:t>
            </w:r>
          </w:p>
        </w:tc>
        <w:tc>
          <w:tcPr>
            <w:tcW w:w="60" w:type="dxa"/>
            <w:tcBorders/>
            <w:vAlign w:val="bottom"/>
          </w:tcPr>
          <w:p>
            <w:pPr>
              <w:pStyle w:val="TableContents"/>
              <w:bidi w:val="0"/>
              <w:spacing w:before="0" w:after="283"/>
              <w:jc w:val="left"/>
              <w:rPr/>
            </w:pPr>
            <w:r>
              <w:rPr/>
              <w:t> </w:t>
            </w:r>
          </w:p>
        </w:tc>
        <w:tc>
          <w:tcPr>
            <w:tcW w:w="3469" w:type="dxa"/>
            <w:gridSpan w:val="10"/>
            <w:tcBorders>
              <w:bottom w:val="single" w:sz="12" w:space="0" w:color="000000"/>
            </w:tcBorders>
            <w:tcMar>
              <w:bottom w:w="28" w:type="dxa"/>
            </w:tcMar>
            <w:vAlign w:val="bottom"/>
          </w:tcPr>
          <w:p>
            <w:pPr>
              <w:pStyle w:val="TableContents"/>
              <w:bidi w:val="0"/>
              <w:spacing w:before="0" w:after="0"/>
              <w:jc w:val="center"/>
              <w:rPr>
                <w:b/>
              </w:rPr>
            </w:pPr>
            <w:r>
              <w:rPr>
                <w:b/>
              </w:rPr>
              <w:t>January 1, 2023</w:t>
            </w:r>
          </w:p>
        </w:tc>
        <w:tc>
          <w:tcPr>
            <w:tcW w:w="75" w:type="dxa"/>
            <w:tcBorders/>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0"/>
              <w:jc w:val="left"/>
              <w:rPr/>
            </w:pPr>
            <w:r>
              <w:rPr/>
            </w:r>
          </w:p>
          <w:p>
            <w:pPr>
              <w:pStyle w:val="TableContents"/>
              <w:bidi w:val="0"/>
              <w:spacing w:before="0" w:after="0"/>
              <w:jc w:val="center"/>
              <w:rPr>
                <w:rFonts w:ascii="Times New Roman" w:hAnsi="Times New Roman"/>
                <w:b/>
                <w:sz w:val="20"/>
              </w:rPr>
            </w:pPr>
            <w:r>
              <w:rPr>
                <w:rFonts w:ascii="Times New Roman" w:hAnsi="Times New Roman"/>
                <w:b/>
                <w:sz w:val="20"/>
              </w:rPr>
              <w:t>Pre-Adoption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Impact of</w:t>
            </w:r>
          </w:p>
          <w:p>
            <w:pPr>
              <w:pStyle w:val="TableContents"/>
              <w:bidi w:val="0"/>
              <w:spacing w:before="0" w:after="0"/>
              <w:jc w:val="center"/>
              <w:rPr>
                <w:rFonts w:ascii="Times New Roman" w:hAnsi="Times New Roman"/>
                <w:b/>
                <w:sz w:val="20"/>
              </w:rPr>
            </w:pPr>
            <w:r>
              <w:rPr>
                <w:rFonts w:ascii="Times New Roman" w:hAnsi="Times New Roman"/>
                <w:b/>
                <w:sz w:val="20"/>
              </w:rPr>
              <w:t>Adoption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bottom"/>
          </w:tcPr>
          <w:p>
            <w:pPr>
              <w:pStyle w:val="TableContents"/>
              <w:bidi w:val="0"/>
              <w:spacing w:before="0" w:after="0"/>
              <w:jc w:val="left"/>
              <w:rPr/>
            </w:pPr>
            <w:r>
              <w:rPr/>
            </w:r>
          </w:p>
          <w:p>
            <w:pPr>
              <w:pStyle w:val="TableContents"/>
              <w:bidi w:val="0"/>
              <w:spacing w:before="0" w:after="0"/>
              <w:jc w:val="center"/>
              <w:rPr>
                <w:rFonts w:ascii="Times New Roman" w:hAnsi="Times New Roman"/>
                <w:b/>
                <w:sz w:val="20"/>
              </w:rPr>
            </w:pPr>
            <w:r>
              <w:rPr>
                <w:rFonts w:ascii="Times New Roman" w:hAnsi="Times New Roman"/>
                <w:b/>
                <w:sz w:val="20"/>
              </w:rPr>
              <w:t>Post-Adoption</w:t>
            </w:r>
          </w:p>
        </w:tc>
        <w:tc>
          <w:tcPr>
            <w:tcW w:w="7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827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13,856</w:t>
            </w:r>
          </w:p>
        </w:tc>
        <w:tc>
          <w:tcPr>
            <w:tcW w:w="7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3,458</w:t>
            </w:r>
          </w:p>
        </w:tc>
        <w:tc>
          <w:tcPr>
            <w:tcW w:w="7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9,215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(2,574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6,641</w:t>
            </w:r>
          </w:p>
        </w:tc>
        <w:tc>
          <w:tcPr>
            <w:tcW w:w="7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20" w:right="0" w:hanging="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7,894</w:t>
            </w:r>
          </w:p>
        </w:tc>
        <w:tc>
          <w:tcPr>
            <w:tcW w:w="7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3,594</w:t>
            </w:r>
          </w:p>
        </w:tc>
        <w:tc>
          <w:tcPr>
            <w:tcW w:w="7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1,141</w:t>
            </w:r>
          </w:p>
        </w:tc>
        <w:tc>
          <w:tcPr>
            <w:tcW w:w="7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20" w:right="0" w:hanging="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left"/>
              <w:rPr/>
            </w:pPr>
            <w:r>
              <w:rPr/>
              <w:t> </w:t>
            </w:r>
          </w:p>
        </w:tc>
        <w:tc>
          <w:tcPr>
            <w:tcW w:w="202" w:type="dxa"/>
            <w:tcBorders>
              <w:bottom w:val="single" w:sz="12" w:space="0" w:color="000000"/>
            </w:tcBorders>
            <w:tcMar>
              <w:bottom w:w="28" w:type="dxa"/>
            </w:tcMar>
            <w:vAlign w:val="bottom"/>
          </w:tcPr>
          <w:p>
            <w:pPr>
              <w:pStyle w:val="TableContents"/>
              <w:bidi w:val="0"/>
              <w:spacing w:before="0" w:after="283"/>
              <w:jc w:val="left"/>
              <w:rPr/>
            </w:pPr>
            <w:r>
              <w:rPr/>
              <w:t> </w:t>
            </w:r>
          </w:p>
        </w:tc>
        <w:tc>
          <w:tcPr>
            <w:tcW w:w="9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6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2,806</w:t>
            </w:r>
          </w:p>
        </w:tc>
        <w:tc>
          <w:tcPr>
            <w:tcW w:w="7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20" w:right="0" w:hanging="0"/>
              <w:jc w:val="left"/>
              <w:rPr>
                <w:rFonts w:ascii="Times New Roman" w:hAnsi="Times New Roman"/>
                <w:sz w:val="20"/>
              </w:rPr>
            </w:pPr>
            <w:r>
              <w:rPr>
                <w:rFonts w:ascii="Times New Roman" w:hAnsi="Times New Roman"/>
                <w:sz w:val="20"/>
              </w:rPr>
              <w:t>Total allowance for credit losses on loans</w:t>
            </w:r>
          </w:p>
        </w:tc>
        <w:tc>
          <w:tcPr>
            <w:tcW w:w="60" w:type="dxa"/>
            <w:tcBorders/>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39,288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39,390</w:t>
            </w:r>
          </w:p>
        </w:tc>
        <w:tc>
          <w:tcPr>
            <w:tcW w:w="75" w:type="dxa"/>
            <w:tcBorders/>
            <w:vAlign w:val="bottom"/>
          </w:tcPr>
          <w:p>
            <w:pPr>
              <w:pStyle w:val="TableContents"/>
              <w:bidi w:val="0"/>
              <w:spacing w:before="0" w:after="283"/>
              <w:jc w:val="left"/>
              <w:rPr/>
            </w:pPr>
            <w:r>
              <w:rPr/>
              <w:t> </w:t>
            </w:r>
          </w:p>
        </w:tc>
      </w:tr>
      <w:tr>
        <w:trPr/>
        <w:tc>
          <w:tcPr>
            <w:tcW w:w="47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760" w:type="dxa"/>
            <w:tcBorders/>
            <w:vAlign w:val="bottom"/>
          </w:tcPr>
          <w:p>
            <w:pPr>
              <w:pStyle w:val="TableContents"/>
              <w:bidi w:val="0"/>
              <w:spacing w:before="0" w:after="0"/>
              <w:ind w:left="20" w:right="0" w:hanging="0"/>
              <w:jc w:val="left"/>
              <w:rPr>
                <w:rFonts w:ascii="Times New Roman" w:hAnsi="Times New Roman"/>
                <w:sz w:val="20"/>
              </w:rPr>
            </w:pPr>
            <w:r>
              <w:rPr>
                <w:rFonts w:ascii="Times New Roman" w:hAnsi="Times New Roman"/>
                <w:sz w:val="20"/>
              </w:rPr>
              <w:t>Allowance for credit losses for off-balance sheet exposures</w:t>
            </w:r>
          </w:p>
        </w:tc>
        <w:tc>
          <w:tcPr>
            <w:tcW w:w="60" w:type="dxa"/>
            <w:tcBorders/>
            <w:vAlign w:val="bottom"/>
          </w:tcPr>
          <w:p>
            <w:pPr>
              <w:pStyle w:val="TableContents"/>
              <w:bidi w:val="0"/>
              <w:spacing w:before="0" w:after="283"/>
              <w:jc w:val="left"/>
              <w:rPr/>
            </w:pPr>
            <w:r>
              <w:rPr/>
              <w:t> </w:t>
            </w:r>
          </w:p>
        </w:tc>
        <w:tc>
          <w:tcPr>
            <w:tcW w:w="20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1,740</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br/>
      </w:r>
      <w:r>
        <w:rPr>
          <w:rFonts w:ascii="Times New Roman" w:hAnsi="Times New Roman"/>
          <w:b w:val="false"/>
          <w:i/>
          <w:caps w:val="false"/>
          <w:smallCaps w:val="false"/>
          <w:color w:val="000000"/>
          <w:spacing w:val="0"/>
          <w:sz w:val="20"/>
        </w:rPr>
        <w:t>ASU 2022-02 Financial Instruments - Credit Losses (Topic 326): Troubled Debt Restructurings and Vintage Disclosures.</w:t>
      </w:r>
      <w:r>
        <w:rPr>
          <w:rFonts w:ascii="Times New Roman" w:hAnsi="Times New Roman"/>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This ASU eliminates guidance for troubled debt restructurings by creditors and enhances disclosure requirements for certain loan modifications by creditors for borrowers experiencing financial distress.  This ASU defines types of modifications as principal forgiveness, interest rate reduction, other than insignificant payment delays, or a term extension.  In addition, the ASU requires disclosure of current-period gross charge-offs, by year of origination, in the vintage disclosure. The Company adopted the provisions of ASU 2022-02 as of January 1, 2023 on a prospective basis. The adoption of this amendment did not have a material impact on the consolidated financial statements.</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connection with the adoption of the CECL model, the Company revised certain accounting policies and implemented certain accounting policy elections.</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ind w:left="0" w:right="0" w:hanging="0"/>
        <w:jc w:val="both"/>
        <w:rPr>
          <w:rFonts w:ascii="Times New Roman" w:hAnsi="Times New Roman"/>
          <w:color w:val="000000"/>
          <w:sz w:val="20"/>
        </w:rPr>
      </w:pPr>
      <w:r>
        <w:rPr>
          <w:rFonts w:ascii="Times New Roman" w:hAnsi="Times New Roman"/>
          <w:b w:val="false"/>
          <w:i/>
          <w:caps w:val="false"/>
          <w:smallCaps w:val="false"/>
          <w:color w:val="000000"/>
          <w:sz w:val="20"/>
          <w:u w:val="single"/>
        </w:rPr>
        <w:t>Securities</w:t>
      </w:r>
      <w:r>
        <w:rPr>
          <w:rFonts w:ascii="Times New Roman" w:hAnsi="Times New Roman"/>
          <w:caps w:val="false"/>
          <w:smallCaps w:val="false"/>
          <w:color w:val="000000"/>
          <w:sz w:val="20"/>
          <w:u w:val="single"/>
        </w:rPr>
        <w:t xml:space="preserve"> </w:t>
      </w:r>
      <w:r>
        <w:rPr>
          <w:rFonts w:ascii="Times New Roman" w:hAnsi="Times New Roman"/>
          <w:caps w:val="false"/>
          <w:smallCaps w:val="false"/>
          <w:color w:val="000000"/>
          <w:sz w:val="20"/>
        </w:rPr>
        <w:t xml:space="preserve">– </w:t>
      </w:r>
      <w:r>
        <w:rPr>
          <w:rFonts w:ascii="Times New Roman" w:hAnsi="Times New Roman"/>
          <w:b w:val="false"/>
          <w:i w:val="false"/>
          <w:caps w:val="false"/>
          <w:smallCaps w:val="false"/>
          <w:color w:val="000000"/>
          <w:sz w:val="20"/>
        </w:rPr>
        <w:t xml:space="preserve">Investment </w:t>
      </w:r>
      <w:r>
        <w:rPr>
          <w:rFonts w:ascii="Times New Roman" w:hAnsi="Times New Roman"/>
          <w:b w:val="false"/>
          <w:i w:val="false"/>
          <w:caps w:val="false"/>
          <w:smallCaps w:val="false"/>
          <w:color w:val="000000"/>
          <w:spacing w:val="0"/>
          <w:sz w:val="20"/>
        </w:rPr>
        <w:t>securities may be classified into trading, held to maturity (“HTM”) or available for sale (“AFS”) portfolios. Securities that are held principally for resale in the near term are classified as trading. Securities that management has the ability and positive intent to hold to maturity are classified as HTM and recorded at amortized cost. Securities not classified as trading or HTM are AFS and are carried at fair value with unrealized gains and losses reported as a component of other comprehensive income (loss), net of tax.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Gains and losses on sales are recorded on the trade date, are derived from the amortized cost of the security sold and are determined using the specific identification method. A security is placed on nonaccrual status if principal or interest has been in default for a period of 90 days or more, or if full payment of principal and interest is not expected.  The Company has made a policy election to exclude accrued interest receivable from the amortized cost basis of AFS securities and report the accrued interest in accrued interest receivable in the Consolidated  Balance Sheets. Interest accrued but not received for a security placed on nonaccrual status is reversed against interest income.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color w:val="000000"/>
          <w:sz w:val="20"/>
        </w:rPr>
      </w:pPr>
      <w:r>
        <w:rPr>
          <w:rFonts w:ascii="Times New Roman" w:hAnsi="Times New Roman"/>
          <w:b w:val="false"/>
          <w:i/>
          <w:caps w:val="false"/>
          <w:smallCaps w:val="false"/>
          <w:color w:val="000000"/>
          <w:spacing w:val="0"/>
          <w:sz w:val="20"/>
          <w:u w:val="single"/>
        </w:rPr>
        <w:t>ACL (AFS Securities) </w:t>
      </w:r>
      <w:r>
        <w:rPr>
          <w:rFonts w:ascii="Times New Roman" w:hAnsi="Times New Roman"/>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For AFS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AFS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 is less than the amortized cost basis.  Any impairment that has not been recorded through an ACL is recognized in other comprehensive income (loss).  Changes in the ACL are recorded as provision for credit losses.  Losses are charged against the allowance when management believes the uncollectibility of an AFS security is confirmed or when either of the criteria regarding intent or requirement to sell is met. Accrued interest is excluded from the estimate of credit losses.</w:t>
      </w:r>
      <w:r>
        <w:rPr>
          <w:rFonts w:ascii="Times New Roman" w:hAnsi="Times New Roman"/>
          <w:color w:val="000000"/>
          <w:sz w:val="20"/>
        </w:rPr>
        <w:t xml:space="preserve"> </w:t>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ind w:left="0" w:right="0" w:hanging="0"/>
        <w:jc w:val="both"/>
        <w:rPr>
          <w:rFonts w:ascii="Times New Roman" w:hAnsi="Times New Roman"/>
          <w:color w:val="000000"/>
          <w:sz w:val="20"/>
        </w:rPr>
      </w:pPr>
      <w:r>
        <w:rPr>
          <w:rFonts w:ascii="Times New Roman" w:hAnsi="Times New Roman"/>
          <w:i/>
          <w:color w:val="000000"/>
          <w:sz w:val="20"/>
          <w:u w:val="single"/>
        </w:rPr>
        <w:t>Loans</w:t>
      </w:r>
      <w:r>
        <w:rPr>
          <w:rFonts w:ascii="Times New Roman" w:hAnsi="Times New Roman"/>
          <w:color w:val="000000"/>
          <w:sz w:val="20"/>
        </w:rPr>
        <w:t xml:space="preserve"> – Loans </w:t>
      </w:r>
      <w:r>
        <w:rPr>
          <w:rFonts w:ascii="Times New Roman" w:hAnsi="Times New Roman"/>
          <w:b w:val="false"/>
          <w:i w:val="false"/>
          <w:caps w:val="false"/>
          <w:smallCaps w:val="false"/>
          <w:color w:val="000000"/>
          <w:spacing w:val="0"/>
          <w:sz w:val="20"/>
        </w:rPr>
        <w:t>that management has the intent and ability to hold for the foreseeable future or until maturity or payoff are reported at their amortized cost. Amortized cost is the outstanding unpaid principal balances, net of any unearned income, charge-offs, unamortized deferred fees and costs on originated loans, and unamortized premiums or discounts on purchased loans.  The Company has made a policy election to exclude accrued interest from the amortized cost basis of loans and report accrued interest separately from the related loan balance in accrued interest receivable on the Consolidated Balance Sheets. Accrued interest receivable is excluded from the estimate of credit losses.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 </w:t>
      </w:r>
    </w:p>
    <w:p>
      <w:pPr>
        <w:pStyle w:val="TextBody"/>
        <w:bidi w:val="0"/>
        <w:spacing w:before="0" w:after="0"/>
        <w:jc w:val="left"/>
        <w:rPr>
          <w:rFonts w:ascii="Times New Roman" w:hAnsi="Times New Roman"/>
          <w:b w:val="false"/>
          <w:i w:val="false"/>
          <w:caps w:val="false"/>
          <w:smallCaps w:val="false"/>
          <w:color w:val="000000"/>
        </w:rPr>
      </w:pPr>
      <w:r>
        <w:rPr>
          <w:rFonts w:ascii="Times New Roman" w:hAnsi="Times New Roman"/>
          <w:b w:val="false"/>
          <w:i w:val="false"/>
          <w:caps w:val="false"/>
          <w:smallCaps w:val="false"/>
          <w:color w:val="000000"/>
        </w:rPr>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b w:val="false"/>
          <w:i/>
          <w:caps w:val="false"/>
          <w:smallCaps w:val="false"/>
          <w:color w:val="000000"/>
          <w:sz w:val="20"/>
          <w:u w:val="single"/>
        </w:rPr>
        <w:t>ACL (Loans)</w:t>
      </w:r>
      <w:r>
        <w:rPr>
          <w:rFonts w:ascii="Times New Roman" w:hAnsi="Times New Roman"/>
          <w:caps w:val="false"/>
          <w:smallCaps w:val="false"/>
          <w:color w:val="000000"/>
          <w:sz w:val="20"/>
          <w:u w:val="single"/>
        </w:rPr>
        <w:t xml:space="preserve"> </w:t>
      </w:r>
      <w:r>
        <w:rPr>
          <w:rFonts w:ascii="Times New Roman" w:hAnsi="Times New Roman"/>
          <w:caps w:val="false"/>
          <w:smallCaps w:val="false"/>
          <w:color w:val="000000"/>
          <w:sz w:val="20"/>
        </w:rPr>
        <w:t xml:space="preserve">– </w:t>
      </w:r>
      <w:r>
        <w:rPr>
          <w:rFonts w:ascii="Times New Roman" w:hAnsi="Times New Roman"/>
          <w:b w:val="false"/>
          <w:caps w:val="false"/>
          <w:smallCaps w:val="false"/>
          <w:color w:val="000000"/>
          <w:sz w:val="20"/>
        </w:rPr>
        <w:t xml:space="preserve">The </w:t>
      </w:r>
      <w:r>
        <w:rPr>
          <w:rFonts w:ascii="Times New Roman" w:hAnsi="Times New Roman"/>
          <w:b w:val="false"/>
          <w:i w:val="false"/>
          <w:caps w:val="false"/>
          <w:smallCaps w:val="false"/>
          <w:color w:val="000000"/>
          <w:spacing w:val="0"/>
          <w:sz w:val="20"/>
        </w:rPr>
        <w:t>ACL is a valuation account established by management as an estimate to cover expected credit losses through a provision for credit losses charged to earnings. Credit losses on loans are charged against the allowance when management believes the uncollectibility of a loan balance is confirmed. Subsequent recoveries, if any, are credited to the allowance. Expected losses are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b w:val="false"/>
          <w:i w:val="false"/>
          <w:caps w:val="false"/>
          <w:smallCaps w:val="false"/>
          <w:color w:val="000000"/>
          <w:spacing w:val="0"/>
          <w:sz w:val="20"/>
          <w:shd w:fill="FFFFFF" w:val="clear"/>
        </w:rPr>
        <w:t xml:space="preserve">The ACL is evaluated on a quarterly basis by management. The Company applied a dual credit risk rating (“DCRR”) methodology that estimates each loan’s probability of default and loss given default to calculate the expected credit loss to non-analyzed loans at January 1 and June 30, 2023.  The DCRR process quantifies the expected credit loss at the loan level for the entire loan portfolio.  Loan grades are assigned by a customized scorecard that risk rates each loan based on multiple probability of default and loss given default elements to measure the credit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its one-year through the cycle estimate of expected credit loss to a life of loan measurement that reflects current conditions and reasonable and supportable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one to two years. The Company has developed regression models to project net charge-off rates based on macroeconomic variables (“MEVs”), </w:t>
      </w:r>
      <w:r>
        <w:rPr>
          <w:rFonts w:ascii="Times New Roman" w:hAnsi="Times New Roman"/>
          <w:b w:val="false"/>
          <w:i w:val="false"/>
          <w:caps w:val="false"/>
          <w:smallCaps w:val="false"/>
          <w:color w:val="000000"/>
          <w:sz w:val="20"/>
          <w:shd w:fill="FFFFFF" w:val="clear"/>
        </w:rPr>
        <w:t>typically a one-year forecast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w:t>
      </w:r>
      <w:r>
        <w:rPr>
          <w:rFonts w:ascii="Times New Roman" w:hAnsi="Times New Roman"/>
          <w:b w:val="false"/>
          <w:i w:val="false"/>
          <w:caps w:val="false"/>
          <w:smallCaps w:val="false"/>
          <w:color w:val="000000"/>
          <w:spacing w:val="0"/>
          <w:sz w:val="20"/>
          <w:shd w:fill="FFFFFF" w:val="clear"/>
        </w:rPr>
        <w:t xml:space="preserve"> These regression models are applied to the Company’s economic forecast to determine the corresponding net charge-off rates. The projected net charge-off rates for the given economic scenario are used to adjust the life of loan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While management uses available information to recognize credit losses on loans, further reductions in the carrying amounts of loans may be necessary based on various factors. In addition, regulatory agencies, as an integral part of their examination process, periodically review the estimated credit losses on loans. Such agencies may require the bank subsidiary to recognize additional credit losses based on their judgments about information available to them at the time of their examination. Because of these factors, it is reasonably possible that the estimated credit losses on loans may change materially in the near term. However, the amount of the change that is reasonably possible cannot be estimated.</w:t>
      </w:r>
    </w:p>
    <w:p>
      <w:pPr>
        <w:pStyle w:val="TextBody"/>
        <w:bidi w:val="0"/>
        <w:spacing w:before="0" w:after="0"/>
        <w:jc w:val="both"/>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Loans that exhibit characteristics different from their pool characteristics are evaluated on an individual basis. Loans evaluated individually are not included in the collective ACL evaluation.  When management determines that foreclosure is probable, or if certain of these loans are considered to be collateral dependent with the borrower experiencing financial difficulty, the Company elects the fair value of collateral practical expedient, whereby the allowance is calculated as the amount by which the amortized cost exceeds the fair value of collateral, less costs to sell.</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b w:val="false"/>
          <w:i/>
          <w:caps w:val="false"/>
          <w:smallCaps w:val="false"/>
          <w:color w:val="000000"/>
          <w:spacing w:val="0"/>
          <w:sz w:val="20"/>
          <w:u w:val="single"/>
        </w:rPr>
        <w:t>ACL (Off-Balance Sheet Credit Exposures)</w:t>
      </w:r>
      <w:r>
        <w:rPr>
          <w:rFonts w:ascii="Times New Roman" w:hAnsi="Times New Roman"/>
          <w:caps w:val="false"/>
          <w:smallCaps w:val="false"/>
          <w:color w:val="000000"/>
          <w:spacing w:val="0"/>
          <w:sz w:val="20"/>
          <w:u w:val="single"/>
        </w:rPr>
        <w:t> </w:t>
      </w:r>
      <w:r>
        <w:rPr>
          <w:rFonts w:ascii="Times New Roman" w:hAnsi="Times New Roman"/>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The Company estimates expected credit losses over the contractual period in which the Company is exposed to credit risk via a contractual obligation to extend credit, unless that obligation is unconditionally cancellable by the Company.  The ACL for off-balance sheet credit exposures is adjusted through provision for credit losses.  The estimate includes consideration of the likelihood that funding will occur and an estimate of expected credit losses on commitments expected to be funded over its estimated life.  Utilization rates are determined based on a two-year rolling average of historical usage. Expected loss rates for all pass rated loans are used to determine the ACL for off-balance sheet credit exposures. The ACL for off-balance sheet credit exposures is included in accrued expenses and other liabilities on the Consolidated Balance Sheets.</w:t>
      </w:r>
      <w:r>
        <w:rPr>
          <w:rFonts w:ascii="Times New Roman" w:hAnsi="Times New Roman"/>
          <w:color w:val="000000"/>
          <w:sz w:val="20"/>
        </w:rPr>
        <w:t xml:space="preserve"> </w:t>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b w:val="false"/>
          <w:i/>
          <w:caps w:val="false"/>
          <w:smallCaps w:val="false"/>
          <w:color w:val="000000"/>
          <w:sz w:val="20"/>
          <w:u w:val="single"/>
        </w:rPr>
        <w:t>Acquired Loans</w:t>
      </w:r>
      <w:r>
        <w:rPr>
          <w:rFonts w:ascii="Times New Roman" w:hAnsi="Times New Roman"/>
          <w:caps w:val="false"/>
          <w:smallCaps w:val="false"/>
          <w:color w:val="000000"/>
          <w:sz w:val="20"/>
        </w:rPr>
        <w:t xml:space="preserve"> – </w:t>
      </w:r>
      <w:r>
        <w:rPr>
          <w:rFonts w:ascii="Times New Roman" w:hAnsi="Times New Roman"/>
          <w:b w:val="false"/>
          <w:caps w:val="false"/>
          <w:smallCaps w:val="false"/>
          <w:color w:val="000000"/>
          <w:sz w:val="20"/>
        </w:rPr>
        <w:t>Loans</w:t>
      </w:r>
      <w:r>
        <w:rPr>
          <w:rFonts w:ascii="Times New Roman" w:hAnsi="Times New Roman"/>
          <w:b w:val="false"/>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 xml:space="preserve">that the Company acquires in connection with business combinations are recorded at fair value with no carryover of the acquired entity’s related ACL. The fair value of the acquired loans involves estimating the amount and timing of principal and interest cash flows expected to be collected on the loans and discounting those cash flows at a market rate of interest, adjusted for estimated prepayments and credit losses.  In accordance with Topic 326, the fair value adjustment is recorded as premium or discount to the unpaid principal balance of each acquired loan. In addition, the Company also records an ACL on each acquired loan. </w:t>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Any acquired loans the Company determines have evidence of a more than insignificant deterioration in credit quality since origination, are considered to be purchase credit deteriorated (“PCD”) loans. The Company evaluates acquired loans for deterioration in credit quality based on any of, but not limited to, the following:  (i) non-accrual status; (ii) risk rating, (iii) watchlist credits; and (iv) delinquency status.  An ACL is determined using the same methodology as other individually evaluated loans. The sum of the PCD loan’s purchase price and ACL becomes its initial amortized cost basis.  The difference between the initial amortized cost basis and the par value of the loan is a non-credit discount or premium, which is amortized into interest income over the life of the loan. Subsequent changes to the ACL are recorded through provision for credit losses. </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b w:val="false"/>
          <w:i/>
          <w:caps w:val="false"/>
          <w:smallCaps w:val="false"/>
          <w:color w:val="000000"/>
          <w:sz w:val="20"/>
          <w:u w:val="single"/>
        </w:rPr>
        <w:t>Goodwill and Other Intangible Assets </w:t>
      </w:r>
      <w:r>
        <w:rPr>
          <w:rFonts w:ascii="Times New Roman" w:hAnsi="Times New Roman"/>
          <w:caps w:val="false"/>
          <w:smallCaps w:val="false"/>
          <w:color w:val="000000"/>
          <w:sz w:val="20"/>
        </w:rPr>
        <w:t>–</w:t>
      </w:r>
      <w:r>
        <w:rPr>
          <w:rFonts w:ascii="Times New Roman" w:hAnsi="Times New Roman"/>
          <w:color w:val="000000"/>
          <w:sz w:val="20"/>
        </w:rPr>
        <w:t xml:space="preserve"> Goodwill resulting from business combinations is generally determined as the excess of the fair value of the consideration transferred over the fair value of the net assets acquired and liabilities assumed as of the acquisition date. Goodwill is not amortized, but is tested for impairment on October 31 of each year or more frequently if events and circumstances exist that indicate that an impairment test should be performed. There was</w:t>
      </w:r>
      <w:r>
        <w:rPr>
          <w:rFonts w:ascii="Times New Roman" w:hAnsi="Times New Roman"/>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no</w:t>
      </w:r>
      <w:r>
        <w:rPr>
          <w:rFonts w:ascii="Times New Roman" w:hAnsi="Times New Roman"/>
          <w:color w:val="000000"/>
          <w:sz w:val="20"/>
        </w:rPr>
        <w:t xml:space="preserve"> goodwill impairment recorded for the six months ended June 30, 2023 and the year ended December 31, 2022.</w:t>
      </w:r>
    </w:p>
    <w:p>
      <w:pPr>
        <w:pStyle w:val="TextBody"/>
        <w:bidi w:val="0"/>
        <w:spacing w:before="0" w:after="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r>
    </w:p>
    <w:p>
      <w:pPr>
        <w:pStyle w:val="TextBody"/>
        <w:bidi w:val="0"/>
        <w:spacing w:before="0" w:after="0"/>
        <w:jc w:val="both"/>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Substantially all CDI is amortized using the sum of the years’ digits method.</w:t>
      </w:r>
    </w:p>
    <w:p>
      <w:pPr>
        <w:pStyle w:val="TextBody"/>
        <w:bidi w:val="0"/>
        <w:spacing w:before="0" w:after="0"/>
        <w:jc w:val="both"/>
        <w:rPr>
          <w:rFonts w:ascii="Times New Roman" w:hAnsi="Times New Roman"/>
          <w:b w:val="false"/>
          <w:i/>
          <w:caps w:val="false"/>
          <w:smallCaps w:val="false"/>
          <w:color w:val="000000"/>
          <w:sz w:val="20"/>
          <w:u w:val="single"/>
        </w:rPr>
      </w:pPr>
      <w:r>
        <w:rPr>
          <w:rFonts w:ascii="Times New Roman" w:hAnsi="Times New Roman"/>
          <w:b w:val="false"/>
          <w:i/>
          <w:caps w:val="false"/>
          <w:smallCaps w:val="false"/>
          <w:color w:val="000000"/>
          <w:sz w:val="20"/>
          <w:u w:val="single"/>
        </w:rPr>
      </w:r>
    </w:p>
    <w:p>
      <w:pPr>
        <w:pStyle w:val="TextBody"/>
        <w:bidi w:val="0"/>
        <w:spacing w:before="0" w:after="0"/>
        <w:jc w:val="both"/>
        <w:rPr>
          <w:rFonts w:ascii="Times New Roman" w:hAnsi="Times New Roman"/>
          <w:color w:val="000000"/>
          <w:sz w:val="20"/>
        </w:rPr>
      </w:pPr>
      <w:r>
        <w:rPr>
          <w:rFonts w:ascii="Times New Roman" w:hAnsi="Times New Roman"/>
          <w:b w:val="false"/>
          <w:i/>
          <w:caps w:val="false"/>
          <w:smallCaps w:val="false"/>
          <w:color w:val="000000"/>
          <w:sz w:val="20"/>
          <w:u w:val="single"/>
        </w:rPr>
        <w:t>Earnings per Share</w:t>
      </w:r>
      <w:r>
        <w:rPr>
          <w:rFonts w:ascii="Times New Roman" w:hAnsi="Times New Roman"/>
          <w:caps w:val="false"/>
          <w:smallCaps w:val="false"/>
          <w:color w:val="000000"/>
          <w:sz w:val="20"/>
        </w:rPr>
        <w:t xml:space="preserve"> – </w:t>
      </w:r>
      <w:r>
        <w:rPr>
          <w:rFonts w:ascii="Times New Roman" w:hAnsi="Times New Roman"/>
          <w:b w:val="false"/>
          <w:i w:val="false"/>
          <w:caps w:val="false"/>
          <w:smallCaps w:val="false"/>
          <w:color w:val="000000"/>
          <w:sz w:val="20"/>
        </w:rPr>
        <w:t>Basic earnings per share is net income divided by the weighted average number of common shares outstanding during the period. Diluted earnings per share includes the dilutive effect of additional potential shares issuable under stock options. Earnings and dividends per share are restated for all stock splits and stock dividends through the date of issuance of the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val="false"/>
          <w:i/>
          <w:caps w:val="false"/>
          <w:smallCaps w:val="false"/>
          <w:color w:val="000000"/>
          <w:sz w:val="20"/>
          <w:u w:val="single"/>
        </w:rPr>
        <w:t>Segment Information</w:t>
      </w:r>
      <w:r>
        <w:rPr>
          <w:rFonts w:ascii="Times New Roman" w:hAnsi="Times New Roman"/>
          <w:b w:val="false"/>
          <w:i w:val="false"/>
          <w:caps w:val="false"/>
          <w:smallCaps w:val="false"/>
          <w:color w:val="000000"/>
          <w:sz w:val="20"/>
        </w:rPr>
        <w:t xml:space="preserve"> – The Company previously identified two operating segments: banking and insurance. The accounting policies for each of the segments were the same as those described in the summary of significant accounting policies. Effective January 1, 2023, operations and financial performance of the insurance segment were being performed and evaluated on a Company-wide basis based on not being significant to the operating results of the Company. Furthermore, the insurance segment was sold on April 1, 2023. As a result, segment reporting disclosures have been removed.</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b w:val="false"/>
          <w:i/>
          <w:caps w:val="false"/>
          <w:smallCaps w:val="false"/>
          <w:color w:val="000000"/>
          <w:sz w:val="20"/>
          <w:u w:val="single"/>
        </w:rPr>
        <w:t>Subsequent Events</w:t>
      </w:r>
      <w:r>
        <w:rPr>
          <w:rFonts w:ascii="Times New Roman" w:hAnsi="Times New Roman"/>
          <w:caps w:val="false"/>
          <w:smallCaps w:val="false"/>
          <w:color w:val="000000"/>
          <w:sz w:val="20"/>
        </w:rPr>
        <w:t xml:space="preserve"> – </w:t>
      </w:r>
      <w:r>
        <w:rPr>
          <w:rFonts w:ascii="Times New Roman" w:hAnsi="Times New Roman"/>
          <w:b w:val="false"/>
          <w:i w:val="false"/>
          <w:caps w:val="false"/>
          <w:smallCaps w:val="false"/>
          <w:color w:val="000000"/>
          <w:spacing w:val="0"/>
          <w:sz w:val="20"/>
        </w:rPr>
        <w:t>The Company has evaluated subsequent events and transactions from June 30,2023 through the date this Form 10-Q was filed with the SEC for potential recognition or disclosure as required by GAAP.</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2.  SECURITIES</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color w:val="000000"/>
          <w:sz w:val="20"/>
        </w:rPr>
      </w:pPr>
      <w:r>
        <w:rPr>
          <w:rFonts w:ascii="Times New Roman" w:hAnsi="Times New Roman"/>
          <w:b w:val="false"/>
          <w:i w:val="false"/>
          <w:caps w:val="false"/>
          <w:smallCaps w:val="false"/>
          <w:color w:val="000000"/>
          <w:spacing w:val="0"/>
          <w:sz w:val="20"/>
          <w:shd w:fill="FFFFFF" w:val="clear"/>
        </w:rPr>
        <w:t>The amortized cost, related gross unrealized gains and losses,</w:t>
      </w:r>
      <w:r>
        <w:rPr>
          <w:rFonts w:ascii="Times New Roman" w:hAnsi="Times New Roman"/>
          <w:color w:val="000000"/>
          <w:sz w:val="20"/>
        </w:rPr>
        <w:t xml:space="preserve"> allowance for credit losses, and estimated fair value of securities available for sale at the dates indicated follows (dollars in thousands)</w:t>
      </w:r>
      <w:r>
        <w:rPr>
          <w:rFonts w:ascii="Times New Roman" w:hAnsi="Times New Roman"/>
          <w:b w:val="false"/>
          <w:i w:val="false"/>
          <w:caps w:val="false"/>
          <w:smallCaps w:val="false"/>
          <w:color w:val="000000"/>
          <w:spacing w:val="0"/>
          <w:sz w:val="20"/>
          <w:shd w:fill="FFFFFF" w:val="clear"/>
        </w:rPr>
        <w:t>:</w:t>
      </w:r>
    </w:p>
    <w:p>
      <w:pPr>
        <w:pStyle w:val="TextBody"/>
        <w:bidi w:val="0"/>
        <w:spacing w:before="0" w:after="0"/>
        <w:jc w:val="left"/>
        <w:rPr/>
      </w:pPr>
      <w:r>
        <w:rPr/>
      </w:r>
    </w:p>
    <w:tbl>
      <w:tblPr>
        <w:tblW w:w="9824" w:type="dxa"/>
        <w:jc w:val="left"/>
        <w:tblInd w:w="0" w:type="dxa"/>
        <w:tblLayout w:type="fixed"/>
        <w:tblCellMar>
          <w:top w:w="0" w:type="dxa"/>
          <w:left w:w="0" w:type="dxa"/>
          <w:bottom w:w="0" w:type="dxa"/>
          <w:right w:w="0" w:type="dxa"/>
        </w:tblCellMar>
      </w:tblPr>
      <w:tblGrid>
        <w:gridCol w:w="4220"/>
        <w:gridCol w:w="60"/>
        <w:gridCol w:w="125"/>
        <w:gridCol w:w="800"/>
        <w:gridCol w:w="60"/>
        <w:gridCol w:w="60"/>
        <w:gridCol w:w="308"/>
        <w:gridCol w:w="642"/>
        <w:gridCol w:w="60"/>
        <w:gridCol w:w="60"/>
        <w:gridCol w:w="134"/>
        <w:gridCol w:w="816"/>
        <w:gridCol w:w="95"/>
        <w:gridCol w:w="60"/>
        <w:gridCol w:w="420"/>
        <w:gridCol w:w="784"/>
        <w:gridCol w:w="60"/>
        <w:gridCol w:w="60"/>
        <w:gridCol w:w="125"/>
        <w:gridCol w:w="800"/>
        <w:gridCol w:w="75"/>
      </w:tblGrid>
      <w:tr>
        <w:trPr/>
        <w:tc>
          <w:tcPr>
            <w:tcW w:w="4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Amortized</w:t>
            </w:r>
          </w:p>
          <w:p>
            <w:pPr>
              <w:pStyle w:val="TableContents"/>
              <w:bidi w:val="0"/>
              <w:spacing w:before="0" w:after="0"/>
              <w:jc w:val="center"/>
              <w:rPr>
                <w:rFonts w:ascii="Times New Roman" w:hAnsi="Times New Roman"/>
                <w:b/>
                <w:sz w:val="20"/>
              </w:rPr>
            </w:pPr>
            <w:r>
              <w:rPr>
                <w:rFonts w:ascii="Times New Roman" w:hAnsi="Times New Roman"/>
                <w:b/>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w:t>
            </w:r>
          </w:p>
          <w:p>
            <w:pPr>
              <w:pStyle w:val="TableContents"/>
              <w:bidi w:val="0"/>
              <w:spacing w:before="0" w:after="0"/>
              <w:jc w:val="center"/>
              <w:rPr>
                <w:rFonts w:ascii="Times New Roman" w:hAnsi="Times New Roman"/>
                <w:b/>
                <w:sz w:val="20"/>
              </w:rPr>
            </w:pPr>
            <w:r>
              <w:rPr>
                <w:rFonts w:ascii="Times New Roman" w:hAnsi="Times New Roman"/>
                <w:b/>
                <w:sz w:val="20"/>
              </w:rPr>
              <w:t>Unrealized</w:t>
            </w:r>
          </w:p>
          <w:p>
            <w:pPr>
              <w:pStyle w:val="TableContents"/>
              <w:bidi w:val="0"/>
              <w:spacing w:before="0" w:after="0"/>
              <w:jc w:val="center"/>
              <w:rPr>
                <w:rFonts w:ascii="Times New Roman" w:hAnsi="Times New Roman"/>
                <w:b/>
                <w:sz w:val="20"/>
              </w:rPr>
            </w:pPr>
            <w:r>
              <w:rPr>
                <w:rFonts w:ascii="Times New Roman" w:hAnsi="Times New Roman"/>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w:t>
            </w:r>
          </w:p>
          <w:p>
            <w:pPr>
              <w:pStyle w:val="TableContents"/>
              <w:bidi w:val="0"/>
              <w:spacing w:before="0" w:after="0"/>
              <w:jc w:val="center"/>
              <w:rPr>
                <w:rFonts w:ascii="Times New Roman" w:hAnsi="Times New Roman"/>
                <w:b/>
                <w:sz w:val="20"/>
              </w:rPr>
            </w:pPr>
            <w:r>
              <w:rPr>
                <w:rFonts w:ascii="Times New Roman" w:hAnsi="Times New Roman"/>
                <w:b/>
                <w:sz w:val="20"/>
              </w:rPr>
              <w:t>Unrealized</w:t>
            </w:r>
          </w:p>
          <w:p>
            <w:pPr>
              <w:pStyle w:val="TableContents"/>
              <w:bidi w:val="0"/>
              <w:spacing w:before="0" w:after="0"/>
              <w:jc w:val="center"/>
              <w:rPr>
                <w:rFonts w:ascii="Times New Roman" w:hAnsi="Times New Roman"/>
                <w:b/>
                <w:sz w:val="20"/>
              </w:rPr>
            </w:pPr>
            <w:r>
              <w:rPr>
                <w:rFonts w:ascii="Times New Roman" w:hAnsi="Times New Roman"/>
                <w:b/>
                <w:sz w:val="20"/>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04" w:type="dxa"/>
            <w:gridSpan w:val="2"/>
            <w:tcBorders>
              <w:bottom w:val="single" w:sz="12" w:space="0" w:color="000000"/>
            </w:tcBorders>
            <w:tcMar>
              <w:bottom w:w="28" w:type="dxa"/>
            </w:tcMar>
            <w:vAlign w:val="bottom"/>
          </w:tcPr>
          <w:p>
            <w:pPr>
              <w:pStyle w:val="TableContents"/>
              <w:bidi w:val="0"/>
              <w:spacing w:before="0" w:after="0"/>
              <w:jc w:val="center"/>
              <w:rPr/>
            </w:pPr>
            <w:r>
              <w:rPr/>
              <w:t> </w:t>
            </w:r>
            <w:r>
              <w:rPr>
                <w:b/>
              </w:rPr>
              <w:t xml:space="preserve">Allowance </w:t>
            </w:r>
          </w:p>
          <w:p>
            <w:pPr>
              <w:pStyle w:val="TableContents"/>
              <w:bidi w:val="0"/>
              <w:spacing w:before="0" w:after="0"/>
              <w:jc w:val="center"/>
              <w:rPr>
                <w:b/>
              </w:rPr>
            </w:pPr>
            <w:r>
              <w:rPr>
                <w:b/>
              </w:rPr>
              <w:t xml:space="preserve">for Credit </w:t>
            </w:r>
          </w:p>
          <w:p>
            <w:pPr>
              <w:pStyle w:val="TableContents"/>
              <w:bidi w:val="0"/>
              <w:spacing w:before="0" w:after="0"/>
              <w:jc w:val="center"/>
              <w:rPr>
                <w:b/>
              </w:rPr>
            </w:pPr>
            <w:r>
              <w:rPr>
                <w:b/>
              </w:rPr>
              <w:t>Losses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75" w:type="dxa"/>
            <w:tcBorders/>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June 30, 2023</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Available for sale:</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22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State and municipal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206,835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(26,442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420"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180,395</w:t>
            </w:r>
          </w:p>
        </w:tc>
        <w:tc>
          <w:tcPr>
            <w:tcW w:w="75" w:type="dxa"/>
            <w:tcBorders/>
            <w:shd w:fill="CCEEFF" w:val="clear"/>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Residential mortgage-backed securities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366,207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(56,020</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42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310,187</w:t>
            </w:r>
          </w:p>
        </w:tc>
        <w:tc>
          <w:tcPr>
            <w:tcW w:w="75" w:type="dxa"/>
            <w:tcBorders/>
            <w:vAlign w:val="bottom"/>
          </w:tcPr>
          <w:p>
            <w:pPr>
              <w:pStyle w:val="TableContents"/>
              <w:bidi w:val="0"/>
              <w:spacing w:before="0" w:after="283"/>
              <w:jc w:val="left"/>
              <w:rPr/>
            </w:pPr>
            <w:r>
              <w:rPr/>
              <w:t> </w:t>
            </w:r>
          </w:p>
        </w:tc>
      </w:tr>
      <w:tr>
        <w:trPr/>
        <w:tc>
          <w:tcPr>
            <w:tcW w:w="422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Commercial mortgage-backed securities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48,533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(7,315</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42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41,218</w:t>
            </w:r>
          </w:p>
        </w:tc>
        <w:tc>
          <w:tcPr>
            <w:tcW w:w="75" w:type="dxa"/>
            <w:tcBorders/>
            <w:shd w:fill="CCEEFF" w:val="clear"/>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0"/>
              <w:ind w:left="360" w:right="0" w:hanging="180"/>
              <w:jc w:val="left"/>
              <w:rPr/>
            </w:pPr>
            <w:r>
              <w:rPr>
                <w:rFonts w:ascii="Times New Roman" w:hAnsi="Times New Roman"/>
                <w:sz w:val="20"/>
              </w:rPr>
              <w:t>Commercial collateralized</w:t>
            </w:r>
            <w:r>
              <w:rPr/>
              <w:t xml:space="preserve"> mortgage obligations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72,823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(5,228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42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67,595</w:t>
            </w:r>
          </w:p>
        </w:tc>
        <w:tc>
          <w:tcPr>
            <w:tcW w:w="75" w:type="dxa"/>
            <w:tcBorders/>
            <w:vAlign w:val="bottom"/>
          </w:tcPr>
          <w:p>
            <w:pPr>
              <w:pStyle w:val="TableContents"/>
              <w:bidi w:val="0"/>
              <w:spacing w:before="0" w:after="283"/>
              <w:jc w:val="left"/>
              <w:rPr/>
            </w:pPr>
            <w:r>
              <w:rPr/>
              <w:t> </w:t>
            </w:r>
          </w:p>
        </w:tc>
      </w:tr>
      <w:tr>
        <w:trPr/>
        <w:tc>
          <w:tcPr>
            <w:tcW w:w="422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Asset-backed and other amortizing securities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19,529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42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17,785</w:t>
            </w:r>
          </w:p>
        </w:tc>
        <w:tc>
          <w:tcPr>
            <w:tcW w:w="75" w:type="dxa"/>
            <w:tcBorders/>
            <w:shd w:fill="CCEEFF" w:val="clear"/>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Other securities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bottom w:val="single" w:sz="12" w:space="0" w:color="000000"/>
            </w:tcBorders>
            <w:tcMar>
              <w:bottom w:w="28" w:type="dxa"/>
            </w:tcMar>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bottom w:val="single" w:sz="12" w:space="0" w:color="000000"/>
            </w:tcBorders>
            <w:tcMar>
              <w:bottom w:w="28" w:type="dxa"/>
            </w:tcMar>
            <w:vAlign w:val="bottom"/>
          </w:tcPr>
          <w:p>
            <w:pPr>
              <w:pStyle w:val="TableContents"/>
              <w:bidi w:val="0"/>
              <w:spacing w:before="0" w:after="283"/>
              <w:jc w:val="left"/>
              <w:rPr/>
            </w:pPr>
            <w:r>
              <w:rPr/>
              <w:t> </w:t>
            </w:r>
          </w:p>
        </w:tc>
        <w:tc>
          <w:tcPr>
            <w:tcW w:w="81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(1,087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42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10,913</w:t>
            </w:r>
          </w:p>
        </w:tc>
        <w:tc>
          <w:tcPr>
            <w:tcW w:w="75" w:type="dxa"/>
            <w:tcBorders/>
            <w:vAlign w:val="bottom"/>
          </w:tcPr>
          <w:p>
            <w:pPr>
              <w:pStyle w:val="TableContents"/>
              <w:bidi w:val="0"/>
              <w:spacing w:before="0" w:after="283"/>
              <w:jc w:val="left"/>
              <w:rPr/>
            </w:pPr>
            <w:r>
              <w:rPr/>
              <w:t> </w:t>
            </w:r>
          </w:p>
        </w:tc>
      </w:tr>
      <w:tr>
        <w:trPr/>
        <w:tc>
          <w:tcPr>
            <w:tcW w:w="42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725,927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(97,836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42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784" w:type="dxa"/>
            <w:tcBorders>
              <w:bottom w:val="double" w:sz="8"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628,093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8245" w:type="dxa"/>
        <w:jc w:val="left"/>
        <w:tblInd w:w="0" w:type="dxa"/>
        <w:tblLayout w:type="fixed"/>
        <w:tblCellMar>
          <w:top w:w="0" w:type="dxa"/>
          <w:left w:w="0" w:type="dxa"/>
          <w:bottom w:w="0" w:type="dxa"/>
          <w:right w:w="0" w:type="dxa"/>
        </w:tblCellMar>
      </w:tblPr>
      <w:tblGrid>
        <w:gridCol w:w="3965"/>
        <w:gridCol w:w="60"/>
        <w:gridCol w:w="125"/>
        <w:gridCol w:w="800"/>
        <w:gridCol w:w="60"/>
        <w:gridCol w:w="60"/>
        <w:gridCol w:w="308"/>
        <w:gridCol w:w="642"/>
        <w:gridCol w:w="60"/>
        <w:gridCol w:w="60"/>
        <w:gridCol w:w="134"/>
        <w:gridCol w:w="816"/>
        <w:gridCol w:w="95"/>
        <w:gridCol w:w="60"/>
        <w:gridCol w:w="125"/>
        <w:gridCol w:w="800"/>
        <w:gridCol w:w="75"/>
      </w:tblGrid>
      <w:tr>
        <w:trPr/>
        <w:tc>
          <w:tcPr>
            <w:tcW w:w="39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Amortized</w:t>
            </w:r>
          </w:p>
          <w:p>
            <w:pPr>
              <w:pStyle w:val="TableContents"/>
              <w:bidi w:val="0"/>
              <w:spacing w:before="0" w:after="0"/>
              <w:jc w:val="center"/>
              <w:rPr>
                <w:rFonts w:ascii="Times New Roman" w:hAnsi="Times New Roman"/>
                <w:b/>
                <w:sz w:val="20"/>
              </w:rPr>
            </w:pPr>
            <w:r>
              <w:rPr>
                <w:rFonts w:ascii="Times New Roman" w:hAnsi="Times New Roman"/>
                <w:b/>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w:t>
            </w:r>
          </w:p>
          <w:p>
            <w:pPr>
              <w:pStyle w:val="TableContents"/>
              <w:bidi w:val="0"/>
              <w:spacing w:before="0" w:after="0"/>
              <w:jc w:val="center"/>
              <w:rPr>
                <w:rFonts w:ascii="Times New Roman" w:hAnsi="Times New Roman"/>
                <w:b/>
                <w:sz w:val="20"/>
              </w:rPr>
            </w:pPr>
            <w:r>
              <w:rPr>
                <w:rFonts w:ascii="Times New Roman" w:hAnsi="Times New Roman"/>
                <w:b/>
                <w:sz w:val="20"/>
              </w:rPr>
              <w:t>Unrealized</w:t>
            </w:r>
          </w:p>
          <w:p>
            <w:pPr>
              <w:pStyle w:val="TableContents"/>
              <w:bidi w:val="0"/>
              <w:spacing w:before="0" w:after="0"/>
              <w:jc w:val="center"/>
              <w:rPr>
                <w:rFonts w:ascii="Times New Roman" w:hAnsi="Times New Roman"/>
                <w:b/>
                <w:sz w:val="20"/>
              </w:rPr>
            </w:pPr>
            <w:r>
              <w:rPr>
                <w:rFonts w:ascii="Times New Roman" w:hAnsi="Times New Roman"/>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w:t>
            </w:r>
          </w:p>
          <w:p>
            <w:pPr>
              <w:pStyle w:val="TableContents"/>
              <w:bidi w:val="0"/>
              <w:spacing w:before="0" w:after="0"/>
              <w:jc w:val="center"/>
              <w:rPr>
                <w:rFonts w:ascii="Times New Roman" w:hAnsi="Times New Roman"/>
                <w:b/>
                <w:sz w:val="20"/>
              </w:rPr>
            </w:pPr>
            <w:r>
              <w:rPr>
                <w:rFonts w:ascii="Times New Roman" w:hAnsi="Times New Roman"/>
                <w:b/>
                <w:sz w:val="20"/>
              </w:rPr>
              <w:t>Unrealized</w:t>
            </w:r>
          </w:p>
          <w:p>
            <w:pPr>
              <w:pStyle w:val="TableContents"/>
              <w:bidi w:val="0"/>
              <w:spacing w:before="0" w:after="0"/>
              <w:jc w:val="center"/>
              <w:rPr>
                <w:rFonts w:ascii="Times New Roman" w:hAnsi="Times New Roman"/>
                <w:b/>
                <w:sz w:val="20"/>
              </w:rPr>
            </w:pPr>
            <w:r>
              <w:rPr>
                <w:rFonts w:ascii="Times New Roman" w:hAnsi="Times New Roman"/>
                <w:b/>
                <w:sz w:val="20"/>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75"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Available for sale:</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State and municipal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259,429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(34,401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225,055</w:t>
            </w:r>
          </w:p>
        </w:tc>
        <w:tc>
          <w:tcPr>
            <w:tcW w:w="75"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ind w:left="360" w:right="0" w:hanging="180"/>
              <w:jc w:val="left"/>
              <w:rPr/>
            </w:pPr>
            <w:r>
              <w:rPr>
                <w:rFonts w:ascii="Times New Roman" w:hAnsi="Times New Roman"/>
                <w:sz w:val="20"/>
              </w:rPr>
              <w:t>Residential mortgage</w:t>
            </w:r>
            <w:r>
              <w:rPr/>
              <w:t xml:space="preserve">-backed securities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386,783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(57,938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328,845</w:t>
            </w:r>
          </w:p>
        </w:tc>
        <w:tc>
          <w:tcPr>
            <w:tcW w:w="75"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ind w:left="360" w:right="0" w:hanging="180"/>
              <w:jc w:val="left"/>
              <w:rPr/>
            </w:pPr>
            <w:r>
              <w:rPr/>
              <w:t xml:space="preserve">Commercial mortgage-backed securities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49,161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(7,194</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41,967</w:t>
            </w:r>
          </w:p>
        </w:tc>
        <w:tc>
          <w:tcPr>
            <w:tcW w:w="75"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Commercial collateralized mortgage obligations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76,189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(551</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75,638</w:t>
            </w:r>
          </w:p>
        </w:tc>
        <w:tc>
          <w:tcPr>
            <w:tcW w:w="75"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Asset-backed and other amortizing securities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20,907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(1,813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19,094</w:t>
            </w:r>
          </w:p>
        </w:tc>
        <w:tc>
          <w:tcPr>
            <w:tcW w:w="75"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Other securities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8" w:type="dxa"/>
            <w:tcBorders>
              <w:bottom w:val="single" w:sz="12" w:space="0" w:color="000000"/>
            </w:tcBorders>
            <w:tcMar>
              <w:bottom w:w="28" w:type="dxa"/>
            </w:tcMar>
            <w:vAlign w:val="bottom"/>
          </w:tcPr>
          <w:p>
            <w:pPr>
              <w:pStyle w:val="TableContents"/>
              <w:bidi w:val="0"/>
              <w:spacing w:before="0" w:after="283"/>
              <w:jc w:val="left"/>
              <w:rPr/>
            </w:pPr>
            <w:r>
              <w:rPr/>
              <w:t> </w:t>
            </w:r>
          </w:p>
        </w:tc>
        <w:tc>
          <w:tcPr>
            <w:tcW w:w="642"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4" w:type="dxa"/>
            <w:tcBorders>
              <w:bottom w:val="single" w:sz="12" w:space="0" w:color="000000"/>
            </w:tcBorders>
            <w:tcMar>
              <w:bottom w:w="28" w:type="dxa"/>
            </w:tcMar>
            <w:vAlign w:val="bottom"/>
          </w:tcPr>
          <w:p>
            <w:pPr>
              <w:pStyle w:val="TableContents"/>
              <w:bidi w:val="0"/>
              <w:spacing w:before="0" w:after="283"/>
              <w:jc w:val="left"/>
              <w:rPr/>
            </w:pPr>
            <w:r>
              <w:rPr/>
              <w:t> </w:t>
            </w:r>
          </w:p>
        </w:tc>
        <w:tc>
          <w:tcPr>
            <w:tcW w:w="81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(888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11,112</w:t>
            </w:r>
          </w:p>
        </w:tc>
        <w:tc>
          <w:tcPr>
            <w:tcW w:w="75"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804,469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4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(102,785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701,711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amortized cost and estimated fair value of securities at June 30, 2023 are presented below by contractual maturity (dollars in thousands). Expected maturities may differ from contractual maturities because issuers may have the right to call or prepay obligations. Other securities are shown separately since they are not due at a single maturity date.</w:t>
      </w:r>
    </w:p>
    <w:p>
      <w:pPr>
        <w:pStyle w:val="TextBody"/>
        <w:bidi w:val="0"/>
        <w:spacing w:before="0" w:after="0"/>
        <w:jc w:val="left"/>
        <w:rPr/>
      </w:pPr>
      <w:r>
        <w:rPr/>
      </w:r>
    </w:p>
    <w:tbl>
      <w:tblPr>
        <w:tblW w:w="4460" w:type="dxa"/>
        <w:jc w:val="left"/>
        <w:tblInd w:w="0" w:type="dxa"/>
        <w:tblLayout w:type="fixed"/>
        <w:tblCellMar>
          <w:top w:w="0" w:type="dxa"/>
          <w:left w:w="0" w:type="dxa"/>
          <w:bottom w:w="0" w:type="dxa"/>
          <w:right w:w="0" w:type="dxa"/>
        </w:tblCellMar>
      </w:tblPr>
      <w:tblGrid>
        <w:gridCol w:w="2465"/>
        <w:gridCol w:w="60"/>
        <w:gridCol w:w="140"/>
        <w:gridCol w:w="780"/>
        <w:gridCol w:w="60"/>
        <w:gridCol w:w="60"/>
        <w:gridCol w:w="125"/>
        <w:gridCol w:w="695"/>
        <w:gridCol w:w="75"/>
      </w:tblGrid>
      <w:tr>
        <w:trPr/>
        <w:tc>
          <w:tcPr>
            <w:tcW w:w="24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Available for Sale</w:t>
            </w:r>
          </w:p>
        </w:tc>
        <w:tc>
          <w:tcPr>
            <w:tcW w:w="75" w:type="dxa"/>
            <w:tcBorders/>
            <w:vAlign w:val="bottom"/>
          </w:tcPr>
          <w:p>
            <w:pPr>
              <w:pStyle w:val="TableContents"/>
              <w:bidi w:val="0"/>
              <w:spacing w:before="0" w:after="283"/>
              <w:jc w:val="left"/>
              <w:rPr/>
            </w:pPr>
            <w:r>
              <w:rPr/>
              <w:t> </w:t>
            </w:r>
          </w:p>
        </w:tc>
      </w:tr>
      <w:tr>
        <w:trPr/>
        <w:tc>
          <w:tcPr>
            <w:tcW w:w="2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Amortized</w:t>
            </w:r>
          </w:p>
          <w:p>
            <w:pPr>
              <w:pStyle w:val="TableContents"/>
              <w:bidi w:val="0"/>
              <w:spacing w:before="0" w:after="0"/>
              <w:jc w:val="center"/>
              <w:rPr>
                <w:rFonts w:ascii="Times New Roman" w:hAnsi="Times New Roman"/>
                <w:b/>
                <w:sz w:val="20"/>
              </w:rPr>
            </w:pPr>
            <w:r>
              <w:rPr>
                <w:rFonts w:ascii="Times New Roman" w:hAnsi="Times New Roman"/>
                <w:b/>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75" w:type="dxa"/>
            <w:tcBorders/>
            <w:vAlign w:val="bottom"/>
          </w:tcPr>
          <w:p>
            <w:pPr>
              <w:pStyle w:val="TableContents"/>
              <w:bidi w:val="0"/>
              <w:spacing w:before="0" w:after="283"/>
              <w:jc w:val="left"/>
              <w:rPr/>
            </w:pPr>
            <w:r>
              <w:rPr/>
              <w:t> </w:t>
            </w:r>
          </w:p>
        </w:tc>
      </w:tr>
      <w:tr>
        <w:trPr/>
        <w:tc>
          <w:tcPr>
            <w:tcW w:w="24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Within 1 year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2,629</w:t>
            </w:r>
          </w:p>
        </w:tc>
        <w:tc>
          <w:tcPr>
            <w:tcW w:w="75" w:type="dxa"/>
            <w:tcBorders/>
            <w:shd w:fill="CCEEFF" w:val="clear"/>
            <w:vAlign w:val="bottom"/>
          </w:tcPr>
          <w:p>
            <w:pPr>
              <w:pStyle w:val="TableContents"/>
              <w:bidi w:val="0"/>
              <w:spacing w:before="0" w:after="283"/>
              <w:jc w:val="left"/>
              <w:rPr/>
            </w:pPr>
            <w:r>
              <w:rPr/>
              <w:t> </w:t>
            </w:r>
          </w:p>
        </w:tc>
      </w:tr>
      <w:tr>
        <w:trPr/>
        <w:tc>
          <w:tcPr>
            <w:tcW w:w="246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After 1 year through 5 years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5,119</w:t>
            </w:r>
          </w:p>
        </w:tc>
        <w:tc>
          <w:tcPr>
            <w:tcW w:w="75" w:type="dxa"/>
            <w:tcBorders/>
            <w:vAlign w:val="bottom"/>
          </w:tcPr>
          <w:p>
            <w:pPr>
              <w:pStyle w:val="TableContents"/>
              <w:bidi w:val="0"/>
              <w:spacing w:before="0" w:after="283"/>
              <w:jc w:val="left"/>
              <w:rPr/>
            </w:pPr>
            <w:r>
              <w:rPr/>
              <w:t> </w:t>
            </w:r>
          </w:p>
        </w:tc>
      </w:tr>
      <w:tr>
        <w:trPr/>
        <w:tc>
          <w:tcPr>
            <w:tcW w:w="24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After 5 years through 10 years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16,179</w:t>
            </w:r>
          </w:p>
        </w:tc>
        <w:tc>
          <w:tcPr>
            <w:tcW w:w="75" w:type="dxa"/>
            <w:tcBorders/>
            <w:shd w:fill="CCEEFF" w:val="clear"/>
            <w:vAlign w:val="bottom"/>
          </w:tcPr>
          <w:p>
            <w:pPr>
              <w:pStyle w:val="TableContents"/>
              <w:bidi w:val="0"/>
              <w:spacing w:before="0" w:after="283"/>
              <w:jc w:val="left"/>
              <w:rPr/>
            </w:pPr>
            <w:r>
              <w:rPr/>
              <w:t> </w:t>
            </w:r>
          </w:p>
        </w:tc>
      </w:tr>
      <w:tr>
        <w:trPr/>
        <w:tc>
          <w:tcPr>
            <w:tcW w:w="246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After 10 years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193,415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167,381</w:t>
            </w:r>
          </w:p>
        </w:tc>
        <w:tc>
          <w:tcPr>
            <w:tcW w:w="75" w:type="dxa"/>
            <w:tcBorders/>
            <w:vAlign w:val="bottom"/>
          </w:tcPr>
          <w:p>
            <w:pPr>
              <w:pStyle w:val="TableContents"/>
              <w:bidi w:val="0"/>
              <w:spacing w:before="0" w:after="283"/>
              <w:jc w:val="left"/>
              <w:rPr/>
            </w:pPr>
            <w:r>
              <w:rPr/>
              <w:t> </w:t>
            </w:r>
          </w:p>
        </w:tc>
      </w:tr>
      <w:tr>
        <w:trPr/>
        <w:tc>
          <w:tcPr>
            <w:tcW w:w="24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507,092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436,785</w:t>
            </w:r>
          </w:p>
        </w:tc>
        <w:tc>
          <w:tcPr>
            <w:tcW w:w="75" w:type="dxa"/>
            <w:tcBorders/>
            <w:shd w:fill="CCEEFF" w:val="clear"/>
            <w:vAlign w:val="bottom"/>
          </w:tcPr>
          <w:p>
            <w:pPr>
              <w:pStyle w:val="TableContents"/>
              <w:bidi w:val="0"/>
              <w:spacing w:before="0" w:after="283"/>
              <w:jc w:val="left"/>
              <w:rPr/>
            </w:pPr>
            <w:r>
              <w:rPr/>
              <w:t> </w:t>
            </w:r>
          </w:p>
        </w:tc>
      </w:tr>
      <w:tr>
        <w:trPr/>
        <w:tc>
          <w:tcPr>
            <w:tcW w:w="24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725,927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628,093</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 both June 30, 2023 and December 31, 2022, the Company had no holdings of securities of any one issuer, other than the U.S. government, its agencies, or its sponsored enterprises, in an amount greater than 10% of stockholders’ equity.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Securities with a carrying value of approximately $424.1 million and $464.1 million at June 30, 2023 and December 31, 2022, respectively, were pledged to collateralize public deposits and for other purposes as required or permitted by law.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segregates securities with unrealized losses at the periods indicated, by the duration they have been in a loss position for which an allowance for credit losses has not been recorded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45"/>
        <w:gridCol w:w="60"/>
        <w:gridCol w:w="125"/>
        <w:gridCol w:w="800"/>
        <w:gridCol w:w="60"/>
        <w:gridCol w:w="60"/>
        <w:gridCol w:w="147"/>
        <w:gridCol w:w="803"/>
        <w:gridCol w:w="60"/>
        <w:gridCol w:w="60"/>
        <w:gridCol w:w="125"/>
        <w:gridCol w:w="800"/>
        <w:gridCol w:w="60"/>
        <w:gridCol w:w="60"/>
        <w:gridCol w:w="147"/>
        <w:gridCol w:w="803"/>
        <w:gridCol w:w="60"/>
        <w:gridCol w:w="60"/>
        <w:gridCol w:w="125"/>
        <w:gridCol w:w="800"/>
        <w:gridCol w:w="60"/>
        <w:gridCol w:w="60"/>
        <w:gridCol w:w="144"/>
        <w:gridCol w:w="806"/>
        <w:gridCol w:w="75"/>
      </w:tblGrid>
      <w:tr>
        <w:trPr/>
        <w:tc>
          <w:tcPr>
            <w:tcW w:w="38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99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Less than 12 Months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12 Months or More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7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Unrealized</w:t>
            </w:r>
          </w:p>
          <w:p>
            <w:pPr>
              <w:pStyle w:val="TableContents"/>
              <w:bidi w:val="0"/>
              <w:spacing w:before="0" w:after="0"/>
              <w:jc w:val="center"/>
              <w:rPr>
                <w:rFonts w:ascii="Times New Roman" w:hAnsi="Times New Roman"/>
                <w:b/>
                <w:sz w:val="20"/>
              </w:rPr>
            </w:pPr>
            <w:r>
              <w:rPr>
                <w:rFonts w:ascii="Times New Roman" w:hAnsi="Times New Roman"/>
                <w:b/>
                <w:sz w:val="20"/>
              </w:rPr>
              <w:t>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Unrealized</w:t>
            </w:r>
          </w:p>
          <w:p>
            <w:pPr>
              <w:pStyle w:val="TableContents"/>
              <w:bidi w:val="0"/>
              <w:spacing w:before="0" w:after="0"/>
              <w:jc w:val="center"/>
              <w:rPr>
                <w:rFonts w:ascii="Times New Roman" w:hAnsi="Times New Roman"/>
                <w:b/>
                <w:sz w:val="20"/>
              </w:rPr>
            </w:pPr>
            <w:r>
              <w:rPr>
                <w:rFonts w:ascii="Times New Roman" w:hAnsi="Times New Roman"/>
                <w:b/>
                <w:sz w:val="20"/>
              </w:rPr>
              <w:t>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Unrealized</w:t>
            </w:r>
          </w:p>
          <w:p>
            <w:pPr>
              <w:pStyle w:val="TableContents"/>
              <w:bidi w:val="0"/>
              <w:spacing w:before="0" w:after="0"/>
              <w:jc w:val="center"/>
              <w:rPr>
                <w:rFonts w:ascii="Times New Roman" w:hAnsi="Times New Roman"/>
                <w:b/>
                <w:sz w:val="20"/>
              </w:rPr>
            </w:pPr>
            <w:r>
              <w:rPr>
                <w:rFonts w:ascii="Times New Roman" w:hAnsi="Times New Roman"/>
                <w:b/>
                <w:sz w:val="20"/>
              </w:rPr>
              <w:t>Loss</w:t>
            </w:r>
          </w:p>
        </w:tc>
        <w:tc>
          <w:tcPr>
            <w:tcW w:w="7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June 30, 2023</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State and municipal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171,217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26,350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177,120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26,442</w:t>
            </w:r>
          </w:p>
        </w:tc>
        <w:tc>
          <w:tcPr>
            <w:tcW w:w="7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Residential mortgage-backed securities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310,178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56,020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310,178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56,020</w:t>
            </w:r>
          </w:p>
        </w:tc>
        <w:tc>
          <w:tcPr>
            <w:tcW w:w="7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mortgage-backed securities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41,218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7,315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41,218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7,315</w:t>
            </w:r>
          </w:p>
        </w:tc>
        <w:tc>
          <w:tcPr>
            <w:tcW w:w="7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collateralized mortgage obligations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67,595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67,595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5,228</w:t>
            </w:r>
          </w:p>
        </w:tc>
        <w:tc>
          <w:tcPr>
            <w:tcW w:w="7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Asset-backed and other amortizing securities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17,785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17,785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1,744</w:t>
            </w:r>
          </w:p>
        </w:tc>
        <w:tc>
          <w:tcPr>
            <w:tcW w:w="7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securities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80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10,913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bottom w:val="single" w:sz="12" w:space="0" w:color="000000"/>
            </w:tcBorders>
            <w:tcMar>
              <w:bottom w:w="28" w:type="dxa"/>
            </w:tcMar>
            <w:vAlign w:val="bottom"/>
          </w:tcPr>
          <w:p>
            <w:pPr>
              <w:pStyle w:val="TableContents"/>
              <w:bidi w:val="0"/>
              <w:spacing w:before="0" w:after="283"/>
              <w:jc w:val="left"/>
              <w:rPr/>
            </w:pPr>
            <w:r>
              <w:rPr/>
              <w:t> </w:t>
            </w:r>
          </w:p>
        </w:tc>
        <w:tc>
          <w:tcPr>
            <w:tcW w:w="80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1,087</w:t>
            </w:r>
          </w:p>
        </w:tc>
        <w:tc>
          <w:tcPr>
            <w:tcW w:w="7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76,903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5,415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547,906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92,421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624,809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97,836</w:t>
            </w:r>
          </w:p>
        </w:tc>
        <w:tc>
          <w:tcPr>
            <w:tcW w:w="7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State and municipal</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162,746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23,538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57,675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10,863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220,421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34,401</w:t>
            </w:r>
          </w:p>
        </w:tc>
        <w:tc>
          <w:tcPr>
            <w:tcW w:w="7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180"/>
              <w:jc w:val="left"/>
              <w:rPr/>
            </w:pPr>
            <w:r>
              <w:rPr/>
              <w:t xml:space="preserve">Residential mortgage-backed securities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220,752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27,967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108,080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29,971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328,832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57,938</w:t>
            </w:r>
          </w:p>
        </w:tc>
        <w:tc>
          <w:tcPr>
            <w:tcW w:w="7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180"/>
              <w:jc w:val="left"/>
              <w:rPr/>
            </w:pPr>
            <w:r>
              <w:rPr/>
              <w:t xml:space="preserve">Commercial mortgage-backed securities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41,966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7,194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41,966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7,194</w:t>
            </w:r>
          </w:p>
        </w:tc>
        <w:tc>
          <w:tcPr>
            <w:tcW w:w="7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collateralized mortgage obligations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75,638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75,638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551</w:t>
            </w:r>
          </w:p>
        </w:tc>
        <w:tc>
          <w:tcPr>
            <w:tcW w:w="7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Asset-backed and other amortizing securities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19,094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19,094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1,813</w:t>
            </w:r>
          </w:p>
        </w:tc>
        <w:tc>
          <w:tcPr>
            <w:tcW w:w="7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securities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3"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888</w:t>
            </w:r>
          </w:p>
        </w:tc>
        <w:tc>
          <w:tcPr>
            <w:tcW w:w="7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531,308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61,951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165,755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3"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40,834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697,063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102,785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The Company had 147 securities with an unrealized loss at June 30, 2023, generally due to increases in market rates. Management evaluates AFS securities in unrealized loss positions to determine whether the impairment is due to credit-related factors or non-credit related factors. Consideration is given to the extent to which the fair value is less than cost, the financial condition and near-term prospects of the issuer, and the intent and ability of the Company to retain its investment in the security for a period of time sufficient to allow for the anticipated recovery in fair value. Management does not have the intent to sell any of the securities in an unrealized loss position as there are adequate liquidity sources to meet expected and unexpected funding needs. The fair value of these securities is expected to recover as the securities approach their maturity date or repricing date or if market yields for such investments decline. Accordingly, as of June 30, 2023, management believes the unrealized loss positions detailed in the previous table are due to non-credit related factors, including changes in interest rates and other market conditions, and therefore no ACL or losses have been recognized or realized in the consolidated financial statements</w:t>
      </w:r>
      <w:r>
        <w:rPr>
          <w:rFonts w:ascii="Times New Roman" w:hAnsi="Times New Roman"/>
          <w:b w:val="false"/>
          <w:i w:val="false"/>
          <w:caps w:val="false"/>
          <w:smallCaps w:val="false"/>
          <w:color w:val="000000"/>
          <w:spacing w:val="0"/>
          <w:sz w:val="20"/>
          <w:shd w:fill="FFFFFF" w:val="clear"/>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3.  LOANS HELD FOR INVESTMENT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Loans held for investment are summarized by category as of the periods presented below (dollars in thousands):</w:t>
      </w:r>
    </w:p>
    <w:p>
      <w:pPr>
        <w:pStyle w:val="TextBody"/>
        <w:bidi w:val="0"/>
        <w:spacing w:before="0" w:after="0"/>
        <w:jc w:val="left"/>
        <w:rPr/>
      </w:pPr>
      <w:r>
        <w:rPr/>
      </w:r>
    </w:p>
    <w:tbl>
      <w:tblPr>
        <w:tblW w:w="5384" w:type="dxa"/>
        <w:jc w:val="left"/>
        <w:tblInd w:w="0" w:type="dxa"/>
        <w:tblLayout w:type="fixed"/>
        <w:tblCellMar>
          <w:top w:w="0" w:type="dxa"/>
          <w:left w:w="0" w:type="dxa"/>
          <w:bottom w:w="0" w:type="dxa"/>
          <w:right w:w="0" w:type="dxa"/>
        </w:tblCellMar>
      </w:tblPr>
      <w:tblGrid>
        <w:gridCol w:w="2945"/>
        <w:gridCol w:w="60"/>
        <w:gridCol w:w="125"/>
        <w:gridCol w:w="845"/>
        <w:gridCol w:w="80"/>
        <w:gridCol w:w="60"/>
        <w:gridCol w:w="151"/>
        <w:gridCol w:w="1023"/>
        <w:gridCol w:w="95"/>
      </w:tblGrid>
      <w:tr>
        <w:trPr/>
        <w:tc>
          <w:tcPr>
            <w:tcW w:w="29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1,006,909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919,358</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355,252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327,513</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551,096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484,783</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522,472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460,124</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318,126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321,476</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0"/>
              <w:jc w:val="left"/>
              <w:rPr/>
            </w:pPr>
            <w:r>
              <w:rPr/>
              <w:t xml:space="preserve">   </w:t>
            </w: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79,795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81,308</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145,413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153,519</w:t>
            </w:r>
          </w:p>
        </w:tc>
        <w:tc>
          <w:tcPr>
            <w:tcW w:w="95" w:type="dxa"/>
            <w:tcBorders/>
            <w:vAlign w:val="bottom"/>
          </w:tcPr>
          <w:p>
            <w:pPr>
              <w:pStyle w:val="TableContents"/>
              <w:bidi w:val="0"/>
              <w:spacing w:before="0" w:after="283"/>
              <w:jc w:val="left"/>
              <w:rPr/>
            </w:pPr>
            <w:r>
              <w:rPr/>
              <w:t> </w:t>
            </w:r>
          </w:p>
        </w:tc>
      </w:tr>
      <w:tr>
        <w:trPr/>
        <w:tc>
          <w:tcPr>
            <w:tcW w:w="29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2,979,063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2,748,081</w:t>
            </w:r>
          </w:p>
        </w:tc>
        <w:tc>
          <w:tcPr>
            <w:tcW w:w="95" w:type="dxa"/>
            <w:tcBorders/>
            <w:shd w:fill="CCEEFF" w:val="clear"/>
            <w:vAlign w:val="bottom"/>
          </w:tcPr>
          <w:p>
            <w:pPr>
              <w:pStyle w:val="TableContents"/>
              <w:bidi w:val="0"/>
              <w:spacing w:before="0" w:after="283"/>
              <w:jc w:val="left"/>
              <w:rPr/>
            </w:pPr>
            <w:r>
              <w:rPr/>
              <w:t> </w:t>
            </w:r>
          </w:p>
        </w:tc>
      </w:tr>
      <w:tr>
        <w:trPr/>
        <w:tc>
          <w:tcPr>
            <w:tcW w:w="294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Allowance for credit losses on loans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(43,137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(39,288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4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Loans, net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2,935,926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2,708,793</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u w:val="single"/>
        </w:rPr>
        <w:t>Commercial Real Estate</w:t>
      </w:r>
      <w:r>
        <w:rPr>
          <w:rFonts w:ascii="Times New Roman" w:hAnsi="Times New Roman"/>
          <w:color w:val="000000"/>
          <w:sz w:val="20"/>
        </w:rPr>
        <w:t xml:space="preserve"> – </w:t>
      </w:r>
      <w:r>
        <w:rPr>
          <w:rFonts w:ascii="Times New Roman" w:hAnsi="Times New Roman"/>
          <w:b w:val="false"/>
          <w:i w:val="false"/>
          <w:caps w:val="false"/>
          <w:smallCaps w:val="false"/>
          <w:color w:val="000000"/>
          <w:sz w:val="20"/>
          <w:shd w:fill="FFFFFF" w:val="clear"/>
        </w:rPr>
        <w:t>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real estate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pStyle w:val="TextBody"/>
        <w:bidi w:val="0"/>
        <w:spacing w:before="0" w:after="0"/>
        <w:jc w:val="both"/>
        <w:rPr>
          <w:rFonts w:ascii="Times New Roman" w:hAnsi="Times New Roman"/>
          <w:i/>
          <w:sz w:val="20"/>
          <w:u w:val="single"/>
        </w:rPr>
      </w:pPr>
      <w:r>
        <w:rPr>
          <w:rFonts w:ascii="Times New Roman" w:hAnsi="Times New Roman"/>
          <w:i/>
          <w:sz w:val="20"/>
          <w:u w:val="single"/>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u w:val="single"/>
        </w:rPr>
        <w:t>Commercial – General and Specialized</w:t>
      </w:r>
      <w:r>
        <w:rPr>
          <w:rFonts w:ascii="Times New Roman" w:hAnsi="Times New Roman"/>
          <w:color w:val="000000"/>
          <w:sz w:val="20"/>
        </w:rPr>
        <w:t xml:space="preserve"> – Commercial loans are also subject to underwriting standards and processes similar to commercial real estate loans. These loans are underwritten after evaluating and understanding the borrower’s ability to operate profitably. These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 </w:t>
      </w:r>
      <w:r>
        <w:rPr>
          <w:rFonts w:ascii="Times New Roman" w:hAnsi="Times New Roman"/>
          <w:b w:val="false"/>
          <w:i w:val="false"/>
          <w:caps w:val="false"/>
          <w:smallCaps w:val="false"/>
          <w:color w:val="000000"/>
          <w:sz w:val="20"/>
          <w:shd w:fill="FFFFFF" w:val="clear"/>
        </w:rPr>
        <w:t>Performance of these loans is subject to operating and cash flow results of the borrower, with risk in the volatility of operating results for particular industries.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i/>
          <w:color w:val="000000"/>
          <w:sz w:val="20"/>
          <w:u w:val="single"/>
        </w:rPr>
        <w:t>Consumer</w:t>
      </w:r>
      <w:r>
        <w:rPr>
          <w:rFonts w:ascii="Times New Roman" w:hAnsi="Times New Roman"/>
          <w:color w:val="000000"/>
          <w:sz w:val="20"/>
        </w:rPr>
        <w:t xml:space="preserve"> – </w:t>
      </w:r>
      <w:r>
        <w:rPr>
          <w:rFonts w:ascii="Times New Roman" w:hAnsi="Times New Roman"/>
          <w:b w:val="false"/>
          <w:i w:val="false"/>
          <w:caps w:val="false"/>
          <w:smallCaps w:val="false"/>
          <w:color w:val="000000"/>
          <w:sz w:val="20"/>
          <w:shd w:fill="FFFFFF" w:val="clear"/>
        </w:rPr>
        <w:t>Loans to consumers include 1-4 family residential loans, auto loans, and other loans for recreational vehicles or other 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caps w:val="false"/>
          <w:smallCaps w:val="false"/>
          <w:color w:val="000000"/>
          <w:sz w:val="20"/>
          <w:u w:val="single"/>
          <w:shd w:fill="FFFFFF" w:val="clear"/>
        </w:rPr>
        <w:t>Construction</w:t>
      </w:r>
      <w:r>
        <w:rPr>
          <w:rFonts w:ascii="Times New Roman" w:hAnsi="Times New Roman"/>
          <w:b w:val="false"/>
          <w:i w:val="false"/>
          <w:caps w:val="false"/>
          <w:smallCaps w:val="false"/>
          <w:color w:val="000000"/>
          <w:sz w:val="20"/>
          <w:shd w:fill="FFFFFF" w:val="clear"/>
        </w:rPr>
        <w:t xml:space="preserve"> – Loans for residential construction are for single-family properties to developers, builders, or 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ACL for loans was $43.1 million at June 30, 2023, compared to $39.3 million at December 31, 2022. The ACL for loans to loans held for investment was 1.45% at June 30, 2023 and 1.43% at December 31,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details the activity in the ACL for loans  for the periods indicated (dollars in thousands). Allocation of a portion of the allowance to one category of loans does not preclude its availability to absorb losses in other categories.</w:t>
      </w:r>
    </w:p>
    <w:p>
      <w:pPr>
        <w:pStyle w:val="TextBody"/>
        <w:bidi w:val="0"/>
        <w:spacing w:before="0" w:after="0"/>
        <w:jc w:val="left"/>
        <w:rPr/>
      </w:pPr>
      <w:r>
        <w:rPr/>
      </w:r>
    </w:p>
    <w:tbl>
      <w:tblPr>
        <w:tblW w:w="8789" w:type="dxa"/>
        <w:jc w:val="left"/>
        <w:tblInd w:w="0" w:type="dxa"/>
        <w:tblLayout w:type="fixed"/>
        <w:tblCellMar>
          <w:top w:w="0" w:type="dxa"/>
          <w:left w:w="0" w:type="dxa"/>
          <w:bottom w:w="0" w:type="dxa"/>
          <w:right w:w="0" w:type="dxa"/>
        </w:tblCellMar>
      </w:tblPr>
      <w:tblGrid>
        <w:gridCol w:w="3425"/>
        <w:gridCol w:w="60"/>
        <w:gridCol w:w="155"/>
        <w:gridCol w:w="735"/>
        <w:gridCol w:w="60"/>
        <w:gridCol w:w="60"/>
        <w:gridCol w:w="212"/>
        <w:gridCol w:w="932"/>
        <w:gridCol w:w="80"/>
        <w:gridCol w:w="60"/>
        <w:gridCol w:w="242"/>
        <w:gridCol w:w="768"/>
        <w:gridCol w:w="80"/>
        <w:gridCol w:w="60"/>
        <w:gridCol w:w="258"/>
        <w:gridCol w:w="692"/>
        <w:gridCol w:w="60"/>
        <w:gridCol w:w="60"/>
        <w:gridCol w:w="125"/>
        <w:gridCol w:w="590"/>
        <w:gridCol w:w="75"/>
      </w:tblGrid>
      <w:tr>
        <w:trPr/>
        <w:tc>
          <w:tcPr>
            <w:tcW w:w="34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Beginning</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Provision for</w:t>
            </w:r>
          </w:p>
          <w:p>
            <w:pPr>
              <w:pStyle w:val="TableContents"/>
              <w:bidi w:val="0"/>
              <w:spacing w:before="0" w:after="0"/>
              <w:jc w:val="center"/>
              <w:rPr>
                <w:rFonts w:ascii="Times New Roman" w:hAnsi="Times New Roman"/>
                <w:b/>
                <w:sz w:val="20"/>
              </w:rPr>
            </w:pPr>
            <w:r>
              <w:rPr>
                <w:rFonts w:ascii="Times New Roman" w:hAnsi="Times New Roman"/>
                <w:b/>
                <w:sz w:val="20"/>
              </w:rPr>
              <w:t xml:space="preserve">Credit </w:t>
            </w:r>
          </w:p>
          <w:p>
            <w:pPr>
              <w:pStyle w:val="TableContents"/>
              <w:bidi w:val="0"/>
              <w:spacing w:before="0" w:after="0"/>
              <w:jc w:val="center"/>
              <w:rPr>
                <w:rFonts w:ascii="Times New Roman" w:hAnsi="Times New Roman"/>
                <w:b/>
                <w:sz w:val="20"/>
              </w:rPr>
            </w:pPr>
            <w:r>
              <w:rPr>
                <w:rFonts w:ascii="Times New Roman" w:hAnsi="Times New Roman"/>
                <w:b/>
                <w:sz w:val="20"/>
              </w:rPr>
              <w:t>Losses</w:t>
            </w:r>
            <w:r>
              <w:rPr>
                <w:rFonts w:ascii="Times New Roman" w:hAnsi="Times New Roman"/>
                <w:b/>
                <w:i w:val="false"/>
                <w:caps w:val="false"/>
                <w:smallCaps w:val="false"/>
                <w:position w:val="7"/>
                <w:sz w:val="16"/>
                <w:sz w:val="20"/>
              </w:rPr>
              <w:t>(1)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Charge-offs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Recoveries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Ending</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75" w:type="dxa"/>
            <w:tcBorders/>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For the three months ended June 30, 2023</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13,381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8"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14,501</w:t>
            </w:r>
          </w:p>
        </w:tc>
        <w:tc>
          <w:tcPr>
            <w:tcW w:w="7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4,154</w:t>
            </w:r>
          </w:p>
        </w:tc>
        <w:tc>
          <w:tcPr>
            <w:tcW w:w="7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6,267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7,637</w:t>
            </w:r>
          </w:p>
        </w:tc>
        <w:tc>
          <w:tcPr>
            <w:tcW w:w="7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8,851</w:t>
            </w:r>
          </w:p>
        </w:tc>
        <w:tc>
          <w:tcPr>
            <w:tcW w:w="7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3,900</w:t>
            </w:r>
          </w:p>
        </w:tc>
        <w:tc>
          <w:tcPr>
            <w:tcW w:w="7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1,107</w:t>
            </w:r>
          </w:p>
        </w:tc>
        <w:tc>
          <w:tcPr>
            <w:tcW w:w="7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bottom w:val="single" w:sz="12" w:space="0" w:color="000000"/>
            </w:tcBorders>
            <w:tcMar>
              <w:bottom w:w="28" w:type="dxa"/>
            </w:tcMar>
            <w:vAlign w:val="bottom"/>
          </w:tcPr>
          <w:p>
            <w:pPr>
              <w:pStyle w:val="TableContents"/>
              <w:bidi w:val="0"/>
              <w:spacing w:before="0" w:after="283"/>
              <w:jc w:val="left"/>
              <w:rPr/>
            </w:pPr>
            <w:r>
              <w:rPr/>
              <w:t> </w:t>
            </w:r>
          </w:p>
        </w:tc>
        <w:tc>
          <w:tcPr>
            <w:tcW w:w="93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42" w:type="dxa"/>
            <w:tcBorders>
              <w:bottom w:val="single" w:sz="12" w:space="0" w:color="000000"/>
            </w:tcBorders>
            <w:tcMar>
              <w:bottom w:w="28" w:type="dxa"/>
            </w:tcMar>
            <w:vAlign w:val="bottom"/>
          </w:tcPr>
          <w:p>
            <w:pPr>
              <w:pStyle w:val="TableContents"/>
              <w:bidi w:val="0"/>
              <w:spacing w:before="0" w:after="283"/>
              <w:jc w:val="left"/>
              <w:rPr/>
            </w:pPr>
            <w:r>
              <w:rPr/>
              <w:t> </w:t>
            </w:r>
          </w:p>
        </w:tc>
        <w:tc>
          <w:tcPr>
            <w:tcW w:w="768"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2"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2,987</w:t>
            </w:r>
          </w:p>
        </w:tc>
        <w:tc>
          <w:tcPr>
            <w:tcW w:w="7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bidi w:val="0"/>
              <w:spacing w:before="0" w:after="283"/>
              <w:jc w:val="righ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39,560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5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43,137</w:t>
            </w:r>
          </w:p>
        </w:tc>
        <w:tc>
          <w:tcPr>
            <w:tcW w:w="7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For the three months ended June 30, 2022</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14,621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(1,111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8"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13,903</w:t>
            </w:r>
          </w:p>
        </w:tc>
        <w:tc>
          <w:tcPr>
            <w:tcW w:w="7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3,355</w:t>
            </w:r>
          </w:p>
        </w:tc>
        <w:tc>
          <w:tcPr>
            <w:tcW w:w="7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9,918</w:t>
            </w:r>
          </w:p>
        </w:tc>
        <w:tc>
          <w:tcPr>
            <w:tcW w:w="7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5,329</w:t>
            </w:r>
          </w:p>
        </w:tc>
        <w:tc>
          <w:tcPr>
            <w:tcW w:w="7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2"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3,958</w:t>
            </w:r>
          </w:p>
        </w:tc>
        <w:tc>
          <w:tcPr>
            <w:tcW w:w="7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1,443</w:t>
            </w:r>
          </w:p>
        </w:tc>
        <w:tc>
          <w:tcPr>
            <w:tcW w:w="75"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5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1,879</w:t>
            </w:r>
          </w:p>
        </w:tc>
        <w:tc>
          <w:tcPr>
            <w:tcW w:w="75"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r>
          </w:p>
        </w:tc>
        <w:tc>
          <w:tcPr>
            <w:tcW w:w="60" w:type="dxa"/>
            <w:tcBorders/>
            <w:vAlign w:val="bottom"/>
          </w:tcPr>
          <w:p>
            <w:pPr>
              <w:pStyle w:val="TableContents"/>
              <w:bidi w:val="0"/>
              <w:spacing w:before="0" w:after="283"/>
              <w:jc w:val="right"/>
              <w:rPr/>
            </w:pPr>
            <w:r>
              <w:rPr/>
              <w:t> </w:t>
            </w:r>
          </w:p>
        </w:tc>
        <w:tc>
          <w:tcPr>
            <w:tcW w:w="15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39,649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2" w:type="dxa"/>
            <w:tcBorders>
              <w:bottom w:val="double" w:sz="8"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5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39,785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The $3.7 million provision for credit loss on the Consolidated Statement of Comprehensive Income (Loss) includes a $4.0 million provision for credit losses on loans and a $(260) thousand provision for off-balance sheet credit exposures for the three months ended June 30, 2023.</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tbl>
      <w:tblPr>
        <w:tblW w:w="9753" w:type="dxa"/>
        <w:jc w:val="left"/>
        <w:tblInd w:w="0" w:type="dxa"/>
        <w:tblLayout w:type="fixed"/>
        <w:tblCellMar>
          <w:top w:w="0" w:type="dxa"/>
          <w:left w:w="0" w:type="dxa"/>
          <w:bottom w:w="0" w:type="dxa"/>
          <w:right w:w="0" w:type="dxa"/>
        </w:tblCellMar>
      </w:tblPr>
      <w:tblGrid>
        <w:gridCol w:w="3260"/>
        <w:gridCol w:w="60"/>
        <w:gridCol w:w="155"/>
        <w:gridCol w:w="735"/>
        <w:gridCol w:w="60"/>
        <w:gridCol w:w="60"/>
        <w:gridCol w:w="179"/>
        <w:gridCol w:w="815"/>
        <w:gridCol w:w="95"/>
        <w:gridCol w:w="60"/>
        <w:gridCol w:w="234"/>
        <w:gridCol w:w="910"/>
        <w:gridCol w:w="60"/>
        <w:gridCol w:w="60"/>
        <w:gridCol w:w="188"/>
        <w:gridCol w:w="822"/>
        <w:gridCol w:w="80"/>
        <w:gridCol w:w="60"/>
        <w:gridCol w:w="258"/>
        <w:gridCol w:w="692"/>
        <w:gridCol w:w="60"/>
        <w:gridCol w:w="60"/>
        <w:gridCol w:w="125"/>
        <w:gridCol w:w="590"/>
        <w:gridCol w:w="75"/>
      </w:tblGrid>
      <w:tr>
        <w:trPr/>
        <w:tc>
          <w:tcPr>
            <w:tcW w:w="3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Beginning</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94" w:type="dxa"/>
            <w:gridSpan w:val="2"/>
            <w:tcBorders>
              <w:bottom w:val="single" w:sz="12" w:space="0" w:color="000000"/>
            </w:tcBorders>
            <w:tcMar>
              <w:bottom w:w="28" w:type="dxa"/>
            </w:tcMar>
            <w:vAlign w:val="bottom"/>
          </w:tcPr>
          <w:p>
            <w:pPr>
              <w:pStyle w:val="TableContents"/>
              <w:bidi w:val="0"/>
              <w:spacing w:before="0" w:after="0"/>
              <w:jc w:val="center"/>
              <w:rPr>
                <w:b/>
              </w:rPr>
            </w:pPr>
            <w:r>
              <w:rPr>
                <w:b/>
              </w:rPr>
              <w:t>Impact of</w:t>
            </w:r>
          </w:p>
          <w:p>
            <w:pPr>
              <w:pStyle w:val="TableContents"/>
              <w:bidi w:val="0"/>
              <w:spacing w:before="0" w:after="0"/>
              <w:jc w:val="center"/>
              <w:rPr>
                <w:b/>
              </w:rPr>
            </w:pPr>
            <w:r>
              <w:rPr>
                <w:b/>
              </w:rPr>
              <w:t xml:space="preserve">CECL </w:t>
            </w:r>
          </w:p>
          <w:p>
            <w:pPr>
              <w:pStyle w:val="TableContents"/>
              <w:bidi w:val="0"/>
              <w:spacing w:before="0" w:after="0"/>
              <w:jc w:val="center"/>
              <w:rPr>
                <w:b/>
              </w:rPr>
            </w:pPr>
            <w:r>
              <w:rPr>
                <w:b/>
              </w:rPr>
              <w:t>Adoption</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Provision for</w:t>
            </w:r>
          </w:p>
          <w:p>
            <w:pPr>
              <w:pStyle w:val="TableContents"/>
              <w:bidi w:val="0"/>
              <w:spacing w:before="0" w:after="0"/>
              <w:jc w:val="center"/>
              <w:rPr>
                <w:rFonts w:ascii="Times New Roman" w:hAnsi="Times New Roman"/>
                <w:b/>
                <w:sz w:val="20"/>
              </w:rPr>
            </w:pPr>
            <w:r>
              <w:rPr>
                <w:rFonts w:ascii="Times New Roman" w:hAnsi="Times New Roman"/>
                <w:b/>
                <w:sz w:val="20"/>
              </w:rPr>
              <w:t>Credit</w:t>
            </w:r>
          </w:p>
          <w:p>
            <w:pPr>
              <w:pStyle w:val="TableContents"/>
              <w:bidi w:val="0"/>
              <w:spacing w:before="0" w:after="0"/>
              <w:jc w:val="center"/>
              <w:rPr>
                <w:rFonts w:ascii="Times New Roman" w:hAnsi="Times New Roman"/>
                <w:b/>
                <w:sz w:val="20"/>
              </w:rPr>
            </w:pPr>
            <w:r>
              <w:rPr>
                <w:rFonts w:ascii="Times New Roman" w:hAnsi="Times New Roman"/>
                <w:b/>
                <w:sz w:val="20"/>
              </w:rPr>
              <w:t>Losses</w:t>
            </w:r>
            <w:r>
              <w:rPr>
                <w:rFonts w:ascii="Times New Roman" w:hAnsi="Times New Roman"/>
                <w:b/>
                <w:position w:val="7"/>
                <w:sz w:val="16"/>
                <w:sz w:val="20"/>
              </w:rP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Charge-offs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Recoveries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Ending</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75"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For the six months ended June 30, 2023</w:t>
            </w:r>
          </w:p>
        </w:tc>
        <w:tc>
          <w:tcPr>
            <w:tcW w:w="60" w:type="dxa"/>
            <w:tcBorders/>
            <w:vAlign w:val="bottom"/>
          </w:tcPr>
          <w:p>
            <w:pPr>
              <w:pStyle w:val="TableContents"/>
              <w:bidi w:val="0"/>
              <w:spacing w:before="0" w:after="283"/>
              <w:jc w:val="left"/>
              <w:rPr/>
            </w:pPr>
            <w:r>
              <w:rPr/>
              <w:t> </w:t>
            </w:r>
          </w:p>
        </w:tc>
        <w:tc>
          <w:tcPr>
            <w:tcW w:w="8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94" w:type="dxa"/>
            <w:gridSpan w:val="2"/>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26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827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2"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14,501</w:t>
            </w:r>
          </w:p>
        </w:tc>
        <w:tc>
          <w:tcPr>
            <w:tcW w:w="75" w:type="dxa"/>
            <w:tcBorders/>
            <w:shd w:fill="CCEEFF" w:val="clear"/>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33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4"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4,154</w:t>
            </w:r>
          </w:p>
        </w:tc>
        <w:tc>
          <w:tcPr>
            <w:tcW w:w="75" w:type="dxa"/>
            <w:tcBorders/>
            <w:vAlign w:val="bottom"/>
          </w:tcPr>
          <w:p>
            <w:pPr>
              <w:pStyle w:val="TableContents"/>
              <w:bidi w:val="0"/>
              <w:spacing w:before="0" w:after="283"/>
              <w:jc w:val="left"/>
              <w:rPr/>
            </w:pPr>
            <w:r>
              <w:rPr/>
              <w:t> </w:t>
            </w:r>
          </w:p>
        </w:tc>
      </w:tr>
      <w:tr>
        <w:trPr/>
        <w:tc>
          <w:tcPr>
            <w:tcW w:w="326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9,215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(2,574</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34"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7,637</w:t>
            </w:r>
          </w:p>
        </w:tc>
        <w:tc>
          <w:tcPr>
            <w:tcW w:w="75" w:type="dxa"/>
            <w:tcBorders/>
            <w:shd w:fill="CCEEFF" w:val="clear"/>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4"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26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1,700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4"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8,851</w:t>
            </w:r>
          </w:p>
        </w:tc>
        <w:tc>
          <w:tcPr>
            <w:tcW w:w="75" w:type="dxa"/>
            <w:tcBorders/>
            <w:shd w:fill="CCEEFF" w:val="clear"/>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(332</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34"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6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3,900</w:t>
            </w:r>
          </w:p>
        </w:tc>
        <w:tc>
          <w:tcPr>
            <w:tcW w:w="75" w:type="dxa"/>
            <w:tcBorders/>
            <w:vAlign w:val="bottom"/>
          </w:tcPr>
          <w:p>
            <w:pPr>
              <w:pStyle w:val="TableContents"/>
              <w:bidi w:val="0"/>
              <w:spacing w:before="0" w:after="283"/>
              <w:jc w:val="left"/>
              <w:rPr/>
            </w:pPr>
            <w:r>
              <w:rPr/>
              <w:t> </w:t>
            </w:r>
          </w:p>
        </w:tc>
      </w:tr>
      <w:tr>
        <w:trPr/>
        <w:tc>
          <w:tcPr>
            <w:tcW w:w="326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(235</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34"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6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1,107</w:t>
            </w:r>
          </w:p>
        </w:tc>
        <w:tc>
          <w:tcPr>
            <w:tcW w:w="75" w:type="dxa"/>
            <w:tcBorders/>
            <w:shd w:fill="CCEEFF" w:val="clear"/>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tcMar>
              <w:bottom w:w="28" w:type="dxa"/>
            </w:tcMar>
            <w:vAlign w:val="bottom"/>
          </w:tcPr>
          <w:p>
            <w:pPr>
              <w:pStyle w:val="TableContents"/>
              <w:bidi w:val="0"/>
              <w:spacing w:before="0" w:after="283"/>
              <w:jc w:val="right"/>
              <w:rPr/>
            </w:pPr>
            <w:r>
              <w:rPr/>
              <w:t>683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4" w:type="dxa"/>
            <w:tcBorders>
              <w:bottom w:val="single" w:sz="12" w:space="0" w:color="000000"/>
            </w:tcBorders>
            <w:tcMar>
              <w:bottom w:w="28" w:type="dxa"/>
            </w:tcMar>
            <w:vAlign w:val="bottom"/>
          </w:tcPr>
          <w:p>
            <w:pPr>
              <w:pStyle w:val="TableContents"/>
              <w:bidi w:val="0"/>
              <w:spacing w:before="0" w:after="283"/>
              <w:jc w:val="left"/>
              <w:rPr/>
            </w:pPr>
            <w:r>
              <w:rPr/>
              <w:t> </w:t>
            </w:r>
          </w:p>
        </w:tc>
        <w:tc>
          <w:tcPr>
            <w:tcW w:w="9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8" w:type="dxa"/>
            <w:tcBorders>
              <w:bottom w:val="single" w:sz="12" w:space="0" w:color="000000"/>
            </w:tcBorders>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58" w:type="dxa"/>
            <w:tcBorders>
              <w:bottom w:val="single" w:sz="12" w:space="0" w:color="000000"/>
            </w:tcBorders>
            <w:tcMar>
              <w:bottom w:w="28" w:type="dxa"/>
            </w:tcMar>
            <w:vAlign w:val="bottom"/>
          </w:tcPr>
          <w:p>
            <w:pPr>
              <w:pStyle w:val="TableContents"/>
              <w:bidi w:val="0"/>
              <w:spacing w:before="0" w:after="283"/>
              <w:jc w:val="left"/>
              <w:rPr/>
            </w:pPr>
            <w:r>
              <w:rPr/>
              <w:t> </w:t>
            </w:r>
          </w:p>
        </w:tc>
        <w:tc>
          <w:tcPr>
            <w:tcW w:w="692"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2,987</w:t>
            </w:r>
          </w:p>
        </w:tc>
        <w:tc>
          <w:tcPr>
            <w:tcW w:w="75" w:type="dxa"/>
            <w:tcBorders/>
            <w:vAlign w:val="bottom"/>
          </w:tcPr>
          <w:p>
            <w:pPr>
              <w:pStyle w:val="TableContents"/>
              <w:bidi w:val="0"/>
              <w:spacing w:before="0" w:after="283"/>
              <w:jc w:val="left"/>
              <w:rPr/>
            </w:pPr>
            <w:r>
              <w:rPr/>
              <w:t> </w:t>
            </w:r>
          </w:p>
        </w:tc>
      </w:tr>
      <w:tr>
        <w:trPr/>
        <w:tc>
          <w:tcPr>
            <w:tcW w:w="326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bidi w:val="0"/>
              <w:spacing w:before="0" w:after="283"/>
              <w:jc w:val="righ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39,288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9" w:type="dxa"/>
            <w:tcBorders>
              <w:bottom w:val="double" w:sz="8" w:space="0" w:color="000000"/>
            </w:tcBorders>
            <w:shd w:fill="CCEEFF" w:val="clear"/>
            <w:tcMar>
              <w:bottom w:w="60" w:type="dxa"/>
            </w:tcMar>
            <w:vAlign w:val="bottom"/>
          </w:tcPr>
          <w:p>
            <w:pPr>
              <w:pStyle w:val="TableContents"/>
              <w:bidi w:val="0"/>
              <w:spacing w:before="0" w:after="283"/>
              <w:jc w:val="left"/>
              <w:rPr/>
            </w:pPr>
            <w:r>
              <w:rPr/>
              <w:t>$</w:t>
            </w:r>
          </w:p>
        </w:tc>
        <w:tc>
          <w:tcPr>
            <w:tcW w:w="815" w:type="dxa"/>
            <w:tcBorders>
              <w:bottom w:val="double" w:sz="8" w:space="0" w:color="000000"/>
            </w:tcBorders>
            <w:shd w:fill="CCEEFF" w:val="clear"/>
            <w:tcMar>
              <w:bottom w:w="60" w:type="dxa"/>
            </w:tcMar>
            <w:vAlign w:val="bottom"/>
          </w:tcPr>
          <w:p>
            <w:pPr>
              <w:pStyle w:val="TableContents"/>
              <w:bidi w:val="0"/>
              <w:spacing w:before="0" w:after="283"/>
              <w:jc w:val="right"/>
              <w:rPr/>
            </w:pPr>
            <w:r>
              <w:rPr/>
              <w:t>102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1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(1,494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5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43,137</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val="false"/>
          <w:i w:val="false"/>
          <w:caps w:val="false"/>
          <w:smallCaps w:val="false"/>
          <w:color w:val="000000"/>
          <w:sz w:val="20"/>
        </w:rPr>
        <w:t>(1) The $4.7 million provision for credit loss on the Consolidated Statement of Comprehensive Income (Loss) includes a $4.8 million provision for credit losses on loans and a $(50) thousand provision for off-balance sheet credit exposures for the six months ended June 30, 2023.</w:t>
      </w:r>
      <w:r>
        <w:rPr>
          <w:rFonts w:ascii="Times New Roman" w:hAnsi="Times New Roman"/>
          <w:color w:val="000000"/>
          <w:sz w:val="20"/>
        </w:rPr>
        <w:t xml:space="preserve"> </w:t>
      </w:r>
    </w:p>
    <w:p>
      <w:pPr>
        <w:pStyle w:val="TextBody"/>
        <w:bidi w:val="0"/>
        <w:spacing w:before="0" w:after="0"/>
        <w:jc w:val="left"/>
        <w:rPr/>
      </w:pPr>
      <w:r>
        <w:rPr/>
      </w:r>
    </w:p>
    <w:tbl>
      <w:tblPr>
        <w:tblW w:w="9132" w:type="dxa"/>
        <w:jc w:val="left"/>
        <w:tblInd w:w="0" w:type="dxa"/>
        <w:tblLayout w:type="fixed"/>
        <w:tblCellMar>
          <w:top w:w="0" w:type="dxa"/>
          <w:left w:w="0" w:type="dxa"/>
          <w:bottom w:w="0" w:type="dxa"/>
          <w:right w:w="0" w:type="dxa"/>
        </w:tblCellMar>
      </w:tblPr>
      <w:tblGrid>
        <w:gridCol w:w="3260"/>
        <w:gridCol w:w="60"/>
        <w:gridCol w:w="155"/>
        <w:gridCol w:w="735"/>
        <w:gridCol w:w="60"/>
        <w:gridCol w:w="60"/>
        <w:gridCol w:w="215"/>
        <w:gridCol w:w="944"/>
        <w:gridCol w:w="80"/>
        <w:gridCol w:w="60"/>
        <w:gridCol w:w="238"/>
        <w:gridCol w:w="1041"/>
        <w:gridCol w:w="80"/>
        <w:gridCol w:w="60"/>
        <w:gridCol w:w="318"/>
        <w:gridCol w:w="856"/>
        <w:gridCol w:w="60"/>
        <w:gridCol w:w="60"/>
        <w:gridCol w:w="125"/>
        <w:gridCol w:w="590"/>
        <w:gridCol w:w="75"/>
      </w:tblGrid>
      <w:tr>
        <w:trPr/>
        <w:tc>
          <w:tcPr>
            <w:tcW w:w="3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Beginning</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Provision for</w:t>
            </w:r>
          </w:p>
          <w:p>
            <w:pPr>
              <w:pStyle w:val="TableContents"/>
              <w:bidi w:val="0"/>
              <w:spacing w:before="0" w:after="0"/>
              <w:jc w:val="center"/>
              <w:rPr>
                <w:rFonts w:ascii="Times New Roman" w:hAnsi="Times New Roman"/>
                <w:b/>
                <w:sz w:val="20"/>
              </w:rPr>
            </w:pPr>
            <w:r>
              <w:rPr>
                <w:rFonts w:ascii="Times New Roman" w:hAnsi="Times New Roman"/>
                <w:b/>
                <w:sz w:val="20"/>
              </w:rPr>
              <w:t>Credit 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79"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 xml:space="preserve">Charge-offs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 xml:space="preserve">Recoveries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Ending</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75"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For the six months ended June 30, 2022</w:t>
            </w:r>
          </w:p>
        </w:tc>
        <w:tc>
          <w:tcPr>
            <w:tcW w:w="60" w:type="dxa"/>
            <w:tcBorders/>
            <w:vAlign w:val="bottom"/>
          </w:tcPr>
          <w:p>
            <w:pPr>
              <w:pStyle w:val="TableContents"/>
              <w:bidi w:val="0"/>
              <w:spacing w:before="0" w:after="283"/>
              <w:jc w:val="right"/>
              <w:rPr/>
            </w:pPr>
            <w:r>
              <w:rPr/>
              <w:t> </w:t>
            </w:r>
          </w:p>
        </w:tc>
        <w:tc>
          <w:tcPr>
            <w:tcW w:w="89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9" w:type="dxa"/>
            <w:gridSpan w:val="2"/>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79" w:type="dxa"/>
            <w:gridSpan w:val="2"/>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74"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15" w:type="dxa"/>
            <w:gridSpan w:val="2"/>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26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17,245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(3,760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1"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13,903</w:t>
            </w:r>
          </w:p>
        </w:tc>
        <w:tc>
          <w:tcPr>
            <w:tcW w:w="75" w:type="dxa"/>
            <w:tcBorders/>
            <w:shd w:fill="CCEEFF" w:val="clear"/>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(1,013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318"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3,355</w:t>
            </w:r>
          </w:p>
        </w:tc>
        <w:tc>
          <w:tcPr>
            <w:tcW w:w="75" w:type="dxa"/>
            <w:tcBorders/>
            <w:vAlign w:val="bottom"/>
          </w:tcPr>
          <w:p>
            <w:pPr>
              <w:pStyle w:val="TableContents"/>
              <w:bidi w:val="0"/>
              <w:spacing w:before="0" w:after="283"/>
              <w:jc w:val="left"/>
              <w:rPr/>
            </w:pPr>
            <w:r>
              <w:rPr/>
              <w:t> </w:t>
            </w:r>
          </w:p>
        </w:tc>
      </w:tr>
      <w:tr>
        <w:trPr/>
        <w:tc>
          <w:tcPr>
            <w:tcW w:w="326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18"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9,918</w:t>
            </w:r>
          </w:p>
        </w:tc>
        <w:tc>
          <w:tcPr>
            <w:tcW w:w="75" w:type="dxa"/>
            <w:tcBorders/>
            <w:shd w:fill="CCEEFF" w:val="clear"/>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8"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26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18"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5,329</w:t>
            </w:r>
          </w:p>
        </w:tc>
        <w:tc>
          <w:tcPr>
            <w:tcW w:w="75" w:type="dxa"/>
            <w:tcBorders/>
            <w:shd w:fill="CCEEFF" w:val="clear"/>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318"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3,958</w:t>
            </w:r>
          </w:p>
        </w:tc>
        <w:tc>
          <w:tcPr>
            <w:tcW w:w="75" w:type="dxa"/>
            <w:tcBorders/>
            <w:vAlign w:val="bottom"/>
          </w:tcPr>
          <w:p>
            <w:pPr>
              <w:pStyle w:val="TableContents"/>
              <w:bidi w:val="0"/>
              <w:spacing w:before="0" w:after="283"/>
              <w:jc w:val="left"/>
              <w:rPr/>
            </w:pPr>
            <w:r>
              <w:rPr/>
              <w:t> </w:t>
            </w:r>
          </w:p>
        </w:tc>
      </w:tr>
      <w:tr>
        <w:trPr/>
        <w:tc>
          <w:tcPr>
            <w:tcW w:w="326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18"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1,443</w:t>
            </w:r>
          </w:p>
        </w:tc>
        <w:tc>
          <w:tcPr>
            <w:tcW w:w="75" w:type="dxa"/>
            <w:tcBorders/>
            <w:shd w:fill="CCEEFF" w:val="clear"/>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318" w:type="dxa"/>
            <w:tcBorders>
              <w:bottom w:val="single" w:sz="12" w:space="0" w:color="000000"/>
            </w:tcBorders>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1,879</w:t>
            </w:r>
          </w:p>
        </w:tc>
        <w:tc>
          <w:tcPr>
            <w:tcW w:w="75" w:type="dxa"/>
            <w:tcBorders/>
            <w:vAlign w:val="bottom"/>
          </w:tcPr>
          <w:p>
            <w:pPr>
              <w:pStyle w:val="TableContents"/>
              <w:bidi w:val="0"/>
              <w:spacing w:before="0" w:after="283"/>
              <w:jc w:val="left"/>
              <w:rPr/>
            </w:pPr>
            <w:r>
              <w:rPr/>
              <w:t> </w:t>
            </w:r>
          </w:p>
        </w:tc>
      </w:tr>
      <w:tr>
        <w:trPr/>
        <w:tc>
          <w:tcPr>
            <w:tcW w:w="3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42,098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4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(2,085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3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(1,210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1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39,785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three and six months ended June 30, 2023, the provision for credit losses on loans of $4.0 million and $4.8 million, respectively, reflected a build in the allowance driven primarily by organic loan growth experienced over the first six months of 2023. The changes in the ACL for these periods were also impacted by net charge-offs of $1.0 million during the first six months of 2023 and an increase of $1.3 million in the ACL for credit losses on loans individually analyzed.</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shows the Company’s amortized cost in loans and related ACL for collateral dependent loans by class using the fair value of collateral loss estimation methodology of evaluating expected credit losses at the date indicated (dollars in thousands).</w:t>
      </w:r>
    </w:p>
    <w:p>
      <w:pPr>
        <w:pStyle w:val="TextBody"/>
        <w:bidi w:val="0"/>
        <w:spacing w:before="0" w:after="0"/>
        <w:jc w:val="left"/>
        <w:rPr/>
      </w:pPr>
      <w:r>
        <w:rPr/>
      </w:r>
    </w:p>
    <w:tbl>
      <w:tblPr>
        <w:tblW w:w="8475" w:type="dxa"/>
        <w:jc w:val="left"/>
        <w:tblInd w:w="0" w:type="dxa"/>
        <w:tblLayout w:type="fixed"/>
        <w:tblCellMar>
          <w:top w:w="0" w:type="dxa"/>
          <w:left w:w="0" w:type="dxa"/>
          <w:bottom w:w="0" w:type="dxa"/>
          <w:right w:w="0" w:type="dxa"/>
        </w:tblCellMar>
      </w:tblPr>
      <w:tblGrid>
        <w:gridCol w:w="2090"/>
        <w:gridCol w:w="60"/>
        <w:gridCol w:w="235"/>
        <w:gridCol w:w="940"/>
        <w:gridCol w:w="60"/>
        <w:gridCol w:w="60"/>
        <w:gridCol w:w="198"/>
        <w:gridCol w:w="962"/>
        <w:gridCol w:w="60"/>
        <w:gridCol w:w="60"/>
        <w:gridCol w:w="300"/>
        <w:gridCol w:w="815"/>
        <w:gridCol w:w="60"/>
        <w:gridCol w:w="60"/>
        <w:gridCol w:w="218"/>
        <w:gridCol w:w="1032"/>
        <w:gridCol w:w="60"/>
        <w:gridCol w:w="60"/>
        <w:gridCol w:w="219"/>
        <w:gridCol w:w="851"/>
        <w:gridCol w:w="75"/>
      </w:tblGrid>
      <w:tr>
        <w:trPr/>
        <w:tc>
          <w:tcPr>
            <w:tcW w:w="209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Real Estate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60"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Equipment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Accounts</w:t>
            </w:r>
          </w:p>
          <w:p>
            <w:pPr>
              <w:pStyle w:val="TableContents"/>
              <w:bidi w:val="0"/>
              <w:spacing w:before="0" w:after="0"/>
              <w:jc w:val="center"/>
              <w:rPr>
                <w:rFonts w:ascii="Times New Roman" w:hAnsi="Times New Roman"/>
                <w:b/>
              </w:rPr>
            </w:pPr>
            <w:r>
              <w:rPr>
                <w:rFonts w:ascii="Times New Roman" w:hAnsi="Times New Roman"/>
                <w:b/>
              </w:rPr>
              <w:t>Receivable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Total Loans</w:t>
            </w:r>
          </w:p>
          <w:p>
            <w:pPr>
              <w:pStyle w:val="TableContents"/>
              <w:bidi w:val="0"/>
              <w:spacing w:before="0" w:after="0"/>
              <w:jc w:val="center"/>
              <w:rPr>
                <w:b/>
              </w:rPr>
            </w:pPr>
            <w:r>
              <w:rPr>
                <w:b/>
              </w:rPr>
              <w:t>Individually</w:t>
            </w:r>
          </w:p>
          <w:p>
            <w:pPr>
              <w:pStyle w:val="TableContents"/>
              <w:bidi w:val="0"/>
              <w:spacing w:before="0" w:after="0"/>
              <w:jc w:val="center"/>
              <w:rPr>
                <w:b/>
              </w:rPr>
            </w:pPr>
            <w:r>
              <w:rPr>
                <w:b/>
              </w:rPr>
              <w:t>Evaluated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 ACL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Individually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Evaluated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Loans</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0"/>
              <w:jc w:val="left"/>
              <w:rPr>
                <w:rFonts w:ascii="Times New Roman" w:hAnsi="Times New Roman"/>
                <w:color w:val="000000"/>
                <w:sz w:val="20"/>
                <w:u w:val="single"/>
              </w:rPr>
            </w:pPr>
            <w:r>
              <w:rPr>
                <w:rFonts w:ascii="Times New Roman" w:hAnsi="Times New Roman"/>
                <w:color w:val="000000"/>
                <w:sz w:val="20"/>
                <w:u w:val="single"/>
              </w:rPr>
              <w:t>June 30, 2023</w:t>
            </w:r>
          </w:p>
        </w:tc>
        <w:tc>
          <w:tcPr>
            <w:tcW w:w="6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6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525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1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1"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8,179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9,724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18,065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1,362</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747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96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96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righ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94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8" w:type="dxa"/>
            <w:tcBorders>
              <w:bottom w:val="single" w:sz="12" w:space="0" w:color="000000"/>
            </w:tcBorders>
            <w:tcMar>
              <w:bottom w:w="28" w:type="dxa"/>
            </w:tcMar>
            <w:vAlign w:val="bottom"/>
          </w:tcPr>
          <w:p>
            <w:pPr>
              <w:pStyle w:val="TableContents"/>
              <w:bidi w:val="0"/>
              <w:spacing w:before="0" w:after="283"/>
              <w:jc w:val="left"/>
              <w:rPr/>
            </w:pPr>
            <w:r>
              <w:rPr/>
              <w:t> </w:t>
            </w:r>
          </w:p>
        </w:tc>
        <w:tc>
          <w:tcPr>
            <w:tcW w:w="962"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5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40"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9,101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8"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962"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10,250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0"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15"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192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19,543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1,445</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shows the Company’s investment in loans disaggregated based on the method of evaluating impairment at the date indicated (dollars in thousands):</w:t>
      </w:r>
    </w:p>
    <w:p>
      <w:pPr>
        <w:pStyle w:val="TextBody"/>
        <w:bidi w:val="0"/>
        <w:spacing w:before="0" w:after="0"/>
        <w:jc w:val="left"/>
        <w:rPr/>
      </w:pPr>
      <w:r>
        <w:rPr/>
      </w:r>
    </w:p>
    <w:tbl>
      <w:tblPr>
        <w:tblW w:w="6811" w:type="dxa"/>
        <w:jc w:val="left"/>
        <w:tblInd w:w="0" w:type="dxa"/>
        <w:tblLayout w:type="fixed"/>
        <w:tblCellMar>
          <w:top w:w="0" w:type="dxa"/>
          <w:left w:w="0" w:type="dxa"/>
          <w:bottom w:w="0" w:type="dxa"/>
          <w:right w:w="0" w:type="dxa"/>
        </w:tblCellMar>
      </w:tblPr>
      <w:tblGrid>
        <w:gridCol w:w="2090"/>
        <w:gridCol w:w="60"/>
        <w:gridCol w:w="219"/>
        <w:gridCol w:w="851"/>
        <w:gridCol w:w="63"/>
        <w:gridCol w:w="63"/>
        <w:gridCol w:w="134"/>
        <w:gridCol w:w="906"/>
        <w:gridCol w:w="60"/>
        <w:gridCol w:w="60"/>
        <w:gridCol w:w="290"/>
        <w:gridCol w:w="780"/>
        <w:gridCol w:w="60"/>
        <w:gridCol w:w="60"/>
        <w:gridCol w:w="181"/>
        <w:gridCol w:w="859"/>
        <w:gridCol w:w="75"/>
      </w:tblGrid>
      <w:tr>
        <w:trPr/>
        <w:tc>
          <w:tcPr>
            <w:tcW w:w="20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3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Recorded Investment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3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ACL for Loans</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Individually</w:t>
            </w:r>
          </w:p>
          <w:p>
            <w:pPr>
              <w:pStyle w:val="TableContents"/>
              <w:bidi w:val="0"/>
              <w:spacing w:before="0" w:after="0"/>
              <w:jc w:val="center"/>
              <w:rPr>
                <w:rFonts w:ascii="Times New Roman" w:hAnsi="Times New Roman"/>
                <w:b/>
                <w:sz w:val="20"/>
              </w:rPr>
            </w:pPr>
            <w:r>
              <w:rPr>
                <w:rFonts w:ascii="Times New Roman" w:hAnsi="Times New Roman"/>
                <w:b/>
                <w:sz w:val="20"/>
              </w:rPr>
              <w:t>Evaluated</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Collectively</w:t>
            </w:r>
          </w:p>
          <w:p>
            <w:pPr>
              <w:pStyle w:val="TableContents"/>
              <w:bidi w:val="0"/>
              <w:spacing w:before="0" w:after="0"/>
              <w:jc w:val="center"/>
              <w:rPr>
                <w:rFonts w:ascii="Times New Roman" w:hAnsi="Times New Roman"/>
                <w:b/>
                <w:sz w:val="20"/>
              </w:rPr>
            </w:pPr>
            <w:r>
              <w:rPr>
                <w:rFonts w:ascii="Times New Roman" w:hAnsi="Times New Roman"/>
                <w:b/>
                <w:sz w:val="20"/>
              </w:rPr>
              <w:t>Evaluated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Individually</w:t>
            </w:r>
          </w:p>
          <w:p>
            <w:pPr>
              <w:pStyle w:val="TableContents"/>
              <w:bidi w:val="0"/>
              <w:spacing w:before="0" w:after="0"/>
              <w:jc w:val="center"/>
              <w:rPr>
                <w:rFonts w:ascii="Times New Roman" w:hAnsi="Times New Roman"/>
                <w:b/>
                <w:sz w:val="20"/>
              </w:rPr>
            </w:pPr>
            <w:r>
              <w:rPr>
                <w:rFonts w:ascii="Times New Roman" w:hAnsi="Times New Roman"/>
                <w:b/>
                <w:sz w:val="20"/>
              </w:rPr>
              <w:t>Evaluated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Collectively</w:t>
            </w:r>
          </w:p>
          <w:p>
            <w:pPr>
              <w:pStyle w:val="TableContents"/>
              <w:bidi w:val="0"/>
              <w:spacing w:before="0" w:after="0"/>
              <w:jc w:val="center"/>
              <w:rPr>
                <w:rFonts w:ascii="Times New Roman" w:hAnsi="Times New Roman"/>
                <w:b/>
                <w:sz w:val="20"/>
              </w:rPr>
            </w:pPr>
            <w:r>
              <w:rPr>
                <w:rFonts w:ascii="Times New Roman" w:hAnsi="Times New Roman"/>
                <w:b/>
                <w:sz w:val="20"/>
              </w:rPr>
              <w:t>Evaluated</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vAlign w:val="bottom"/>
          </w:tcPr>
          <w:p>
            <w:pPr>
              <w:pStyle w:val="TableContents"/>
              <w:bidi w:val="0"/>
              <w:spacing w:before="0" w:after="283"/>
              <w:jc w:val="right"/>
              <w:rPr/>
            </w:pPr>
            <w:r>
              <w:rPr/>
              <w:t> </w:t>
            </w:r>
          </w:p>
        </w:tc>
        <w:tc>
          <w:tcPr>
            <w:tcW w:w="1070" w:type="dxa"/>
            <w:gridSpan w:val="2"/>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04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7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40" w:type="dxa"/>
            <w:gridSpan w:val="2"/>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1" w:type="dxa"/>
            <w:tcBorders/>
            <w:shd w:fill="CCEEFF" w:val="clear"/>
            <w:vAlign w:val="bottom"/>
          </w:tcPr>
          <w:p>
            <w:pPr>
              <w:pStyle w:val="TableContents"/>
              <w:bidi w:val="0"/>
              <w:spacing w:before="0" w:after="0"/>
              <w:jc w:val="right"/>
              <w:rPr/>
            </w:pPr>
            <w:r>
              <w:rPr/>
              <w:t>—</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919,358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13,029</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0"/>
              <w:jc w:val="right"/>
              <w:rPr/>
            </w:pPr>
            <w:r>
              <w:rPr/>
              <w:t>—</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327,513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3,425</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3,350</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481,433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9,193</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742</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459,382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6,176</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0"/>
              <w:jc w:val="right"/>
              <w:rPr/>
            </w:pPr>
            <w:r>
              <w:rPr/>
              <w:t>—</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90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321,476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3,926</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0"/>
              <w:jc w:val="right"/>
              <w:rPr/>
            </w:pPr>
            <w:r>
              <w:rPr/>
              <w:t>—</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9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81,308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1,376</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5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1,014</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152,505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1,878</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bidi w:val="0"/>
              <w:spacing w:before="0" w:after="283"/>
              <w:jc w:val="right"/>
              <w:rPr/>
            </w:pPr>
            <w:r>
              <w:rPr/>
              <w:t> </w:t>
            </w:r>
          </w:p>
        </w:tc>
        <w:tc>
          <w:tcPr>
            <w:tcW w:w="21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5,106</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2,742,975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39,003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Impaired loan information at the date indicated follows (dollars in thousands):</w:t>
      </w:r>
    </w:p>
    <w:p>
      <w:pPr>
        <w:pStyle w:val="TextBody"/>
        <w:bidi w:val="0"/>
        <w:spacing w:before="0" w:after="0"/>
        <w:jc w:val="left"/>
        <w:rPr/>
      </w:pPr>
      <w:r>
        <w:rPr/>
      </w:r>
    </w:p>
    <w:tbl>
      <w:tblPr>
        <w:tblW w:w="8570" w:type="dxa"/>
        <w:jc w:val="left"/>
        <w:tblInd w:w="0" w:type="dxa"/>
        <w:tblLayout w:type="fixed"/>
        <w:tblCellMar>
          <w:top w:w="0" w:type="dxa"/>
          <w:left w:w="0" w:type="dxa"/>
          <w:bottom w:w="0" w:type="dxa"/>
          <w:right w:w="0" w:type="dxa"/>
        </w:tblCellMar>
      </w:tblPr>
      <w:tblGrid>
        <w:gridCol w:w="2090"/>
        <w:gridCol w:w="60"/>
        <w:gridCol w:w="213"/>
        <w:gridCol w:w="827"/>
        <w:gridCol w:w="60"/>
        <w:gridCol w:w="60"/>
        <w:gridCol w:w="194"/>
        <w:gridCol w:w="756"/>
        <w:gridCol w:w="60"/>
        <w:gridCol w:w="60"/>
        <w:gridCol w:w="194"/>
        <w:gridCol w:w="756"/>
        <w:gridCol w:w="60"/>
        <w:gridCol w:w="60"/>
        <w:gridCol w:w="194"/>
        <w:gridCol w:w="756"/>
        <w:gridCol w:w="60"/>
        <w:gridCol w:w="60"/>
        <w:gridCol w:w="245"/>
        <w:gridCol w:w="660"/>
        <w:gridCol w:w="60"/>
        <w:gridCol w:w="60"/>
        <w:gridCol w:w="194"/>
        <w:gridCol w:w="756"/>
        <w:gridCol w:w="75"/>
      </w:tblGrid>
      <w:tr>
        <w:trPr/>
        <w:tc>
          <w:tcPr>
            <w:tcW w:w="20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Unpaid</w:t>
            </w:r>
          </w:p>
          <w:p>
            <w:pPr>
              <w:pStyle w:val="TableContents"/>
              <w:bidi w:val="0"/>
              <w:spacing w:before="0" w:after="0"/>
              <w:jc w:val="center"/>
              <w:rPr>
                <w:rFonts w:ascii="Times New Roman" w:hAnsi="Times New Roman"/>
                <w:b/>
                <w:sz w:val="20"/>
              </w:rPr>
            </w:pPr>
            <w:r>
              <w:rPr>
                <w:rFonts w:ascii="Times New Roman" w:hAnsi="Times New Roman"/>
                <w:b/>
                <w:sz w:val="20"/>
              </w:rPr>
              <w:t>Contractual</w:t>
            </w:r>
          </w:p>
          <w:p>
            <w:pPr>
              <w:pStyle w:val="TableContents"/>
              <w:bidi w:val="0"/>
              <w:spacing w:before="0" w:after="0"/>
              <w:jc w:val="center"/>
              <w:rPr>
                <w:rFonts w:ascii="Times New Roman" w:hAnsi="Times New Roman"/>
                <w:b/>
                <w:sz w:val="20"/>
              </w:rPr>
            </w:pPr>
            <w:r>
              <w:rPr>
                <w:rFonts w:ascii="Times New Roman" w:hAnsi="Times New Roman"/>
                <w:b/>
                <w:sz w:val="20"/>
              </w:rPr>
              <w:t>Principal</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Recorded</w:t>
            </w:r>
          </w:p>
          <w:p>
            <w:pPr>
              <w:pStyle w:val="TableContents"/>
              <w:bidi w:val="0"/>
              <w:spacing w:before="0" w:after="0"/>
              <w:jc w:val="center"/>
              <w:rPr>
                <w:rFonts w:ascii="Times New Roman" w:hAnsi="Times New Roman"/>
                <w:b/>
                <w:sz w:val="20"/>
              </w:rPr>
            </w:pPr>
            <w:r>
              <w:rPr>
                <w:rFonts w:ascii="Times New Roman" w:hAnsi="Times New Roman"/>
                <w:b/>
                <w:sz w:val="20"/>
              </w:rPr>
              <w:t>Investment</w:t>
            </w:r>
          </w:p>
          <w:p>
            <w:pPr>
              <w:pStyle w:val="TableContents"/>
              <w:bidi w:val="0"/>
              <w:spacing w:before="0" w:after="0"/>
              <w:jc w:val="center"/>
              <w:rPr>
                <w:rFonts w:ascii="Times New Roman" w:hAnsi="Times New Roman"/>
                <w:b/>
                <w:sz w:val="20"/>
              </w:rPr>
            </w:pPr>
            <w:r>
              <w:rPr>
                <w:rFonts w:ascii="Times New Roman" w:hAnsi="Times New Roman"/>
                <w:b/>
                <w:sz w:val="20"/>
              </w:rPr>
              <w:t>With No</w:t>
            </w:r>
          </w:p>
          <w:p>
            <w:pPr>
              <w:pStyle w:val="TableContents"/>
              <w:bidi w:val="0"/>
              <w:spacing w:before="0" w:after="0"/>
              <w:jc w:val="center"/>
              <w:rPr>
                <w:rFonts w:ascii="Times New Roman" w:hAnsi="Times New Roman"/>
                <w:b/>
                <w:sz w:val="20"/>
              </w:rPr>
            </w:pPr>
            <w:r>
              <w:rPr>
                <w:rFonts w:ascii="Times New Roman" w:hAnsi="Times New Roman"/>
                <w:b/>
                <w:sz w:val="20"/>
              </w:rPr>
              <w:t>Allowance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Recorded</w:t>
            </w:r>
          </w:p>
          <w:p>
            <w:pPr>
              <w:pStyle w:val="TableContents"/>
              <w:bidi w:val="0"/>
              <w:spacing w:before="0" w:after="0"/>
              <w:jc w:val="center"/>
              <w:rPr>
                <w:rFonts w:ascii="Times New Roman" w:hAnsi="Times New Roman"/>
                <w:b/>
                <w:sz w:val="20"/>
              </w:rPr>
            </w:pPr>
            <w:r>
              <w:rPr>
                <w:rFonts w:ascii="Times New Roman" w:hAnsi="Times New Roman"/>
                <w:b/>
                <w:sz w:val="20"/>
              </w:rPr>
              <w:t>Investment</w:t>
            </w:r>
          </w:p>
          <w:p>
            <w:pPr>
              <w:pStyle w:val="TableContents"/>
              <w:bidi w:val="0"/>
              <w:spacing w:before="0" w:after="0"/>
              <w:jc w:val="center"/>
              <w:rPr>
                <w:rFonts w:ascii="Times New Roman" w:hAnsi="Times New Roman"/>
                <w:b/>
                <w:sz w:val="20"/>
              </w:rPr>
            </w:pPr>
            <w:r>
              <w:rPr>
                <w:rFonts w:ascii="Times New Roman" w:hAnsi="Times New Roman"/>
                <w:b/>
                <w:sz w:val="20"/>
              </w:rPr>
              <w:t>With</w:t>
            </w:r>
          </w:p>
          <w:p>
            <w:pPr>
              <w:pStyle w:val="TableContents"/>
              <w:bidi w:val="0"/>
              <w:spacing w:before="0" w:after="0"/>
              <w:jc w:val="center"/>
              <w:rPr>
                <w:rFonts w:ascii="Times New Roman" w:hAnsi="Times New Roman"/>
                <w:b/>
                <w:sz w:val="20"/>
              </w:rPr>
            </w:pPr>
            <w:r>
              <w:rPr>
                <w:rFonts w:ascii="Times New Roman" w:hAnsi="Times New Roman"/>
                <w:b/>
                <w:sz w:val="20"/>
              </w:rPr>
              <w:t>Allowance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p>
            <w:pPr>
              <w:pStyle w:val="TableContents"/>
              <w:bidi w:val="0"/>
              <w:spacing w:before="0" w:after="0"/>
              <w:jc w:val="center"/>
              <w:rPr>
                <w:rFonts w:ascii="Times New Roman" w:hAnsi="Times New Roman"/>
                <w:b/>
                <w:sz w:val="20"/>
              </w:rPr>
            </w:pPr>
            <w:r>
              <w:rPr>
                <w:rFonts w:ascii="Times New Roman" w:hAnsi="Times New Roman"/>
                <w:b/>
                <w:sz w:val="20"/>
              </w:rPr>
              <w:t>Recorded</w:t>
            </w:r>
          </w:p>
          <w:p>
            <w:pPr>
              <w:pStyle w:val="TableContents"/>
              <w:bidi w:val="0"/>
              <w:spacing w:before="0" w:after="0"/>
              <w:jc w:val="center"/>
              <w:rPr>
                <w:rFonts w:ascii="Times New Roman" w:hAnsi="Times New Roman"/>
                <w:b/>
                <w:sz w:val="20"/>
              </w:rPr>
            </w:pPr>
            <w:r>
              <w:rPr>
                <w:rFonts w:ascii="Times New Roman" w:hAnsi="Times New Roman"/>
                <w:b/>
                <w:sz w:val="20"/>
              </w:rPr>
              <w:t>Investment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Related</w:t>
            </w:r>
          </w:p>
          <w:p>
            <w:pPr>
              <w:pStyle w:val="TableContents"/>
              <w:bidi w:val="0"/>
              <w:spacing w:before="0" w:after="0"/>
              <w:jc w:val="center"/>
              <w:rPr>
                <w:rFonts w:ascii="Times New Roman" w:hAnsi="Times New Roman"/>
                <w:b/>
                <w:sz w:val="20"/>
              </w:rPr>
            </w:pPr>
            <w:r>
              <w:rPr>
                <w:rFonts w:ascii="Times New Roman" w:hAnsi="Times New Roman"/>
                <w:b/>
                <w:sz w:val="20"/>
              </w:rPr>
              <w:t>Allowance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Average</w:t>
            </w:r>
          </w:p>
          <w:p>
            <w:pPr>
              <w:pStyle w:val="TableContents"/>
              <w:bidi w:val="0"/>
              <w:spacing w:before="0" w:after="0"/>
              <w:jc w:val="center"/>
              <w:rPr>
                <w:rFonts w:ascii="Times New Roman" w:hAnsi="Times New Roman"/>
                <w:b/>
                <w:sz w:val="20"/>
              </w:rPr>
            </w:pPr>
            <w:r>
              <w:rPr>
                <w:rFonts w:ascii="Times New Roman" w:hAnsi="Times New Roman"/>
                <w:b/>
                <w:sz w:val="20"/>
              </w:rPr>
              <w:t>Recorded</w:t>
            </w:r>
          </w:p>
          <w:p>
            <w:pPr>
              <w:pStyle w:val="TableContents"/>
              <w:bidi w:val="0"/>
              <w:spacing w:before="0" w:after="0"/>
              <w:jc w:val="center"/>
              <w:rPr>
                <w:rFonts w:ascii="Times New Roman" w:hAnsi="Times New Roman"/>
                <w:b/>
                <w:sz w:val="20"/>
              </w:rPr>
            </w:pPr>
            <w:r>
              <w:rPr>
                <w:rFonts w:ascii="Times New Roman" w:hAnsi="Times New Roman"/>
                <w:b/>
                <w:sz w:val="20"/>
              </w:rPr>
              <w:t>Investment</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4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5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5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5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05"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50" w:type="dxa"/>
            <w:gridSpan w:val="2"/>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vAlign w:val="bottom"/>
          </w:tcPr>
          <w:p>
            <w:pPr>
              <w:pStyle w:val="TableContents"/>
              <w:bidi w:val="0"/>
              <w:spacing w:before="0" w:after="283"/>
              <w:jc w:val="right"/>
              <w:rPr/>
            </w:pPr>
            <w:r>
              <w:rPr/>
              <w:t> </w:t>
            </w:r>
          </w:p>
        </w:tc>
        <w:tc>
          <w:tcPr>
            <w:tcW w:w="104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5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5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5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05"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50" w:type="dxa"/>
            <w:gridSpan w:val="2"/>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551</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4,214</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1,167</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82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7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7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7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6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7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507</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bidi w:val="0"/>
              <w:spacing w:before="0" w:after="283"/>
              <w:jc w:val="right"/>
              <w:rPr/>
            </w:pPr>
            <w:r>
              <w:rPr/>
              <w:t> </w:t>
            </w:r>
          </w:p>
        </w:tc>
        <w:tc>
          <w:tcPr>
            <w:tcW w:w="21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6,439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All impaired loans $250 thousand and greater were specifically evaluated for impairment at December 31, 2022. Interest income recognized using a cash-basis method on individually analyzed loans for the three and six months ended June 30, 2023 was not significant. Additional funds committed to be advanced on individually analyzed loans are not significant.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table below provides an age analysis on accruing past-due loans and nonaccrual loans at the dates indicated (dollars in thousands):</w:t>
      </w:r>
    </w:p>
    <w:p>
      <w:pPr>
        <w:pStyle w:val="TextBody"/>
        <w:bidi w:val="0"/>
        <w:spacing w:before="0" w:after="0"/>
        <w:jc w:val="left"/>
        <w:rPr/>
      </w:pPr>
      <w:r>
        <w:rPr/>
      </w:r>
    </w:p>
    <w:tbl>
      <w:tblPr>
        <w:tblW w:w="6758" w:type="dxa"/>
        <w:jc w:val="left"/>
        <w:tblInd w:w="0" w:type="dxa"/>
        <w:tblLayout w:type="fixed"/>
        <w:tblCellMar>
          <w:top w:w="0" w:type="dxa"/>
          <w:left w:w="0" w:type="dxa"/>
          <w:bottom w:w="0" w:type="dxa"/>
          <w:right w:w="0" w:type="dxa"/>
        </w:tblCellMar>
      </w:tblPr>
      <w:tblGrid>
        <w:gridCol w:w="2090"/>
        <w:gridCol w:w="60"/>
        <w:gridCol w:w="197"/>
        <w:gridCol w:w="767"/>
        <w:gridCol w:w="60"/>
        <w:gridCol w:w="60"/>
        <w:gridCol w:w="191"/>
        <w:gridCol w:w="743"/>
        <w:gridCol w:w="60"/>
        <w:gridCol w:w="60"/>
        <w:gridCol w:w="176"/>
        <w:gridCol w:w="834"/>
        <w:gridCol w:w="60"/>
        <w:gridCol w:w="60"/>
        <w:gridCol w:w="340"/>
        <w:gridCol w:w="925"/>
        <w:gridCol w:w="75"/>
      </w:tblGrid>
      <w:tr>
        <w:trPr/>
        <w:tc>
          <w:tcPr>
            <w:tcW w:w="20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30-89 Days</w:t>
            </w:r>
          </w:p>
          <w:p>
            <w:pPr>
              <w:pStyle w:val="TableContents"/>
              <w:bidi w:val="0"/>
              <w:spacing w:before="0" w:after="0"/>
              <w:jc w:val="center"/>
              <w:rPr>
                <w:rFonts w:ascii="Times New Roman" w:hAnsi="Times New Roman"/>
                <w:b/>
                <w:sz w:val="20"/>
              </w:rPr>
            </w:pPr>
            <w:r>
              <w:rPr>
                <w:rFonts w:ascii="Times New Roman" w:hAnsi="Times New Roman"/>
                <w:b/>
                <w:sz w:val="20"/>
              </w:rPr>
              <w:t>Past Due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90 Days or</w:t>
            </w:r>
          </w:p>
          <w:p>
            <w:pPr>
              <w:pStyle w:val="TableContents"/>
              <w:bidi w:val="0"/>
              <w:spacing w:before="0" w:after="0"/>
              <w:jc w:val="center"/>
              <w:rPr>
                <w:rFonts w:ascii="Times New Roman" w:hAnsi="Times New Roman"/>
                <w:b/>
                <w:sz w:val="20"/>
              </w:rPr>
            </w:pPr>
            <w:r>
              <w:rPr>
                <w:rFonts w:ascii="Times New Roman" w:hAnsi="Times New Roman"/>
                <w:b/>
                <w:sz w:val="20"/>
              </w:rPr>
              <w:t>More Past</w:t>
            </w:r>
          </w:p>
          <w:p>
            <w:pPr>
              <w:pStyle w:val="TableContents"/>
              <w:bidi w:val="0"/>
              <w:spacing w:before="0" w:after="0"/>
              <w:jc w:val="center"/>
              <w:rPr>
                <w:rFonts w:ascii="Times New Roman" w:hAnsi="Times New Roman"/>
                <w:b/>
                <w:sz w:val="20"/>
              </w:rPr>
            </w:pPr>
            <w:r>
              <w:rPr>
                <w:rFonts w:ascii="Times New Roman" w:hAnsi="Times New Roman"/>
                <w:b/>
                <w:sz w:val="20"/>
              </w:rPr>
              <w:t>Due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Nonaccrual</w:t>
            </w:r>
          </w:p>
        </w:tc>
        <w:tc>
          <w:tcPr>
            <w:tcW w:w="60" w:type="dxa"/>
            <w:tcBorders/>
            <w:vAlign w:val="bottom"/>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0"/>
              <w:jc w:val="center"/>
              <w:rPr/>
            </w:pPr>
            <w:r>
              <w:rPr/>
              <w:t> </w:t>
            </w:r>
            <w:r>
              <w:rPr>
                <w:b/>
              </w:rPr>
              <w:t>Nonaccrual</w:t>
            </w:r>
          </w:p>
          <w:p>
            <w:pPr>
              <w:pStyle w:val="TableContents"/>
              <w:bidi w:val="0"/>
              <w:spacing w:before="0" w:after="0"/>
              <w:jc w:val="center"/>
              <w:rPr>
                <w:b/>
              </w:rPr>
            </w:pPr>
            <w:r>
              <w:rPr>
                <w:b/>
              </w:rPr>
              <w:t>with no</w:t>
            </w:r>
          </w:p>
          <w:p>
            <w:pPr>
              <w:pStyle w:val="TableContents"/>
              <w:bidi w:val="0"/>
              <w:spacing w:before="0" w:after="0"/>
              <w:jc w:val="center"/>
              <w:rPr>
                <w:b/>
              </w:rPr>
            </w:pPr>
            <w:r>
              <w:rPr>
                <w:b/>
              </w:rPr>
              <w:t>ACL</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June 30, 2023</w:t>
            </w:r>
          </w:p>
        </w:tc>
        <w:tc>
          <w:tcPr>
            <w:tcW w:w="60"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4"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14,078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261</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7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743"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8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25" w:type="dxa"/>
            <w:tcBorders>
              <w:bottom w:val="single" w:sz="12" w:space="0" w:color="000000"/>
            </w:tcBorders>
            <w:tcMar>
              <w:bottom w:w="28" w:type="dxa"/>
            </w:tcMar>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bidi w:val="0"/>
              <w:spacing w:before="0" w:after="283"/>
              <w:jc w:val="right"/>
              <w:rPr/>
            </w:pPr>
            <w:r>
              <w:rPr/>
              <w:t> </w:t>
            </w:r>
          </w:p>
        </w:tc>
        <w:tc>
          <w:tcPr>
            <w:tcW w:w="19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16,561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40" w:type="dxa"/>
            <w:tcBorders>
              <w:bottom w:val="double" w:sz="8" w:space="0" w:color="000000"/>
            </w:tcBorders>
            <w:shd w:fill="CCEEFF" w:val="clear"/>
            <w:tcMar>
              <w:bottom w:w="28" w:type="dxa"/>
            </w:tcMar>
            <w:vAlign w:val="bottom"/>
          </w:tcPr>
          <w:p>
            <w:pPr>
              <w:pStyle w:val="TableContents"/>
              <w:bidi w:val="0"/>
              <w:spacing w:before="0" w:after="283"/>
              <w:jc w:val="left"/>
              <w:rPr/>
            </w:pPr>
            <w:r>
              <w:rPr/>
              <w:t>$</w:t>
            </w:r>
          </w:p>
        </w:tc>
        <w:tc>
          <w:tcPr>
            <w:tcW w:w="925" w:type="dxa"/>
            <w:tcBorders>
              <w:bottom w:val="double" w:sz="8" w:space="0" w:color="000000"/>
            </w:tcBorders>
            <w:shd w:fill="CCEEFF" w:val="clear"/>
            <w:tcMar>
              <w:bottom w:w="28" w:type="dxa"/>
            </w:tcMar>
            <w:vAlign w:val="bottom"/>
          </w:tcPr>
          <w:p>
            <w:pPr>
              <w:pStyle w:val="TableContents"/>
              <w:bidi w:val="0"/>
              <w:spacing w:before="0" w:after="283"/>
              <w:jc w:val="right"/>
              <w:rPr/>
            </w:pPr>
            <w:r>
              <w:rPr/>
              <w:t>261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5957" w:type="dxa"/>
        <w:jc w:val="left"/>
        <w:tblInd w:w="0" w:type="dxa"/>
        <w:tblLayout w:type="fixed"/>
        <w:tblCellMar>
          <w:top w:w="0" w:type="dxa"/>
          <w:left w:w="0" w:type="dxa"/>
          <w:bottom w:w="0" w:type="dxa"/>
          <w:right w:w="0" w:type="dxa"/>
        </w:tblCellMar>
      </w:tblPr>
      <w:tblGrid>
        <w:gridCol w:w="2090"/>
        <w:gridCol w:w="60"/>
        <w:gridCol w:w="197"/>
        <w:gridCol w:w="767"/>
        <w:gridCol w:w="60"/>
        <w:gridCol w:w="60"/>
        <w:gridCol w:w="259"/>
        <w:gridCol w:w="1005"/>
        <w:gridCol w:w="60"/>
        <w:gridCol w:w="60"/>
        <w:gridCol w:w="258"/>
        <w:gridCol w:w="1006"/>
        <w:gridCol w:w="75"/>
      </w:tblGrid>
      <w:tr>
        <w:trPr/>
        <w:tc>
          <w:tcPr>
            <w:tcW w:w="20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30-89 Days</w:t>
            </w:r>
          </w:p>
          <w:p>
            <w:pPr>
              <w:pStyle w:val="TableContents"/>
              <w:bidi w:val="0"/>
              <w:spacing w:before="0" w:after="0"/>
              <w:jc w:val="center"/>
              <w:rPr>
                <w:rFonts w:ascii="Times New Roman" w:hAnsi="Times New Roman"/>
                <w:b/>
                <w:sz w:val="20"/>
              </w:rPr>
            </w:pPr>
            <w:r>
              <w:rPr>
                <w:rFonts w:ascii="Times New Roman" w:hAnsi="Times New Roman"/>
                <w:b/>
                <w:sz w:val="20"/>
              </w:rPr>
              <w:t>Past Due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90 Days or</w:t>
            </w:r>
          </w:p>
          <w:p>
            <w:pPr>
              <w:pStyle w:val="TableContents"/>
              <w:bidi w:val="0"/>
              <w:spacing w:before="0" w:after="0"/>
              <w:jc w:val="center"/>
              <w:rPr>
                <w:rFonts w:ascii="Times New Roman" w:hAnsi="Times New Roman"/>
                <w:b/>
                <w:sz w:val="20"/>
              </w:rPr>
            </w:pPr>
            <w:r>
              <w:rPr>
                <w:rFonts w:ascii="Times New Roman" w:hAnsi="Times New Roman"/>
                <w:b/>
                <w:sz w:val="20"/>
              </w:rPr>
              <w:t>More Past Due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64"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 xml:space="preserve">Nonaccrual </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vAlign w:val="bottom"/>
          </w:tcPr>
          <w:p>
            <w:pPr>
              <w:pStyle w:val="TableContents"/>
              <w:bidi w:val="0"/>
              <w:spacing w:before="0" w:after="283"/>
              <w:jc w:val="right"/>
              <w:rPr/>
            </w:pPr>
            <w:r>
              <w:rPr/>
              <w:t> </w:t>
            </w:r>
          </w:p>
        </w:tc>
        <w:tc>
          <w:tcPr>
            <w:tcW w:w="964"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4"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64" w:type="dxa"/>
            <w:gridSpan w:val="2"/>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6" w:type="dxa"/>
            <w:tcBorders/>
            <w:shd w:fill="CCEEFF" w:val="clear"/>
            <w:vAlign w:val="bottom"/>
          </w:tcPr>
          <w:p>
            <w:pPr>
              <w:pStyle w:val="TableContents"/>
              <w:bidi w:val="0"/>
              <w:spacing w:before="0" w:after="0"/>
              <w:jc w:val="right"/>
              <w:rPr/>
            </w:pPr>
            <w:r>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3,357</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1,356</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pPr>
            <w:r>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10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7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5"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1,014</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bidi w:val="0"/>
              <w:spacing w:before="0" w:after="283"/>
              <w:jc w:val="right"/>
              <w:rPr/>
            </w:pPr>
            <w:r>
              <w:rPr/>
              <w:t> </w:t>
            </w:r>
          </w:p>
        </w:tc>
        <w:tc>
          <w:tcPr>
            <w:tcW w:w="19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5,802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 has elected the fair value option for recording residential mortgage loans held for sale (mandatory) in accordance with GAAP. The Company had no nonaccrual mortgage loans held for sale (mandatory) at June 30, 2023, and December 31, 2022.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bidi w:val="0"/>
        <w:spacing w:before="200" w:after="200"/>
        <w:jc w:val="both"/>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u w:val="single"/>
        </w:rPr>
      </w:pPr>
      <w:r>
        <w:rPr>
          <w:rFonts w:ascii="Times New Roman" w:hAnsi="Times New Roman"/>
          <w:color w:val="000000"/>
          <w:sz w:val="20"/>
          <w:u w:val="single"/>
        </w:rPr>
        <w:t>Credit Quality Indicators</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grades its loans on a thirteen-point grading scale. These grades fit in one of the following categories: (i) pass, (ii) special mention, (iii) substandard, (iv) doubtful, or (v) loss. Loans categorized as loss are charged-off immediately. The grading of loans reflect a judgment by the Company about the risks of default associated with the loan. The Company reviews the grades on loans as part of the Company’s on-going monitoring of the credit quality of the loan portfolio.  These risk ratings are assigned based on relevant information about the ability of the borrowers to service their debt such as: current financial information, historical payment experience, credit documentation, public information, and current economic trends, among other factors.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Special mention loans have potential weaknesses that deserve management’s close attention. If left uncorrected, these potential weaknesses may result in deterioration of repayment prospects for the loans at some future date.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review of the Company’s loan portfolio, management considers risk elements attributable to particular loan type or categories in assessing the quality of individual loans. The list of loans to be analyzed for individual evaluation consists of non-accrual loans over $250 thousand with direct exposure. Interest income recognized using a cash-basis method on non-accrual loans for the three and six months ended June 30, 2023 was not significant.  In addition, the Company closely monitors substandard accruing loans over $1 million with direct exposure, and past due accruing loans over $100 thousand for possible individual evaluation.  All other loans will be evaluated collectively in designated pools unless a loss exposure has been identified.</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reflects the amortized cost basis in loans by credit quality indicator and origination year at June 30, 2023, excluding loans held for sale. Loans acquired are shown in the table by origination year, not merger date. The Company had an immaterial amount of revolving loans converted to term loans at June 30, 2023.</w:t>
      </w:r>
    </w:p>
    <w:p>
      <w:pPr>
        <w:pStyle w:val="TextBody"/>
        <w:bidi w:val="0"/>
        <w:spacing w:before="0" w:after="0"/>
        <w:jc w:val="both"/>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2174"/>
        <w:gridCol w:w="60"/>
        <w:gridCol w:w="125"/>
        <w:gridCol w:w="695"/>
        <w:gridCol w:w="60"/>
        <w:gridCol w:w="60"/>
        <w:gridCol w:w="165"/>
        <w:gridCol w:w="695"/>
        <w:gridCol w:w="60"/>
        <w:gridCol w:w="60"/>
        <w:gridCol w:w="165"/>
        <w:gridCol w:w="695"/>
        <w:gridCol w:w="60"/>
        <w:gridCol w:w="60"/>
        <w:gridCol w:w="165"/>
        <w:gridCol w:w="590"/>
        <w:gridCol w:w="60"/>
        <w:gridCol w:w="60"/>
        <w:gridCol w:w="165"/>
        <w:gridCol w:w="590"/>
        <w:gridCol w:w="60"/>
        <w:gridCol w:w="60"/>
        <w:gridCol w:w="165"/>
        <w:gridCol w:w="695"/>
        <w:gridCol w:w="60"/>
        <w:gridCol w:w="60"/>
        <w:gridCol w:w="232"/>
        <w:gridCol w:w="899"/>
        <w:gridCol w:w="60"/>
        <w:gridCol w:w="60"/>
        <w:gridCol w:w="165"/>
        <w:gridCol w:w="845"/>
        <w:gridCol w:w="80"/>
      </w:tblGrid>
      <w:tr>
        <w:trPr/>
        <w:tc>
          <w:tcPr>
            <w:tcW w:w="2174"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0" w:type="dxa"/>
            <w:gridSpan w:val="6"/>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Term Loans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0" w:type="dxa"/>
            <w:gridSpan w:val="14"/>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Amortized Cost Basis by Origination 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1"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283"/>
              <w:jc w:val="left"/>
              <w:rPr/>
            </w:pPr>
            <w:r>
              <w:rPr/>
              <w:t>(Dollars in thousands)</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Prior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Revolving Loans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80" w:type="dxa"/>
            <w:tcBorders/>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Commercial real estate:</w:t>
            </w:r>
            <w:r>
              <w:rPr>
                <w:rFonts w:ascii="Times New Roman" w:hAnsi="Times New Roman"/>
                <w:color w:val="000000"/>
                <w:sz w:val="20"/>
              </w:rPr>
              <w:t xml:space="preserve">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176,070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297,336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200,707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64,464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51,726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189,162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982,641</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Substandard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21,334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24,268</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283"/>
              <w:jc w:val="left"/>
              <w:rPr/>
            </w:pPr>
            <w:r>
              <w:rPr/>
              <w:t>Doubtful</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commercial real estate loans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176,070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297,355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222,041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66,144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52,553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189,570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1,006,909</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Commercial - specialized: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80,261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66,731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60,490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21,415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27,015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354,492</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Substandard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760</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283"/>
              <w:jc w:val="left"/>
              <w:rPr/>
            </w:pPr>
            <w:r>
              <w:rPr/>
              <w:t>Doubtful</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commercial - specialized loans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80,261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66,807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60,673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21,842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27,070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355,252</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Commercial - general:</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150,617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104,547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39,728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37,506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74,893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51,304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521,087</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Substandard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30,009</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283"/>
              <w:jc w:val="left"/>
              <w:rPr/>
            </w:pPr>
            <w:r>
              <w:rPr/>
              <w:t>Doubtful</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commercial - general loans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162,128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109,203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40,235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44,244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80,856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51,659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551,096</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369</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Consumer: 1-4 family residential: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66,427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165,339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114,591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55,850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33,736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65,403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510,959</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Substandard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11,513</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283"/>
              <w:jc w:val="left"/>
              <w:rPr/>
            </w:pPr>
            <w:r>
              <w:rPr/>
              <w:t>Doubtful</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consumer: 1-4 family residential loans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66,427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165,652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115,532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57,582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38,057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69,596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522,472</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Consumer: auto loans: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62,837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xml:space="preserve">$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153,144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xml:space="preserve">$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63,162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xml:space="preserve">$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22,673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xml:space="preserve">$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xml:space="preserve">$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xml:space="preserve">$ </w:t>
            </w:r>
          </w:p>
        </w:tc>
        <w:tc>
          <w:tcPr>
            <w:tcW w:w="89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xml:space="preserve">$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317,629</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Substandard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497</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283"/>
              <w:jc w:val="left"/>
              <w:rPr/>
            </w:pPr>
            <w:r>
              <w:rPr/>
              <w:t>Doubtful</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consumer: auto loans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62,837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153,187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63,427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22,721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318,126</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411</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Consumer: other consumer:</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34,453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79,579</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Substandard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216</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283"/>
              <w:jc w:val="left"/>
              <w:rPr/>
            </w:pPr>
            <w:r>
              <w:rPr/>
              <w:t>Doubtful</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2174"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consumer: other consumer loans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34,475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79,795</w:t>
            </w:r>
          </w:p>
        </w:tc>
        <w:tc>
          <w:tcPr>
            <w:tcW w:w="80" w:type="dxa"/>
            <w:tcBorders/>
            <w:shd w:fill="CCEEFF" w:val="clear"/>
            <w:vAlign w:val="bottom"/>
          </w:tcPr>
          <w:p>
            <w:pPr>
              <w:pStyle w:val="TableContents"/>
              <w:bidi w:val="0"/>
              <w:spacing w:before="0" w:after="283"/>
              <w:jc w:val="left"/>
              <w:rPr/>
            </w:pPr>
            <w:r>
              <w:rPr/>
              <w:t> </w:t>
            </w:r>
          </w:p>
        </w:tc>
      </w:tr>
      <w:tr>
        <w:trPr/>
        <w:tc>
          <w:tcPr>
            <w:tcW w:w="2174"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2"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442</w:t>
            </w:r>
          </w:p>
        </w:tc>
        <w:tc>
          <w:tcPr>
            <w:tcW w:w="80" w:type="dxa"/>
            <w:tcBorders/>
            <w:vAlign w:val="bottom"/>
          </w:tcPr>
          <w:p>
            <w:pPr>
              <w:pStyle w:val="TableContents"/>
              <w:bidi w:val="0"/>
              <w:spacing w:before="0" w:after="283"/>
              <w:jc w:val="left"/>
              <w:rPr/>
            </w:pPr>
            <w:r>
              <w:rPr/>
              <w:t> </w:t>
            </w:r>
          </w:p>
        </w:tc>
      </w:tr>
    </w:tbl>
    <w:tbl>
      <w:tblPr>
        <w:tblW w:w="9010" w:type="dxa"/>
        <w:jc w:val="left"/>
        <w:tblInd w:w="0" w:type="dxa"/>
        <w:tblLayout w:type="fixed"/>
        <w:tblCellMar>
          <w:top w:w="0" w:type="dxa"/>
          <w:left w:w="0" w:type="dxa"/>
          <w:bottom w:w="0" w:type="dxa"/>
          <w:right w:w="0" w:type="dxa"/>
        </w:tblCellMar>
      </w:tblPr>
      <w:tblGrid>
        <w:gridCol w:w="2630"/>
        <w:gridCol w:w="60"/>
        <w:gridCol w:w="200"/>
        <w:gridCol w:w="590"/>
        <w:gridCol w:w="60"/>
        <w:gridCol w:w="60"/>
        <w:gridCol w:w="200"/>
        <w:gridCol w:w="590"/>
        <w:gridCol w:w="60"/>
        <w:gridCol w:w="60"/>
        <w:gridCol w:w="200"/>
        <w:gridCol w:w="590"/>
        <w:gridCol w:w="60"/>
        <w:gridCol w:w="60"/>
        <w:gridCol w:w="200"/>
        <w:gridCol w:w="335"/>
        <w:gridCol w:w="60"/>
        <w:gridCol w:w="60"/>
        <w:gridCol w:w="200"/>
        <w:gridCol w:w="260"/>
        <w:gridCol w:w="60"/>
        <w:gridCol w:w="60"/>
        <w:gridCol w:w="200"/>
        <w:gridCol w:w="260"/>
        <w:gridCol w:w="60"/>
        <w:gridCol w:w="60"/>
        <w:gridCol w:w="200"/>
        <w:gridCol w:w="485"/>
        <w:gridCol w:w="60"/>
        <w:gridCol w:w="60"/>
        <w:gridCol w:w="200"/>
        <w:gridCol w:w="695"/>
        <w:gridCol w:w="75"/>
      </w:tblGrid>
      <w:tr>
        <w:trPr/>
        <w:tc>
          <w:tcPr>
            <w:tcW w:w="26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63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Construction:</w:t>
            </w:r>
          </w:p>
        </w:tc>
        <w:tc>
          <w:tcPr>
            <w:tcW w:w="60" w:type="dxa"/>
            <w:tcBorders/>
            <w:vAlign w:val="bottom"/>
          </w:tcPr>
          <w:p>
            <w:pPr>
              <w:pStyle w:val="TableContents"/>
              <w:bidi w:val="0"/>
              <w:spacing w:before="0" w:after="283"/>
              <w:jc w:val="left"/>
              <w:rPr/>
            </w:pPr>
            <w:r>
              <w:rPr/>
              <w:t> </w:t>
            </w:r>
          </w:p>
        </w:tc>
        <w:tc>
          <w:tcPr>
            <w:tcW w:w="7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6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Pass</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24,337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89,551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3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145,190</w:t>
            </w:r>
          </w:p>
        </w:tc>
        <w:tc>
          <w:tcPr>
            <w:tcW w:w="75" w:type="dxa"/>
            <w:tcBorders/>
            <w:shd w:fill="CCEEFF" w:val="clear"/>
            <w:vAlign w:val="bottom"/>
          </w:tcPr>
          <w:p>
            <w:pPr>
              <w:pStyle w:val="TableContents"/>
              <w:bidi w:val="0"/>
              <w:spacing w:before="0" w:after="283"/>
              <w:jc w:val="left"/>
              <w:rPr/>
            </w:pPr>
            <w:r>
              <w:rPr/>
              <w:t> </w:t>
            </w:r>
          </w:p>
        </w:tc>
      </w:tr>
      <w:tr>
        <w:trPr/>
        <w:tc>
          <w:tcPr>
            <w:tcW w:w="26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Special mention</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6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Substandard</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w:t>
            </w:r>
          </w:p>
        </w:tc>
        <w:tc>
          <w:tcPr>
            <w:tcW w:w="75" w:type="dxa"/>
            <w:tcBorders/>
            <w:shd w:fill="CCEEFF" w:val="clear"/>
            <w:vAlign w:val="bottom"/>
          </w:tcPr>
          <w:p>
            <w:pPr>
              <w:pStyle w:val="TableContents"/>
              <w:bidi w:val="0"/>
              <w:spacing w:before="0" w:after="283"/>
              <w:jc w:val="left"/>
              <w:rPr/>
            </w:pPr>
            <w:r>
              <w:rPr/>
              <w:t> </w:t>
            </w:r>
          </w:p>
        </w:tc>
      </w:tr>
      <w:tr>
        <w:trPr/>
        <w:tc>
          <w:tcPr>
            <w:tcW w:w="2630" w:type="dxa"/>
            <w:tcBorders/>
            <w:vAlign w:val="bottom"/>
          </w:tcPr>
          <w:p>
            <w:pPr>
              <w:pStyle w:val="TableContents"/>
              <w:bidi w:val="0"/>
              <w:spacing w:before="0" w:after="283"/>
              <w:jc w:val="left"/>
              <w:rPr/>
            </w:pPr>
            <w:r>
              <w:rPr/>
              <w:t>Doubtful</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33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26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26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263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Total construction loans</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24,337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89,774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33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26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4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145,413</w:t>
            </w:r>
          </w:p>
        </w:tc>
        <w:tc>
          <w:tcPr>
            <w:tcW w:w="75" w:type="dxa"/>
            <w:tcBorders/>
            <w:shd w:fill="CCEEFF" w:val="clear"/>
            <w:vAlign w:val="bottom"/>
          </w:tcPr>
          <w:p>
            <w:pPr>
              <w:pStyle w:val="TableContents"/>
              <w:bidi w:val="0"/>
              <w:spacing w:before="0" w:after="283"/>
              <w:jc w:val="left"/>
              <w:rPr/>
            </w:pPr>
            <w:r>
              <w:rPr/>
              <w:t> </w:t>
            </w:r>
          </w:p>
        </w:tc>
      </w:tr>
      <w:tr>
        <w:trPr/>
        <w:tc>
          <w:tcPr>
            <w:tcW w:w="263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Current period gross charge-offs</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272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33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26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26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48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272</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summarizes loans by credit quality indicator at December 31, 2022 (dollars in thousands):</w:t>
      </w:r>
    </w:p>
    <w:p>
      <w:pPr>
        <w:pStyle w:val="TextBody"/>
        <w:bidi w:val="0"/>
        <w:spacing w:before="0" w:after="0"/>
        <w:jc w:val="left"/>
        <w:rPr/>
      </w:pPr>
      <w:r>
        <w:rPr/>
      </w:r>
    </w:p>
    <w:tbl>
      <w:tblPr>
        <w:tblW w:w="7210" w:type="dxa"/>
        <w:jc w:val="left"/>
        <w:tblInd w:w="0" w:type="dxa"/>
        <w:tblLayout w:type="fixed"/>
        <w:tblCellMar>
          <w:top w:w="0" w:type="dxa"/>
          <w:left w:w="0" w:type="dxa"/>
          <w:bottom w:w="0" w:type="dxa"/>
          <w:right w:w="0" w:type="dxa"/>
        </w:tblCellMar>
      </w:tblPr>
      <w:tblGrid>
        <w:gridCol w:w="2090"/>
        <w:gridCol w:w="60"/>
        <w:gridCol w:w="125"/>
        <w:gridCol w:w="845"/>
        <w:gridCol w:w="60"/>
        <w:gridCol w:w="60"/>
        <w:gridCol w:w="235"/>
        <w:gridCol w:w="490"/>
        <w:gridCol w:w="60"/>
        <w:gridCol w:w="60"/>
        <w:gridCol w:w="189"/>
        <w:gridCol w:w="896"/>
        <w:gridCol w:w="60"/>
        <w:gridCol w:w="60"/>
        <w:gridCol w:w="245"/>
        <w:gridCol w:w="510"/>
        <w:gridCol w:w="60"/>
        <w:gridCol w:w="60"/>
        <w:gridCol w:w="125"/>
        <w:gridCol w:w="845"/>
        <w:gridCol w:w="75"/>
      </w:tblGrid>
      <w:tr>
        <w:trPr/>
        <w:tc>
          <w:tcPr>
            <w:tcW w:w="20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Pass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Special</w:t>
            </w:r>
          </w:p>
          <w:p>
            <w:pPr>
              <w:pStyle w:val="TableContents"/>
              <w:bidi w:val="0"/>
              <w:spacing w:before="0" w:after="0"/>
              <w:jc w:val="center"/>
              <w:rPr>
                <w:rFonts w:ascii="Times New Roman" w:hAnsi="Times New Roman"/>
                <w:b/>
                <w:sz w:val="20"/>
              </w:rPr>
            </w:pPr>
            <w:r>
              <w:rPr>
                <w:rFonts w:ascii="Times New Roman" w:hAnsi="Times New Roman"/>
                <w:b/>
                <w:sz w:val="20"/>
              </w:rPr>
              <w:t>Mention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Substandard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Doubtful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893,312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26,046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919,358</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326,987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327,513</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451,639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33,144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484,783</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450,034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460,124</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321,158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5"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321,476</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81,109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5"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81,308</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151,995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5" w:type="dxa"/>
            <w:tcBorders>
              <w:bottom w:val="single" w:sz="12" w:space="0" w:color="000000"/>
            </w:tcBorders>
            <w:tcMar>
              <w:bottom w:w="28" w:type="dxa"/>
            </w:tcMar>
            <w:vAlign w:val="bottom"/>
          </w:tcPr>
          <w:p>
            <w:pPr>
              <w:pStyle w:val="TableContents"/>
              <w:bidi w:val="0"/>
              <w:spacing w:before="0" w:after="283"/>
              <w:jc w:val="left"/>
              <w:rPr/>
            </w:pPr>
            <w:r>
              <w:rPr/>
              <w:t> </w:t>
            </w:r>
          </w:p>
        </w:tc>
        <w:tc>
          <w:tcPr>
            <w:tcW w:w="49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9" w:type="dxa"/>
            <w:tcBorders>
              <w:bottom w:val="single" w:sz="12" w:space="0" w:color="000000"/>
            </w:tcBorders>
            <w:tcMar>
              <w:bottom w:w="28" w:type="dxa"/>
            </w:tcMar>
            <w:vAlign w:val="bottom"/>
          </w:tcPr>
          <w:p>
            <w:pPr>
              <w:pStyle w:val="TableContents"/>
              <w:bidi w:val="0"/>
              <w:spacing w:before="0" w:after="283"/>
              <w:jc w:val="left"/>
              <w:rPr/>
            </w:pPr>
            <w:r>
              <w:rPr/>
              <w:t> </w:t>
            </w:r>
          </w:p>
        </w:tc>
        <w:tc>
          <w:tcPr>
            <w:tcW w:w="8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51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153,519</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2,676,234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90"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71,847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0" w:type="dxa"/>
            <w:tcBorders>
              <w:bottom w:val="double" w:sz="8"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2,748,081</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allowance for credit losses.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For the loans included in the “combination” columns below, multiple types of modifications have been made on the same loan within the current reporting period. </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60" w:after="60"/>
        <w:jc w:val="both"/>
        <w:rPr>
          <w:rFonts w:ascii="Times New Roman" w:hAnsi="Times New Roman"/>
          <w:color w:val="000000"/>
          <w:sz w:val="20"/>
        </w:rPr>
      </w:pPr>
      <w:r>
        <w:rPr>
          <w:rFonts w:ascii="Times New Roman" w:hAnsi="Times New Roman"/>
          <w:color w:val="000000"/>
          <w:sz w:val="20"/>
        </w:rPr>
        <w:t>The following tables present the amortized cost basis of loans at June 30, 2023 that were both experiencing financial difficulty and modified during the periods indicated by class and by type of modification.  The percentage of the amortized cost basis of loans that were modified to borrowers in financial distress as compared to the amortized cost bases of each class of financing receivable is also presented below (dollars in thousands):</w:t>
      </w:r>
    </w:p>
    <w:p>
      <w:pPr>
        <w:pStyle w:val="TextBody"/>
        <w:bidi w:val="0"/>
        <w:spacing w:before="0" w:after="0"/>
        <w:ind w:left="0" w:right="0" w:hanging="0"/>
        <w:jc w:val="left"/>
        <w:rPr>
          <w:rFonts w:ascii="Times New Roman" w:hAnsi="Times New Roman"/>
        </w:rPr>
      </w:pPr>
      <w:r>
        <w:rPr>
          <w:rFonts w:ascii="Times New Roman" w:hAnsi="Times New Roman"/>
        </w:rPr>
      </w:r>
    </w:p>
    <w:tbl>
      <w:tblPr>
        <w:tblW w:w="10205" w:type="dxa"/>
        <w:jc w:val="left"/>
        <w:tblInd w:w="0" w:type="dxa"/>
        <w:tblLayout w:type="fixed"/>
        <w:tblCellMar>
          <w:top w:w="0" w:type="dxa"/>
          <w:left w:w="0" w:type="dxa"/>
          <w:bottom w:w="0" w:type="dxa"/>
          <w:right w:w="0" w:type="dxa"/>
        </w:tblCellMar>
      </w:tblPr>
      <w:tblGrid>
        <w:gridCol w:w="2073"/>
        <w:gridCol w:w="60"/>
        <w:gridCol w:w="215"/>
        <w:gridCol w:w="579"/>
        <w:gridCol w:w="60"/>
        <w:gridCol w:w="60"/>
        <w:gridCol w:w="176"/>
        <w:gridCol w:w="684"/>
        <w:gridCol w:w="60"/>
        <w:gridCol w:w="60"/>
        <w:gridCol w:w="233"/>
        <w:gridCol w:w="627"/>
        <w:gridCol w:w="60"/>
        <w:gridCol w:w="60"/>
        <w:gridCol w:w="357"/>
        <w:gridCol w:w="743"/>
        <w:gridCol w:w="60"/>
        <w:gridCol w:w="60"/>
        <w:gridCol w:w="440"/>
        <w:gridCol w:w="820"/>
        <w:gridCol w:w="60"/>
        <w:gridCol w:w="60"/>
        <w:gridCol w:w="431"/>
        <w:gridCol w:w="803"/>
        <w:gridCol w:w="60"/>
        <w:gridCol w:w="60"/>
        <w:gridCol w:w="282"/>
        <w:gridCol w:w="771"/>
        <w:gridCol w:w="191"/>
      </w:tblGrid>
      <w:tr>
        <w:trPr/>
        <w:tc>
          <w:tcPr>
            <w:tcW w:w="2073"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7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Payment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Extension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Extension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and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Payment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Extension and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Interest Rate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Reduction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 xml:space="preserve">Payment </w:t>
            </w:r>
          </w:p>
          <w:p>
            <w:pPr>
              <w:pStyle w:val="TableContents"/>
              <w:bidi w:val="0"/>
              <w:spacing w:before="0" w:after="0"/>
              <w:jc w:val="center"/>
              <w:rPr>
                <w:rFonts w:ascii="Times New Roman" w:hAnsi="Times New Roman"/>
                <w:b/>
              </w:rPr>
            </w:pPr>
            <w:r>
              <w:rPr>
                <w:rFonts w:ascii="Times New Roman" w:hAnsi="Times New Roman"/>
                <w:b/>
              </w:rPr>
              <w:t xml:space="preserve">Delay and </w:t>
            </w:r>
          </w:p>
          <w:p>
            <w:pPr>
              <w:pStyle w:val="TableContents"/>
              <w:bidi w:val="0"/>
              <w:spacing w:before="0" w:after="0"/>
              <w:jc w:val="center"/>
              <w:rPr>
                <w:rFonts w:ascii="Times New Roman" w:hAnsi="Times New Roman"/>
                <w:b/>
              </w:rPr>
            </w:pPr>
            <w:r>
              <w:rPr>
                <w:rFonts w:ascii="Times New Roman" w:hAnsi="Times New Roman"/>
                <w:b/>
              </w:rPr>
              <w:t xml:space="preserve">Interest Rate </w:t>
            </w:r>
          </w:p>
          <w:p>
            <w:pPr>
              <w:pStyle w:val="TableContents"/>
              <w:bidi w:val="0"/>
              <w:spacing w:before="0" w:after="0"/>
              <w:jc w:val="center"/>
              <w:rPr>
                <w:rFonts w:ascii="Times New Roman" w:hAnsi="Times New Roman"/>
                <w:b/>
              </w:rPr>
            </w:pPr>
            <w:r>
              <w:rPr>
                <w:rFonts w:ascii="Times New Roman" w:hAnsi="Times New Roman"/>
                <w:b/>
              </w:rPr>
              <w:t>Reduction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 xml:space="preserve">Payment </w:t>
            </w:r>
          </w:p>
          <w:p>
            <w:pPr>
              <w:pStyle w:val="TableContents"/>
              <w:bidi w:val="0"/>
              <w:spacing w:before="0" w:after="0"/>
              <w:jc w:val="center"/>
              <w:rPr>
                <w:rFonts w:ascii="Times New Roman" w:hAnsi="Times New Roman"/>
                <w:b/>
              </w:rPr>
            </w:pPr>
            <w:r>
              <w:rPr>
                <w:rFonts w:ascii="Times New Roman" w:hAnsi="Times New Roman"/>
                <w:b/>
              </w:rPr>
              <w:t xml:space="preserve">Delay, Term </w:t>
            </w:r>
          </w:p>
          <w:p>
            <w:pPr>
              <w:pStyle w:val="TableContents"/>
              <w:bidi w:val="0"/>
              <w:spacing w:before="0" w:after="0"/>
              <w:jc w:val="center"/>
              <w:rPr>
                <w:rFonts w:ascii="Times New Roman" w:hAnsi="Times New Roman"/>
                <w:b/>
              </w:rPr>
            </w:pPr>
            <w:r>
              <w:rPr>
                <w:rFonts w:ascii="Times New Roman" w:hAnsi="Times New Roman"/>
                <w:b/>
              </w:rPr>
              <w:t xml:space="preserve">Extension, </w:t>
            </w:r>
          </w:p>
          <w:p>
            <w:pPr>
              <w:pStyle w:val="TableContents"/>
              <w:bidi w:val="0"/>
              <w:spacing w:before="0" w:after="0"/>
              <w:jc w:val="center"/>
              <w:rPr>
                <w:rFonts w:ascii="Times New Roman" w:hAnsi="Times New Roman"/>
                <w:b/>
              </w:rPr>
            </w:pPr>
            <w:r>
              <w:rPr>
                <w:rFonts w:ascii="Times New Roman" w:hAnsi="Times New Roman"/>
                <w:b/>
              </w:rPr>
              <w:t xml:space="preserve">and Interest </w:t>
            </w:r>
          </w:p>
          <w:p>
            <w:pPr>
              <w:pStyle w:val="TableContents"/>
              <w:bidi w:val="0"/>
              <w:spacing w:before="0" w:after="0"/>
              <w:jc w:val="center"/>
              <w:rPr>
                <w:rFonts w:ascii="Times New Roman" w:hAnsi="Times New Roman"/>
                <w:b/>
              </w:rPr>
            </w:pPr>
            <w:r>
              <w:rPr>
                <w:rFonts w:ascii="Times New Roman" w:hAnsi="Times New Roman"/>
                <w:b/>
              </w:rPr>
              <w:t xml:space="preserve">Rate </w:t>
            </w:r>
          </w:p>
          <w:p>
            <w:pPr>
              <w:pStyle w:val="TableContents"/>
              <w:bidi w:val="0"/>
              <w:spacing w:before="0" w:after="0"/>
              <w:jc w:val="center"/>
              <w:rPr>
                <w:rFonts w:ascii="Times New Roman" w:hAnsi="Times New Roman"/>
                <w:b/>
              </w:rPr>
            </w:pPr>
            <w:r>
              <w:rPr>
                <w:rFonts w:ascii="Times New Roman" w:hAnsi="Times New Roman"/>
                <w:b/>
              </w:rPr>
              <w:t xml:space="preserve">Reduction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Total Class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of Financing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Receivable</w:t>
            </w:r>
          </w:p>
        </w:tc>
        <w:tc>
          <w:tcPr>
            <w:tcW w:w="191" w:type="dxa"/>
            <w:tcBorders/>
            <w:vAlign w:val="bottom"/>
          </w:tcPr>
          <w:p>
            <w:pPr>
              <w:pStyle w:val="TableContents"/>
              <w:bidi w:val="0"/>
              <w:spacing w:before="0" w:after="283"/>
              <w:jc w:val="left"/>
              <w:rPr/>
            </w:pPr>
            <w:r>
              <w:rPr/>
              <w:t> </w:t>
            </w:r>
          </w:p>
        </w:tc>
      </w:tr>
      <w:tr>
        <w:trPr/>
        <w:tc>
          <w:tcPr>
            <w:tcW w:w="20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3" w:type="dxa"/>
            <w:gridSpan w:val="2"/>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2073" w:type="dxa"/>
            <w:tcBorders/>
            <w:vAlign w:val="bottom"/>
          </w:tcPr>
          <w:p>
            <w:pPr>
              <w:pStyle w:val="TableContents"/>
              <w:bidi w:val="0"/>
              <w:spacing w:before="0" w:after="0"/>
              <w:ind w:left="180" w:right="0" w:hanging="180"/>
              <w:jc w:val="left"/>
              <w:rPr>
                <w:rFonts w:ascii="Times New Roman" w:hAnsi="Times New Roman"/>
                <w:color w:val="000000"/>
                <w:sz w:val="20"/>
                <w:u w:val="single"/>
              </w:rPr>
            </w:pPr>
            <w:r>
              <w:rPr>
                <w:rFonts w:ascii="Times New Roman" w:hAnsi="Times New Roman"/>
                <w:color w:val="000000"/>
                <w:sz w:val="20"/>
                <w:u w:val="single"/>
              </w:rPr>
              <w:t>Three Months Ended June 30, 2023</w:t>
            </w:r>
          </w:p>
        </w:tc>
        <w:tc>
          <w:tcPr>
            <w:tcW w:w="60" w:type="dxa"/>
            <w:tcBorders/>
            <w:vAlign w:val="bottom"/>
          </w:tcPr>
          <w:p>
            <w:pPr>
              <w:pStyle w:val="TableContents"/>
              <w:bidi w:val="0"/>
              <w:spacing w:before="0" w:after="283"/>
              <w:jc w:val="left"/>
              <w:rPr/>
            </w:pPr>
            <w:r>
              <w:rPr/>
              <w:t> </w:t>
            </w:r>
          </w:p>
        </w:tc>
        <w:tc>
          <w:tcPr>
            <w:tcW w:w="79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3" w:type="dxa"/>
            <w:gridSpan w:val="2"/>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2073"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40"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431"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7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0.01</w:t>
            </w:r>
          </w:p>
        </w:tc>
        <w:tc>
          <w:tcPr>
            <w:tcW w:w="1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073"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5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40" w:type="dxa"/>
            <w:tcBorders/>
            <w:vAlign w:val="bottom"/>
          </w:tcPr>
          <w:p>
            <w:pPr>
              <w:pStyle w:val="TableContents"/>
              <w:bidi w:val="0"/>
              <w:spacing w:before="0" w:after="283"/>
              <w:jc w:val="right"/>
              <w:rPr/>
            </w:pPr>
            <w:r>
              <w:rPr/>
              <w:t> </w:t>
            </w:r>
          </w:p>
        </w:tc>
        <w:tc>
          <w:tcPr>
            <w:tcW w:w="8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431" w:type="dxa"/>
            <w:tcBorders/>
            <w:vAlign w:val="bottom"/>
          </w:tcPr>
          <w:p>
            <w:pPr>
              <w:pStyle w:val="TableContents"/>
              <w:bidi w:val="0"/>
              <w:spacing w:before="0" w:after="283"/>
              <w:jc w:val="right"/>
              <w:rPr/>
            </w:pPr>
            <w:r>
              <w:rPr/>
              <w:t> </w:t>
            </w:r>
          </w:p>
        </w:tc>
        <w:tc>
          <w:tcPr>
            <w:tcW w:w="8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0.25</w:t>
            </w:r>
          </w:p>
        </w:tc>
        <w:tc>
          <w:tcPr>
            <w:tcW w:w="19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40" w:type="dxa"/>
            <w:tcBorders/>
            <w:shd w:fill="CCEEFF" w:val="clear"/>
            <w:vAlign w:val="bottom"/>
          </w:tcPr>
          <w:p>
            <w:pPr>
              <w:pStyle w:val="TableContents"/>
              <w:bidi w:val="0"/>
              <w:spacing w:before="0" w:after="283"/>
              <w:jc w:val="right"/>
              <w:rPr/>
            </w:pPr>
            <w:r>
              <w:rPr/>
              <w:t> </w:t>
            </w:r>
          </w:p>
        </w:tc>
        <w:tc>
          <w:tcPr>
            <w:tcW w:w="8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431" w:type="dxa"/>
            <w:tcBorders/>
            <w:shd w:fill="CCEEFF" w:val="clear"/>
            <w:vAlign w:val="bottom"/>
          </w:tcPr>
          <w:p>
            <w:pPr>
              <w:pStyle w:val="TableContents"/>
              <w:bidi w:val="0"/>
              <w:spacing w:before="0" w:after="283"/>
              <w:jc w:val="right"/>
              <w:rPr/>
            </w:pPr>
            <w:r>
              <w:rPr/>
              <w:t> </w:t>
            </w:r>
          </w:p>
        </w:tc>
        <w:tc>
          <w:tcPr>
            <w:tcW w:w="803"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39</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0.60</w:t>
            </w:r>
          </w:p>
        </w:tc>
        <w:tc>
          <w:tcPr>
            <w:tcW w:w="1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073"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5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40" w:type="dxa"/>
            <w:tcBorders/>
            <w:vAlign w:val="bottom"/>
          </w:tcPr>
          <w:p>
            <w:pPr>
              <w:pStyle w:val="TableContents"/>
              <w:bidi w:val="0"/>
              <w:spacing w:before="0" w:after="283"/>
              <w:jc w:val="right"/>
              <w:rPr/>
            </w:pPr>
            <w:r>
              <w:rPr/>
              <w:t> </w:t>
            </w:r>
          </w:p>
        </w:tc>
        <w:tc>
          <w:tcPr>
            <w:tcW w:w="8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431" w:type="dxa"/>
            <w:tcBorders/>
            <w:vAlign w:val="bottom"/>
          </w:tcPr>
          <w:p>
            <w:pPr>
              <w:pStyle w:val="TableContents"/>
              <w:bidi w:val="0"/>
              <w:spacing w:before="0" w:after="283"/>
              <w:jc w:val="right"/>
              <w:rPr/>
            </w:pPr>
            <w:r>
              <w:rPr/>
              <w:t> </w:t>
            </w:r>
          </w:p>
        </w:tc>
        <w:tc>
          <w:tcPr>
            <w:tcW w:w="8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r>
      <w:tr>
        <w:trPr/>
        <w:tc>
          <w:tcPr>
            <w:tcW w:w="2073"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1-4 family</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40" w:type="dxa"/>
            <w:tcBorders/>
            <w:shd w:fill="CCEEFF" w:val="clear"/>
            <w:vAlign w:val="bottom"/>
          </w:tcPr>
          <w:p>
            <w:pPr>
              <w:pStyle w:val="TableContents"/>
              <w:bidi w:val="0"/>
              <w:spacing w:before="0" w:after="283"/>
              <w:jc w:val="right"/>
              <w:rPr/>
            </w:pPr>
            <w:r>
              <w:rPr/>
              <w:t> </w:t>
            </w:r>
          </w:p>
        </w:tc>
        <w:tc>
          <w:tcPr>
            <w:tcW w:w="82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431" w:type="dxa"/>
            <w:tcBorders/>
            <w:shd w:fill="CCEEFF" w:val="clear"/>
            <w:vAlign w:val="bottom"/>
          </w:tcPr>
          <w:p>
            <w:pPr>
              <w:pStyle w:val="TableContents"/>
              <w:bidi w:val="0"/>
              <w:spacing w:before="0" w:after="283"/>
              <w:jc w:val="right"/>
              <w:rPr/>
            </w:pPr>
            <w:r>
              <w:rPr/>
              <w:t> </w:t>
            </w:r>
          </w:p>
        </w:tc>
        <w:tc>
          <w:tcPr>
            <w:tcW w:w="803"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13</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0.04</w:t>
            </w:r>
          </w:p>
        </w:tc>
        <w:tc>
          <w:tcPr>
            <w:tcW w:w="1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073"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579"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5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40" w:type="dxa"/>
            <w:tcBorders/>
            <w:vAlign w:val="bottom"/>
          </w:tcPr>
          <w:p>
            <w:pPr>
              <w:pStyle w:val="TableContents"/>
              <w:bidi w:val="0"/>
              <w:spacing w:before="0" w:after="283"/>
              <w:jc w:val="right"/>
              <w:rPr/>
            </w:pPr>
            <w:r>
              <w:rPr/>
              <w:t> </w:t>
            </w:r>
          </w:p>
        </w:tc>
        <w:tc>
          <w:tcPr>
            <w:tcW w:w="82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431" w:type="dxa"/>
            <w:tcBorders/>
            <w:vAlign w:val="bottom"/>
          </w:tcPr>
          <w:p>
            <w:pPr>
              <w:pStyle w:val="TableContents"/>
              <w:bidi w:val="0"/>
              <w:spacing w:before="0" w:after="283"/>
              <w:jc w:val="right"/>
              <w:rPr/>
            </w:pPr>
            <w:r>
              <w:rPr/>
              <w:t> </w:t>
            </w:r>
          </w:p>
        </w:tc>
        <w:tc>
          <w:tcPr>
            <w:tcW w:w="8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9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57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40" w:type="dxa"/>
            <w:tcBorders/>
            <w:shd w:fill="CCEEFF" w:val="clear"/>
            <w:vAlign w:val="bottom"/>
          </w:tcPr>
          <w:p>
            <w:pPr>
              <w:pStyle w:val="TableContents"/>
              <w:bidi w:val="0"/>
              <w:spacing w:before="0" w:after="283"/>
              <w:jc w:val="right"/>
              <w:rPr/>
            </w:pPr>
            <w:r>
              <w:rPr/>
              <w:t> </w:t>
            </w:r>
          </w:p>
        </w:tc>
        <w:tc>
          <w:tcPr>
            <w:tcW w:w="82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13</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431" w:type="dxa"/>
            <w:tcBorders/>
            <w:shd w:fill="CCEEFF" w:val="clear"/>
            <w:vAlign w:val="bottom"/>
          </w:tcPr>
          <w:p>
            <w:pPr>
              <w:pStyle w:val="TableContents"/>
              <w:bidi w:val="0"/>
              <w:spacing w:before="0" w:after="283"/>
              <w:jc w:val="right"/>
              <w:rPr/>
            </w:pPr>
            <w:r>
              <w:rPr/>
              <w:t> </w:t>
            </w:r>
          </w:p>
        </w:tc>
        <w:tc>
          <w:tcPr>
            <w:tcW w:w="8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0.02</w:t>
            </w:r>
          </w:p>
        </w:tc>
        <w:tc>
          <w:tcPr>
            <w:tcW w:w="1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073"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right"/>
              <w:rPr/>
            </w:pPr>
            <w:r>
              <w:rPr/>
              <w:t> </w:t>
            </w:r>
          </w:p>
        </w:tc>
        <w:tc>
          <w:tcPr>
            <w:tcW w:w="215" w:type="dxa"/>
            <w:tcBorders>
              <w:bottom w:val="single" w:sz="12" w:space="0" w:color="000000"/>
            </w:tcBorders>
            <w:tcMar>
              <w:bottom w:w="28" w:type="dxa"/>
            </w:tcMar>
            <w:vAlign w:val="bottom"/>
          </w:tcPr>
          <w:p>
            <w:pPr>
              <w:pStyle w:val="TableContents"/>
              <w:bidi w:val="0"/>
              <w:spacing w:before="0" w:after="283"/>
              <w:jc w:val="left"/>
              <w:rPr/>
            </w:pPr>
            <w:r>
              <w:rPr/>
              <w:t> </w:t>
            </w:r>
          </w:p>
        </w:tc>
        <w:tc>
          <w:tcPr>
            <w:tcW w:w="57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6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bottom w:val="single" w:sz="12" w:space="0" w:color="000000"/>
            </w:tcBorders>
            <w:tcMar>
              <w:bottom w:w="28" w:type="dxa"/>
            </w:tcMar>
            <w:vAlign w:val="bottom"/>
          </w:tcPr>
          <w:p>
            <w:pPr>
              <w:pStyle w:val="TableContents"/>
              <w:bidi w:val="0"/>
              <w:spacing w:before="0" w:after="283"/>
              <w:jc w:val="left"/>
              <w:rPr/>
            </w:pPr>
            <w:r>
              <w:rPr/>
              <w:t> </w:t>
            </w:r>
          </w:p>
        </w:tc>
        <w:tc>
          <w:tcPr>
            <w:tcW w:w="62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57" w:type="dxa"/>
            <w:tcBorders>
              <w:bottom w:val="single" w:sz="12" w:space="0" w:color="000000"/>
            </w:tcBorders>
            <w:tcMar>
              <w:bottom w:w="28" w:type="dxa"/>
            </w:tcMar>
            <w:vAlign w:val="bottom"/>
          </w:tcPr>
          <w:p>
            <w:pPr>
              <w:pStyle w:val="TableContents"/>
              <w:bidi w:val="0"/>
              <w:spacing w:before="0" w:after="283"/>
              <w:jc w:val="left"/>
              <w:rPr/>
            </w:pPr>
            <w:r>
              <w:rPr/>
              <w:t> </w:t>
            </w:r>
          </w:p>
        </w:tc>
        <w:tc>
          <w:tcPr>
            <w:tcW w:w="74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40" w:type="dxa"/>
            <w:tcBorders>
              <w:bottom w:val="single" w:sz="12" w:space="0" w:color="000000"/>
            </w:tcBorders>
            <w:tcMar>
              <w:bottom w:w="28" w:type="dxa"/>
            </w:tcMar>
            <w:vAlign w:val="bottom"/>
          </w:tcPr>
          <w:p>
            <w:pPr>
              <w:pStyle w:val="TableContents"/>
              <w:bidi w:val="0"/>
              <w:spacing w:before="0" w:after="283"/>
              <w:jc w:val="right"/>
              <w:rPr/>
            </w:pPr>
            <w:r>
              <w:rPr/>
              <w:t> </w:t>
            </w:r>
          </w:p>
        </w:tc>
        <w:tc>
          <w:tcPr>
            <w:tcW w:w="82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431" w:type="dxa"/>
            <w:tcBorders>
              <w:bottom w:val="single" w:sz="12" w:space="0" w:color="000000"/>
            </w:tcBorders>
            <w:tcMar>
              <w:bottom w:w="28" w:type="dxa"/>
            </w:tcMar>
            <w:vAlign w:val="bottom"/>
          </w:tcPr>
          <w:p>
            <w:pPr>
              <w:pStyle w:val="TableContents"/>
              <w:bidi w:val="0"/>
              <w:spacing w:before="0" w:after="283"/>
              <w:jc w:val="right"/>
              <w:rPr/>
            </w:pPr>
            <w:r>
              <w:rPr/>
              <w:t> </w:t>
            </w:r>
          </w:p>
        </w:tc>
        <w:tc>
          <w:tcPr>
            <w:tcW w:w="803"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282" w:type="dxa"/>
            <w:tcBorders>
              <w:bottom w:val="single" w:sz="12" w:space="0" w:color="000000"/>
            </w:tcBorders>
            <w:tcMar>
              <w:bottom w:w="28" w:type="dxa"/>
            </w:tcMar>
            <w:vAlign w:val="bottom"/>
          </w:tcPr>
          <w:p>
            <w:pPr>
              <w:pStyle w:val="TableContents"/>
              <w:bidi w:val="0"/>
              <w:spacing w:before="0" w:after="283"/>
              <w:jc w:val="left"/>
              <w:rPr/>
            </w:pPr>
            <w:r>
              <w:rPr/>
              <w:t> </w:t>
            </w:r>
          </w:p>
        </w:tc>
        <w:tc>
          <w:tcPr>
            <w:tcW w:w="77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w:t>
            </w:r>
          </w:p>
        </w:tc>
        <w:tc>
          <w:tcPr>
            <w:tcW w:w="191"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21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5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40"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20"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13</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431"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03"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52</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282"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77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0.20</w:t>
            </w:r>
          </w:p>
        </w:tc>
        <w:tc>
          <w:tcPr>
            <w:tcW w:w="1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027"/>
        <w:gridCol w:w="60"/>
        <w:gridCol w:w="216"/>
        <w:gridCol w:w="580"/>
        <w:gridCol w:w="60"/>
        <w:gridCol w:w="60"/>
        <w:gridCol w:w="176"/>
        <w:gridCol w:w="684"/>
        <w:gridCol w:w="60"/>
        <w:gridCol w:w="60"/>
        <w:gridCol w:w="233"/>
        <w:gridCol w:w="627"/>
        <w:gridCol w:w="60"/>
        <w:gridCol w:w="60"/>
        <w:gridCol w:w="301"/>
        <w:gridCol w:w="813"/>
        <w:gridCol w:w="60"/>
        <w:gridCol w:w="60"/>
        <w:gridCol w:w="445"/>
        <w:gridCol w:w="828"/>
        <w:gridCol w:w="60"/>
        <w:gridCol w:w="60"/>
        <w:gridCol w:w="435"/>
        <w:gridCol w:w="810"/>
        <w:gridCol w:w="60"/>
        <w:gridCol w:w="60"/>
        <w:gridCol w:w="262"/>
        <w:gridCol w:w="798"/>
        <w:gridCol w:w="190"/>
      </w:tblGrid>
      <w:tr>
        <w:trPr/>
        <w:tc>
          <w:tcPr>
            <w:tcW w:w="2027"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79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Payment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Extension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Extension</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and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Payment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Extension and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Interest Rate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Reduction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 xml:space="preserve">Payment </w:t>
            </w:r>
          </w:p>
          <w:p>
            <w:pPr>
              <w:pStyle w:val="TableContents"/>
              <w:bidi w:val="0"/>
              <w:spacing w:before="0" w:after="0"/>
              <w:jc w:val="center"/>
              <w:rPr>
                <w:rFonts w:ascii="Times New Roman" w:hAnsi="Times New Roman"/>
                <w:b/>
              </w:rPr>
            </w:pPr>
            <w:r>
              <w:rPr>
                <w:rFonts w:ascii="Times New Roman" w:hAnsi="Times New Roman"/>
                <w:b/>
              </w:rPr>
              <w:t xml:space="preserve">Delay and </w:t>
            </w:r>
          </w:p>
          <w:p>
            <w:pPr>
              <w:pStyle w:val="TableContents"/>
              <w:bidi w:val="0"/>
              <w:spacing w:before="0" w:after="0"/>
              <w:jc w:val="center"/>
              <w:rPr>
                <w:rFonts w:ascii="Times New Roman" w:hAnsi="Times New Roman"/>
                <w:b/>
              </w:rPr>
            </w:pPr>
            <w:r>
              <w:rPr>
                <w:rFonts w:ascii="Times New Roman" w:hAnsi="Times New Roman"/>
                <w:b/>
              </w:rPr>
              <w:t xml:space="preserve">Interest Rate </w:t>
            </w:r>
          </w:p>
          <w:p>
            <w:pPr>
              <w:pStyle w:val="TableContents"/>
              <w:bidi w:val="0"/>
              <w:spacing w:before="0" w:after="0"/>
              <w:jc w:val="center"/>
              <w:rPr>
                <w:rFonts w:ascii="Times New Roman" w:hAnsi="Times New Roman"/>
                <w:b/>
              </w:rPr>
            </w:pPr>
            <w:r>
              <w:rPr>
                <w:rFonts w:ascii="Times New Roman" w:hAnsi="Times New Roman"/>
                <w:b/>
              </w:rPr>
              <w:t>Reduction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 xml:space="preserve">Payment </w:t>
            </w:r>
          </w:p>
          <w:p>
            <w:pPr>
              <w:pStyle w:val="TableContents"/>
              <w:bidi w:val="0"/>
              <w:spacing w:before="0" w:after="0"/>
              <w:jc w:val="center"/>
              <w:rPr>
                <w:rFonts w:ascii="Times New Roman" w:hAnsi="Times New Roman"/>
                <w:b/>
              </w:rPr>
            </w:pPr>
            <w:r>
              <w:rPr>
                <w:rFonts w:ascii="Times New Roman" w:hAnsi="Times New Roman"/>
                <w:b/>
              </w:rPr>
              <w:t xml:space="preserve">Delay, Term </w:t>
            </w:r>
          </w:p>
          <w:p>
            <w:pPr>
              <w:pStyle w:val="TableContents"/>
              <w:bidi w:val="0"/>
              <w:spacing w:before="0" w:after="0"/>
              <w:jc w:val="center"/>
              <w:rPr>
                <w:rFonts w:ascii="Times New Roman" w:hAnsi="Times New Roman"/>
                <w:b/>
              </w:rPr>
            </w:pPr>
            <w:r>
              <w:rPr>
                <w:rFonts w:ascii="Times New Roman" w:hAnsi="Times New Roman"/>
                <w:b/>
              </w:rPr>
              <w:t xml:space="preserve">Extension, </w:t>
            </w:r>
          </w:p>
          <w:p>
            <w:pPr>
              <w:pStyle w:val="TableContents"/>
              <w:bidi w:val="0"/>
              <w:spacing w:before="0" w:after="0"/>
              <w:jc w:val="center"/>
              <w:rPr>
                <w:rFonts w:ascii="Times New Roman" w:hAnsi="Times New Roman"/>
                <w:b/>
              </w:rPr>
            </w:pPr>
            <w:r>
              <w:rPr>
                <w:rFonts w:ascii="Times New Roman" w:hAnsi="Times New Roman"/>
                <w:b/>
              </w:rPr>
              <w:t xml:space="preserve">and Interest </w:t>
            </w:r>
          </w:p>
          <w:p>
            <w:pPr>
              <w:pStyle w:val="TableContents"/>
              <w:bidi w:val="0"/>
              <w:spacing w:before="0" w:after="0"/>
              <w:jc w:val="center"/>
              <w:rPr>
                <w:rFonts w:ascii="Times New Roman" w:hAnsi="Times New Roman"/>
                <w:b/>
              </w:rPr>
            </w:pPr>
            <w:r>
              <w:rPr>
                <w:rFonts w:ascii="Times New Roman" w:hAnsi="Times New Roman"/>
                <w:b/>
              </w:rPr>
              <w:t xml:space="preserve">Rate </w:t>
            </w:r>
          </w:p>
          <w:p>
            <w:pPr>
              <w:pStyle w:val="TableContents"/>
              <w:bidi w:val="0"/>
              <w:spacing w:before="0" w:after="0"/>
              <w:jc w:val="center"/>
              <w:rPr>
                <w:rFonts w:ascii="Times New Roman" w:hAnsi="Times New Roman"/>
                <w:b/>
              </w:rPr>
            </w:pPr>
            <w:r>
              <w:rPr>
                <w:rFonts w:ascii="Times New Roman" w:hAnsi="Times New Roman"/>
                <w:b/>
              </w:rPr>
              <w:t xml:space="preserve">Reduction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Total Class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of Financing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Receivable</w:t>
            </w:r>
          </w:p>
        </w:tc>
        <w:tc>
          <w:tcPr>
            <w:tcW w:w="190" w:type="dxa"/>
            <w:tcBorders/>
            <w:vAlign w:val="bottom"/>
          </w:tcPr>
          <w:p>
            <w:pPr>
              <w:pStyle w:val="TableContents"/>
              <w:bidi w:val="0"/>
              <w:spacing w:before="0" w:after="283"/>
              <w:jc w:val="left"/>
              <w:rPr/>
            </w:pPr>
            <w:r>
              <w:rPr/>
              <w:t> </w:t>
            </w:r>
          </w:p>
        </w:tc>
      </w:tr>
      <w:tr>
        <w:trPr/>
        <w:tc>
          <w:tcPr>
            <w:tcW w:w="20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0" w:type="dxa"/>
            <w:gridSpan w:val="2"/>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r>
      <w:tr>
        <w:trPr/>
        <w:tc>
          <w:tcPr>
            <w:tcW w:w="2027" w:type="dxa"/>
            <w:tcBorders/>
            <w:vAlign w:val="bottom"/>
          </w:tcPr>
          <w:p>
            <w:pPr>
              <w:pStyle w:val="TableContents"/>
              <w:bidi w:val="0"/>
              <w:spacing w:before="0" w:after="0"/>
              <w:ind w:left="180" w:right="0" w:hanging="180"/>
              <w:jc w:val="left"/>
              <w:rPr>
                <w:rFonts w:ascii="Times New Roman" w:hAnsi="Times New Roman"/>
                <w:color w:val="000000"/>
                <w:sz w:val="20"/>
                <w:u w:val="single"/>
              </w:rPr>
            </w:pPr>
            <w:r>
              <w:rPr>
                <w:rFonts w:ascii="Times New Roman" w:hAnsi="Times New Roman"/>
                <w:color w:val="000000"/>
                <w:sz w:val="20"/>
                <w:u w:val="single"/>
              </w:rPr>
              <w:t>Six Months Ended June 30, 2023</w:t>
            </w:r>
          </w:p>
        </w:tc>
        <w:tc>
          <w:tcPr>
            <w:tcW w:w="60" w:type="dxa"/>
            <w:tcBorders/>
            <w:vAlign w:val="bottom"/>
          </w:tcPr>
          <w:p>
            <w:pPr>
              <w:pStyle w:val="TableContents"/>
              <w:bidi w:val="0"/>
              <w:spacing w:before="0" w:after="283"/>
              <w:jc w:val="left"/>
              <w:rPr/>
            </w:pPr>
            <w:r>
              <w:rPr/>
              <w:t> </w:t>
            </w:r>
          </w:p>
        </w:tc>
        <w:tc>
          <w:tcPr>
            <w:tcW w:w="79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0" w:type="dxa"/>
            <w:gridSpan w:val="2"/>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r>
      <w:tr>
        <w:trPr/>
        <w:tc>
          <w:tcPr>
            <w:tcW w:w="2027"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1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4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2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5" w:type="dxa"/>
            <w:tcBorders/>
            <w:shd w:fill="CCEEFF" w:val="cle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1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0.01</w:t>
            </w:r>
          </w:p>
        </w:tc>
        <w:tc>
          <w:tcPr>
            <w:tcW w:w="1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027"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1"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45"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0.25</w:t>
            </w:r>
          </w:p>
        </w:tc>
        <w:tc>
          <w:tcPr>
            <w:tcW w:w="1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027"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1"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45"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0.97</w:t>
            </w:r>
          </w:p>
        </w:tc>
        <w:tc>
          <w:tcPr>
            <w:tcW w:w="1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027"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1"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45"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r>
      <w:tr>
        <w:trPr/>
        <w:tc>
          <w:tcPr>
            <w:tcW w:w="2027"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1-4 family</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1"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45"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0.08</w:t>
            </w:r>
          </w:p>
        </w:tc>
        <w:tc>
          <w:tcPr>
            <w:tcW w:w="1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027"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vAlign w:val="bottom"/>
          </w:tcPr>
          <w:p>
            <w:pPr>
              <w:pStyle w:val="TableContents"/>
              <w:bidi w:val="0"/>
              <w:spacing w:before="0" w:after="283"/>
              <w:jc w:val="left"/>
              <w:rPr/>
            </w:pPr>
            <w:r>
              <w:rPr/>
              <w:t> </w:t>
            </w:r>
          </w:p>
        </w:tc>
        <w:tc>
          <w:tcPr>
            <w:tcW w:w="62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1"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45"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2"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0.01</w:t>
            </w:r>
          </w:p>
        </w:tc>
        <w:tc>
          <w:tcPr>
            <w:tcW w:w="1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027"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shd w:fill="CCEEFF" w:val="clear"/>
            <w:vAlign w:val="bottom"/>
          </w:tcPr>
          <w:p>
            <w:pPr>
              <w:pStyle w:val="TableContents"/>
              <w:bidi w:val="0"/>
              <w:spacing w:before="0" w:after="283"/>
              <w:jc w:val="left"/>
              <w:rPr/>
            </w:pPr>
            <w:r>
              <w:rPr/>
              <w:t> </w:t>
            </w:r>
          </w:p>
        </w:tc>
        <w:tc>
          <w:tcPr>
            <w:tcW w:w="62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1"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45"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rFonts w:ascii="Times New Roman" w:hAnsi="Times New Roman"/>
              </w:rPr>
            </w:pPr>
            <w:r>
              <w:rPr>
                <w:rFonts w:ascii="Times New Roman" w:hAnsi="Times New Roman"/>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0.02</w:t>
            </w:r>
          </w:p>
        </w:tc>
        <w:tc>
          <w:tcPr>
            <w:tcW w:w="1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027"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right"/>
              <w:rPr/>
            </w:pPr>
            <w:r>
              <w:rPr/>
              <w:t> </w:t>
            </w:r>
          </w:p>
        </w:tc>
        <w:tc>
          <w:tcPr>
            <w:tcW w:w="216" w:type="dxa"/>
            <w:tcBorders>
              <w:bottom w:val="single" w:sz="12" w:space="0" w:color="000000"/>
            </w:tcBorders>
            <w:tcMar>
              <w:bottom w:w="28" w:type="dxa"/>
            </w:tcMar>
            <w:vAlign w:val="bottom"/>
          </w:tcPr>
          <w:p>
            <w:pPr>
              <w:pStyle w:val="TableContents"/>
              <w:bidi w:val="0"/>
              <w:spacing w:before="0" w:after="283"/>
              <w:jc w:val="left"/>
              <w:rPr/>
            </w:pPr>
            <w:r>
              <w:rPr/>
              <w:t> </w:t>
            </w:r>
          </w:p>
        </w:tc>
        <w:tc>
          <w:tcPr>
            <w:tcW w:w="5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68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3" w:type="dxa"/>
            <w:tcBorders>
              <w:bottom w:val="single" w:sz="12" w:space="0" w:color="000000"/>
            </w:tcBorders>
            <w:tcMar>
              <w:bottom w:w="28" w:type="dxa"/>
            </w:tcMar>
            <w:vAlign w:val="bottom"/>
          </w:tcPr>
          <w:p>
            <w:pPr>
              <w:pStyle w:val="TableContents"/>
              <w:bidi w:val="0"/>
              <w:spacing w:before="0" w:after="283"/>
              <w:jc w:val="left"/>
              <w:rPr/>
            </w:pPr>
            <w:r>
              <w:rPr/>
              <w:t> </w:t>
            </w:r>
          </w:p>
        </w:tc>
        <w:tc>
          <w:tcPr>
            <w:tcW w:w="62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1" w:type="dxa"/>
            <w:tcBorders>
              <w:bottom w:val="single" w:sz="12" w:space="0" w:color="000000"/>
            </w:tcBorders>
            <w:tcMar>
              <w:bottom w:w="28" w:type="dxa"/>
            </w:tcMar>
            <w:vAlign w:val="bottom"/>
          </w:tcPr>
          <w:p>
            <w:pPr>
              <w:pStyle w:val="TableContents"/>
              <w:bidi w:val="0"/>
              <w:spacing w:before="0" w:after="283"/>
              <w:jc w:val="left"/>
              <w:rPr/>
            </w:pPr>
            <w:r>
              <w:rPr/>
              <w:t> </w:t>
            </w:r>
          </w:p>
        </w:tc>
        <w:tc>
          <w:tcPr>
            <w:tcW w:w="8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28"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35" w:type="dxa"/>
            <w:tcBorders>
              <w:bottom w:val="single" w:sz="12" w:space="0" w:color="000000"/>
            </w:tcBorders>
            <w:tcMar>
              <w:bottom w:w="28" w:type="dxa"/>
            </w:tcMar>
            <w:vAlign w:val="bottom"/>
          </w:tcPr>
          <w:p>
            <w:pPr>
              <w:pStyle w:val="TableContents"/>
              <w:bidi w:val="0"/>
              <w:spacing w:before="0" w:after="283"/>
              <w:jc w:val="left"/>
              <w:rPr/>
            </w:pPr>
            <w:r>
              <w:rPr/>
              <w:t> </w:t>
            </w:r>
          </w:p>
        </w:tc>
        <w:tc>
          <w:tcPr>
            <w:tcW w:w="81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w:t>
            </w:r>
          </w:p>
        </w:tc>
        <w:tc>
          <w:tcPr>
            <w:tcW w:w="1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027"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21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8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13"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45"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28"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35" w:type="dxa"/>
            <w:tcBorders>
              <w:bottom w:val="double" w:sz="8" w:space="0" w:color="000000"/>
            </w:tcBorders>
            <w:shd w:fill="CCEEFF" w:val="clear"/>
            <w:tcMar>
              <w:bottom w:w="28" w:type="dxa"/>
            </w:tcMar>
            <w:vAlign w:val="bottom"/>
          </w:tcPr>
          <w:p>
            <w:pPr>
              <w:pStyle w:val="TableContents"/>
              <w:bidi w:val="0"/>
              <w:spacing w:before="0" w:after="283"/>
              <w:jc w:val="left"/>
              <w:rPr>
                <w:rFonts w:ascii="Times New Roman" w:hAnsi="Times New Roman"/>
              </w:rPr>
            </w:pPr>
            <w:r>
              <w:rPr>
                <w:rFonts w:ascii="Times New Roman" w:hAnsi="Times New Roman"/>
              </w:rPr>
              <w:t>$</w:t>
            </w:r>
          </w:p>
        </w:tc>
        <w:tc>
          <w:tcPr>
            <w:tcW w:w="810" w:type="dxa"/>
            <w:tcBorders>
              <w:bottom w:val="double" w:sz="8" w:space="0" w:color="000000"/>
            </w:tcBorders>
            <w:shd w:fill="CCEEFF" w:val="clear"/>
            <w:tcMar>
              <w:bottom w:w="28" w:type="dxa"/>
            </w:tcMar>
            <w:vAlign w:val="bottom"/>
          </w:tcPr>
          <w:p>
            <w:pPr>
              <w:pStyle w:val="TableContents"/>
              <w:bidi w:val="0"/>
              <w:spacing w:before="0" w:after="283"/>
              <w:jc w:val="right"/>
              <w:rPr>
                <w:rFonts w:ascii="Times New Roman" w:hAnsi="Times New Roman"/>
              </w:rPr>
            </w:pPr>
            <w:r>
              <w:rPr>
                <w:rFonts w:ascii="Times New Roman" w:hAnsi="Times New Roman"/>
              </w:rPr>
              <w:t>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0.28</w:t>
            </w:r>
          </w:p>
        </w:tc>
        <w:tc>
          <w:tcPr>
            <w:tcW w:w="1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The Company closely monitors the performance of loans that are modified to borrowers experiencing financial difficulty to understand the effectiveness of its modification efforts.  The following presents the performance of such loans that have been modified in the six months ended June 30, 2023 (dollars in thousands):</w:t>
      </w:r>
    </w:p>
    <w:p>
      <w:pPr>
        <w:pStyle w:val="TextBody"/>
        <w:bidi w:val="0"/>
        <w:spacing w:before="0" w:after="0"/>
        <w:ind w:left="0" w:right="0" w:hanging="0"/>
        <w:jc w:val="both"/>
        <w:rPr>
          <w:rFonts w:ascii="Times New Roman" w:hAnsi="Times New Roman"/>
        </w:rPr>
      </w:pPr>
      <w:r>
        <w:rPr>
          <w:rFonts w:ascii="Times New Roman" w:hAnsi="Times New Roman"/>
        </w:rPr>
      </w:r>
    </w:p>
    <w:tbl>
      <w:tblPr>
        <w:tblW w:w="5703" w:type="dxa"/>
        <w:jc w:val="left"/>
        <w:tblInd w:w="0" w:type="dxa"/>
        <w:tblLayout w:type="fixed"/>
        <w:tblCellMar>
          <w:top w:w="0" w:type="dxa"/>
          <w:left w:w="0" w:type="dxa"/>
          <w:bottom w:w="0" w:type="dxa"/>
          <w:right w:w="0" w:type="dxa"/>
        </w:tblCellMar>
      </w:tblPr>
      <w:tblGrid>
        <w:gridCol w:w="2090"/>
        <w:gridCol w:w="60"/>
        <w:gridCol w:w="262"/>
        <w:gridCol w:w="702"/>
        <w:gridCol w:w="60"/>
        <w:gridCol w:w="60"/>
        <w:gridCol w:w="409"/>
        <w:gridCol w:w="855"/>
        <w:gridCol w:w="60"/>
        <w:gridCol w:w="60"/>
        <w:gridCol w:w="206"/>
        <w:gridCol w:w="804"/>
        <w:gridCol w:w="75"/>
      </w:tblGrid>
      <w:tr>
        <w:trPr/>
        <w:tc>
          <w:tcPr>
            <w:tcW w:w="209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30-89 Days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Past Due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90 Days or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More Past Due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and Still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Accruing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Nonaccrual</w:t>
            </w:r>
          </w:p>
        </w:tc>
        <w:tc>
          <w:tcPr>
            <w:tcW w:w="75" w:type="dxa"/>
            <w:tcBorders/>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June 30, 2023</w:t>
            </w:r>
          </w:p>
        </w:tc>
        <w:tc>
          <w:tcPr>
            <w:tcW w:w="60"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4"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right"/>
              <w:rPr/>
            </w:pPr>
            <w:r>
              <w:rPr/>
              <w:t> </w:t>
            </w:r>
          </w:p>
        </w:tc>
        <w:tc>
          <w:tcPr>
            <w:tcW w:w="262"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9"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9"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1,682</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right"/>
              <w:rPr/>
            </w:pPr>
            <w:r>
              <w:rPr/>
              <w:t> </w:t>
            </w:r>
          </w:p>
        </w:tc>
        <w:tc>
          <w:tcPr>
            <w:tcW w:w="262"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9"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9"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right"/>
              <w:rPr/>
            </w:pPr>
            <w:r>
              <w:rPr/>
              <w:t> </w:t>
            </w:r>
          </w:p>
        </w:tc>
        <w:tc>
          <w:tcPr>
            <w:tcW w:w="262" w:type="dxa"/>
            <w:tcBorders/>
            <w:vAlign w:val="bottom"/>
          </w:tcPr>
          <w:p>
            <w:pPr>
              <w:pStyle w:val="TableContents"/>
              <w:bidi w:val="0"/>
              <w:spacing w:before="0" w:after="283"/>
              <w:jc w:val="left"/>
              <w:rPr/>
            </w:pPr>
            <w:r>
              <w:rPr/>
              <w:t> </w:t>
            </w:r>
          </w:p>
        </w:tc>
        <w:tc>
          <w:tcPr>
            <w:tcW w:w="702"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9"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283"/>
              <w:jc w:val="left"/>
              <w:rPr/>
            </w:pPr>
            <w:r>
              <w:rPr/>
              <w:t> </w:t>
            </w:r>
          </w:p>
        </w:tc>
        <w:tc>
          <w:tcPr>
            <w:tcW w:w="702"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9"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0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right"/>
              <w:rPr/>
            </w:pPr>
            <w:r>
              <w:rPr/>
              <w:t> </w:t>
            </w:r>
          </w:p>
        </w:tc>
        <w:tc>
          <w:tcPr>
            <w:tcW w:w="262" w:type="dxa"/>
            <w:tcBorders>
              <w:bottom w:val="single" w:sz="12" w:space="0" w:color="000000"/>
            </w:tcBorders>
            <w:tcMar>
              <w:bottom w:w="28" w:type="dxa"/>
            </w:tcMar>
            <w:vAlign w:val="bottom"/>
          </w:tcPr>
          <w:p>
            <w:pPr>
              <w:pStyle w:val="TableContents"/>
              <w:bidi w:val="0"/>
              <w:spacing w:before="0" w:after="283"/>
              <w:jc w:val="left"/>
              <w:rPr/>
            </w:pPr>
            <w:r>
              <w:rPr/>
              <w:t> </w:t>
            </w:r>
          </w:p>
        </w:tc>
        <w:tc>
          <w:tcPr>
            <w:tcW w:w="70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09" w:type="dxa"/>
            <w:tcBorders>
              <w:bottom w:val="single" w:sz="12" w:space="0" w:color="000000"/>
            </w:tcBorders>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6" w:type="dxa"/>
            <w:tcBorders>
              <w:bottom w:val="single" w:sz="12" w:space="0" w:color="000000"/>
            </w:tcBorders>
            <w:tcMar>
              <w:bottom w:w="28" w:type="dxa"/>
            </w:tcMar>
            <w:vAlign w:val="bottom"/>
          </w:tcPr>
          <w:p>
            <w:pPr>
              <w:pStyle w:val="TableContents"/>
              <w:bidi w:val="0"/>
              <w:spacing w:before="0" w:after="283"/>
              <w:jc w:val="left"/>
              <w:rPr/>
            </w:pPr>
            <w:r>
              <w:rPr/>
              <w:t> </w:t>
            </w:r>
          </w:p>
        </w:tc>
        <w:tc>
          <w:tcPr>
            <w:tcW w:w="80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0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26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0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following tables present the financial effects of the loan modifications presented above to borrowers experiencing financial difficulty during the periods indicated below (dollars in thousands): </w:t>
      </w:r>
    </w:p>
    <w:p>
      <w:pPr>
        <w:pStyle w:val="TextBody"/>
        <w:bidi w:val="0"/>
        <w:spacing w:before="0" w:after="0"/>
        <w:ind w:left="0" w:right="0" w:hanging="0"/>
        <w:jc w:val="both"/>
        <w:rPr>
          <w:rFonts w:ascii="Times New Roman" w:hAnsi="Times New Roman"/>
        </w:rPr>
      </w:pPr>
      <w:r>
        <w:rPr>
          <w:rFonts w:ascii="Times New Roman" w:hAnsi="Times New Roman"/>
        </w:rPr>
      </w:r>
    </w:p>
    <w:tbl>
      <w:tblPr>
        <w:tblW w:w="6518" w:type="dxa"/>
        <w:jc w:val="left"/>
        <w:tblInd w:w="0" w:type="dxa"/>
        <w:tblLayout w:type="fixed"/>
        <w:tblCellMar>
          <w:top w:w="0" w:type="dxa"/>
          <w:left w:w="0" w:type="dxa"/>
          <w:bottom w:w="0" w:type="dxa"/>
          <w:right w:w="0" w:type="dxa"/>
        </w:tblCellMar>
      </w:tblPr>
      <w:tblGrid>
        <w:gridCol w:w="2930"/>
        <w:gridCol w:w="60"/>
        <w:gridCol w:w="337"/>
        <w:gridCol w:w="703"/>
        <w:gridCol w:w="60"/>
        <w:gridCol w:w="60"/>
        <w:gridCol w:w="155"/>
        <w:gridCol w:w="989"/>
        <w:gridCol w:w="185"/>
        <w:gridCol w:w="60"/>
        <w:gridCol w:w="108"/>
        <w:gridCol w:w="796"/>
        <w:gridCol w:w="75"/>
      </w:tblGrid>
      <w:tr>
        <w:trPr/>
        <w:tc>
          <w:tcPr>
            <w:tcW w:w="293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Principal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Forgiveness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Weighted-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Interest Rate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Reduction</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Weighted-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Extension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(Months)</w:t>
            </w:r>
          </w:p>
        </w:tc>
        <w:tc>
          <w:tcPr>
            <w:tcW w:w="75" w:type="dxa"/>
            <w:tcBorders/>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Three Months Ended June 30, 2023</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w:t>
            </w:r>
          </w:p>
        </w:tc>
        <w:tc>
          <w:tcPr>
            <w:tcW w:w="75" w:type="dxa"/>
            <w:tcBorders/>
            <w:shd w:fill="CCEEFF" w:val="clear"/>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right"/>
              <w:rPr/>
            </w:pPr>
            <w:r>
              <w:rPr/>
              <w:t> </w:t>
            </w:r>
          </w:p>
        </w:tc>
        <w:tc>
          <w:tcPr>
            <w:tcW w:w="337"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w:t>
            </w:r>
          </w:p>
        </w:tc>
        <w:tc>
          <w:tcPr>
            <w:tcW w:w="75"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1320</w:t>
            </w:r>
          </w:p>
        </w:tc>
        <w:tc>
          <w:tcPr>
            <w:tcW w:w="75" w:type="dxa"/>
            <w:tcBorders/>
            <w:shd w:fill="CCEEFF" w:val="clear"/>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right"/>
              <w:rPr/>
            </w:pPr>
            <w:r>
              <w:rPr/>
              <w:t> </w:t>
            </w:r>
          </w:p>
        </w:tc>
        <w:tc>
          <w:tcPr>
            <w:tcW w:w="337"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w:t>
            </w:r>
          </w:p>
        </w:tc>
        <w:tc>
          <w:tcPr>
            <w:tcW w:w="75" w:type="dxa"/>
            <w:tcBorders/>
            <w:shd w:fill="CCEEFF" w:val="clear"/>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right"/>
              <w:rPr/>
            </w:pPr>
            <w:r>
              <w:rPr/>
              <w:t> </w:t>
            </w:r>
          </w:p>
        </w:tc>
        <w:tc>
          <w:tcPr>
            <w:tcW w:w="337"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08" w:type="dxa"/>
            <w:tcBorders/>
            <w:vAlign w:val="bottom"/>
          </w:tcPr>
          <w:p>
            <w:pPr>
              <w:pStyle w:val="TableContents"/>
              <w:bidi w:val="0"/>
              <w:spacing w:before="0" w:after="283"/>
              <w:jc w:val="left"/>
              <w:rPr/>
            </w:pPr>
            <w:r>
              <w:rPr/>
              <w:t> </w:t>
            </w:r>
          </w:p>
        </w:tc>
        <w:tc>
          <w:tcPr>
            <w:tcW w:w="796" w:type="dxa"/>
            <w:tcBorders/>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08" w:type="dxa"/>
            <w:tcBorders/>
            <w:shd w:fill="CCEEFF" w:val="clear"/>
            <w:vAlign w:val="bottom"/>
          </w:tcPr>
          <w:p>
            <w:pPr>
              <w:pStyle w:val="TableContents"/>
              <w:bidi w:val="0"/>
              <w:spacing w:before="0" w:after="283"/>
              <w:jc w:val="left"/>
              <w:rPr/>
            </w:pPr>
            <w:r>
              <w:rPr/>
              <w:t> </w:t>
            </w:r>
          </w:p>
        </w:tc>
        <w:tc>
          <w:tcPr>
            <w:tcW w:w="796"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right"/>
              <w:rPr/>
            </w:pPr>
            <w:r>
              <w:rPr/>
              <w:t> </w:t>
            </w:r>
          </w:p>
        </w:tc>
        <w:tc>
          <w:tcPr>
            <w:tcW w:w="33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98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08" w:type="dxa"/>
            <w:tcBorders>
              <w:bottom w:val="single" w:sz="12" w:space="0" w:color="000000"/>
            </w:tcBorders>
            <w:tcMar>
              <w:bottom w:w="28" w:type="dxa"/>
            </w:tcMar>
            <w:vAlign w:val="bottom"/>
          </w:tcPr>
          <w:p>
            <w:pPr>
              <w:pStyle w:val="TableContents"/>
              <w:bidi w:val="0"/>
              <w:spacing w:before="0" w:after="283"/>
              <w:jc w:val="left"/>
              <w:rPr/>
            </w:pPr>
            <w:r>
              <w:rPr/>
              <w:t> </w:t>
            </w:r>
          </w:p>
        </w:tc>
        <w:tc>
          <w:tcPr>
            <w:tcW w:w="7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c>
          <w:tcPr>
            <w:tcW w:w="75"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3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0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9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323" w:type="dxa"/>
        <w:jc w:val="left"/>
        <w:tblInd w:w="0" w:type="dxa"/>
        <w:tblLayout w:type="fixed"/>
        <w:tblCellMar>
          <w:top w:w="0" w:type="dxa"/>
          <w:left w:w="0" w:type="dxa"/>
          <w:bottom w:w="0" w:type="dxa"/>
          <w:right w:w="0" w:type="dxa"/>
        </w:tblCellMar>
      </w:tblPr>
      <w:tblGrid>
        <w:gridCol w:w="2735"/>
        <w:gridCol w:w="60"/>
        <w:gridCol w:w="337"/>
        <w:gridCol w:w="703"/>
        <w:gridCol w:w="60"/>
        <w:gridCol w:w="60"/>
        <w:gridCol w:w="155"/>
        <w:gridCol w:w="989"/>
        <w:gridCol w:w="185"/>
        <w:gridCol w:w="60"/>
        <w:gridCol w:w="136"/>
        <w:gridCol w:w="768"/>
        <w:gridCol w:w="75"/>
      </w:tblGrid>
      <w:tr>
        <w:trPr/>
        <w:tc>
          <w:tcPr>
            <w:tcW w:w="2735"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Principal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Forgiveness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Weighted-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Interest Rate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Reduction</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Weighted-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Extension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(Months)</w:t>
            </w:r>
          </w:p>
        </w:tc>
        <w:tc>
          <w:tcPr>
            <w:tcW w:w="75" w:type="dxa"/>
            <w:tcBorders/>
            <w:vAlign w:val="bottom"/>
          </w:tcPr>
          <w:p>
            <w:pPr>
              <w:pStyle w:val="TableContents"/>
              <w:bidi w:val="0"/>
              <w:spacing w:before="0" w:after="283"/>
              <w:jc w:val="left"/>
              <w:rPr/>
            </w:pPr>
            <w:r>
              <w:rPr/>
              <w:t> </w:t>
            </w:r>
          </w:p>
        </w:tc>
      </w:tr>
      <w:tr>
        <w:trPr/>
        <w:tc>
          <w:tcPr>
            <w:tcW w:w="2735" w:type="dxa"/>
            <w:tcBorders/>
            <w:vAlign w:val="bottom"/>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Six Months Ended June 30, 2023</w:t>
            </w:r>
          </w:p>
        </w:tc>
        <w:tc>
          <w:tcPr>
            <w:tcW w:w="6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4"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7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w:t>
            </w:r>
          </w:p>
        </w:tc>
        <w:tc>
          <w:tcPr>
            <w:tcW w:w="75" w:type="dxa"/>
            <w:tcBorders/>
            <w:shd w:fill="CCEEFF" w:val="clear"/>
            <w:vAlign w:val="bottom"/>
          </w:tcPr>
          <w:p>
            <w:pPr>
              <w:pStyle w:val="TableContents"/>
              <w:bidi w:val="0"/>
              <w:spacing w:before="0" w:after="283"/>
              <w:jc w:val="left"/>
              <w:rPr/>
            </w:pPr>
            <w:r>
              <w:rPr/>
              <w:t> </w:t>
            </w:r>
          </w:p>
        </w:tc>
      </w:tr>
      <w:tr>
        <w:trPr/>
        <w:tc>
          <w:tcPr>
            <w:tcW w:w="27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vAlign w:val="bottom"/>
          </w:tcPr>
          <w:p>
            <w:pPr>
              <w:pStyle w:val="TableContents"/>
              <w:bidi w:val="0"/>
              <w:spacing w:before="0" w:after="283"/>
              <w:jc w:val="right"/>
              <w:rPr/>
            </w:pPr>
            <w:r>
              <w:rPr/>
              <w:t> </w:t>
            </w:r>
          </w:p>
        </w:tc>
        <w:tc>
          <w:tcPr>
            <w:tcW w:w="337"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w:t>
            </w:r>
          </w:p>
        </w:tc>
        <w:tc>
          <w:tcPr>
            <w:tcW w:w="75" w:type="dxa"/>
            <w:tcBorders/>
            <w:vAlign w:val="bottom"/>
          </w:tcPr>
          <w:p>
            <w:pPr>
              <w:pStyle w:val="TableContents"/>
              <w:bidi w:val="0"/>
              <w:spacing w:before="0" w:after="283"/>
              <w:jc w:val="left"/>
              <w:rPr/>
            </w:pPr>
            <w:r>
              <w:rPr/>
              <w:t> </w:t>
            </w:r>
          </w:p>
        </w:tc>
      </w:tr>
      <w:tr>
        <w:trPr/>
        <w:tc>
          <w:tcPr>
            <w:tcW w:w="27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835</w:t>
            </w:r>
          </w:p>
        </w:tc>
        <w:tc>
          <w:tcPr>
            <w:tcW w:w="75" w:type="dxa"/>
            <w:tcBorders/>
            <w:shd w:fill="CCEEFF" w:val="clear"/>
            <w:vAlign w:val="bottom"/>
          </w:tcPr>
          <w:p>
            <w:pPr>
              <w:pStyle w:val="TableContents"/>
              <w:bidi w:val="0"/>
              <w:spacing w:before="0" w:after="283"/>
              <w:jc w:val="left"/>
              <w:rPr/>
            </w:pPr>
            <w:r>
              <w:rPr/>
              <w:t> </w:t>
            </w:r>
          </w:p>
        </w:tc>
      </w:tr>
      <w:tr>
        <w:trPr/>
        <w:tc>
          <w:tcPr>
            <w:tcW w:w="27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Consumer:</w:t>
            </w:r>
          </w:p>
        </w:tc>
        <w:tc>
          <w:tcPr>
            <w:tcW w:w="60" w:type="dxa"/>
            <w:tcBorders/>
            <w:vAlign w:val="bottom"/>
          </w:tcPr>
          <w:p>
            <w:pPr>
              <w:pStyle w:val="TableContents"/>
              <w:bidi w:val="0"/>
              <w:spacing w:before="0" w:after="283"/>
              <w:jc w:val="right"/>
              <w:rPr/>
            </w:pPr>
            <w:r>
              <w:rPr/>
              <w:t> </w:t>
            </w:r>
          </w:p>
        </w:tc>
        <w:tc>
          <w:tcPr>
            <w:tcW w:w="337"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273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1-4 Family residential</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w:t>
            </w:r>
          </w:p>
        </w:tc>
        <w:tc>
          <w:tcPr>
            <w:tcW w:w="75" w:type="dxa"/>
            <w:tcBorders/>
            <w:shd w:fill="CCEEFF" w:val="clear"/>
            <w:vAlign w:val="bottom"/>
          </w:tcPr>
          <w:p>
            <w:pPr>
              <w:pStyle w:val="TableContents"/>
              <w:bidi w:val="0"/>
              <w:spacing w:before="0" w:after="283"/>
              <w:jc w:val="left"/>
              <w:rPr/>
            </w:pPr>
            <w:r>
              <w:rPr/>
              <w:t> </w:t>
            </w:r>
          </w:p>
        </w:tc>
      </w:tr>
      <w:tr>
        <w:trPr/>
        <w:tc>
          <w:tcPr>
            <w:tcW w:w="2735"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Auto loans</w:t>
            </w:r>
          </w:p>
        </w:tc>
        <w:tc>
          <w:tcPr>
            <w:tcW w:w="60" w:type="dxa"/>
            <w:tcBorders/>
            <w:vAlign w:val="bottom"/>
          </w:tcPr>
          <w:p>
            <w:pPr>
              <w:pStyle w:val="TableContents"/>
              <w:bidi w:val="0"/>
              <w:spacing w:before="0" w:after="283"/>
              <w:jc w:val="right"/>
              <w:rPr/>
            </w:pPr>
            <w:r>
              <w:rPr/>
              <w:t> </w:t>
            </w:r>
          </w:p>
        </w:tc>
        <w:tc>
          <w:tcPr>
            <w:tcW w:w="337"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c>
          <w:tcPr>
            <w:tcW w:w="75" w:type="dxa"/>
            <w:tcBorders/>
            <w:vAlign w:val="bottom"/>
          </w:tcPr>
          <w:p>
            <w:pPr>
              <w:pStyle w:val="TableContents"/>
              <w:bidi w:val="0"/>
              <w:spacing w:before="0" w:after="283"/>
              <w:jc w:val="left"/>
              <w:rPr/>
            </w:pPr>
            <w:r>
              <w:rPr/>
              <w:t> </w:t>
            </w:r>
          </w:p>
        </w:tc>
      </w:tr>
      <w:tr>
        <w:trPr/>
        <w:tc>
          <w:tcPr>
            <w:tcW w:w="273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bidi w:val="0"/>
              <w:spacing w:before="0" w:after="283"/>
              <w:jc w:val="right"/>
              <w:rPr/>
            </w:pPr>
            <w:r>
              <w:rPr/>
              <w:t> </w:t>
            </w:r>
          </w:p>
        </w:tc>
        <w:tc>
          <w:tcPr>
            <w:tcW w:w="337"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4.75</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27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Construction</w:t>
            </w:r>
          </w:p>
        </w:tc>
        <w:tc>
          <w:tcPr>
            <w:tcW w:w="60" w:type="dxa"/>
            <w:tcBorders/>
            <w:vAlign w:val="bottom"/>
          </w:tcPr>
          <w:p>
            <w:pPr>
              <w:pStyle w:val="TableContents"/>
              <w:bidi w:val="0"/>
              <w:spacing w:before="0" w:after="283"/>
              <w:jc w:val="right"/>
              <w:rPr/>
            </w:pPr>
            <w:r>
              <w:rPr/>
              <w:t> </w:t>
            </w:r>
          </w:p>
        </w:tc>
        <w:tc>
          <w:tcPr>
            <w:tcW w:w="337" w:type="dxa"/>
            <w:tcBorders>
              <w:bottom w:val="single" w:sz="12" w:space="0" w:color="000000"/>
            </w:tcBorders>
            <w:tcMar>
              <w:bottom w:w="28" w:type="dxa"/>
            </w:tcMar>
            <w:vAlign w:val="bottom"/>
          </w:tcPr>
          <w:p>
            <w:pPr>
              <w:pStyle w:val="TableContents"/>
              <w:bidi w:val="0"/>
              <w:spacing w:before="0" w:after="283"/>
              <w:jc w:val="left"/>
              <w:rPr/>
            </w:pPr>
            <w:r>
              <w:rPr/>
              <w:t> </w:t>
            </w:r>
          </w:p>
        </w:tc>
        <w:tc>
          <w:tcPr>
            <w:tcW w:w="70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98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76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w:t>
            </w:r>
          </w:p>
        </w:tc>
        <w:tc>
          <w:tcPr>
            <w:tcW w:w="75" w:type="dxa"/>
            <w:tcBorders/>
            <w:vAlign w:val="bottom"/>
          </w:tcPr>
          <w:p>
            <w:pPr>
              <w:pStyle w:val="TableContents"/>
              <w:bidi w:val="0"/>
              <w:spacing w:before="0" w:after="283"/>
              <w:jc w:val="left"/>
              <w:rPr/>
            </w:pPr>
            <w:r>
              <w:rPr/>
              <w:t> </w:t>
            </w:r>
          </w:p>
        </w:tc>
      </w:tr>
      <w:tr>
        <w:trPr/>
        <w:tc>
          <w:tcPr>
            <w:tcW w:w="2735"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33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89"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1.91</w:t>
            </w:r>
          </w:p>
        </w:tc>
        <w:tc>
          <w:tcPr>
            <w:tcW w:w="1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3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6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 w:hAnsi="Times New Roman"/>
        </w:rPr>
      </w:pPr>
      <w:r>
        <w:rPr>
          <w:rFonts w:ascii="Times New Roman" w:hAnsi="Times New Roman"/>
        </w:rPr>
      </w:r>
    </w:p>
    <w:p>
      <w:pPr>
        <w:pStyle w:val="TextBody"/>
        <w:bidi w:val="0"/>
        <w:spacing w:before="0" w:after="0"/>
        <w:ind w:left="0" w:right="0" w:hanging="0"/>
        <w:jc w:val="both"/>
        <w:rPr>
          <w:rFonts w:ascii="Times New Roman" w:hAnsi="Times New Roman"/>
          <w:color w:val="000000"/>
          <w:sz w:val="20"/>
        </w:rPr>
      </w:pPr>
      <w:r>
        <w:rPr>
          <w:rFonts w:ascii="Times New Roman" w:hAnsi="Times New Roman"/>
          <w:color w:val="000000"/>
          <w:sz w:val="20"/>
        </w:rPr>
        <w:t>As of June 30, 2023, the Company did not have any loans made to borrowers experiencing financial difficulty that were modified during the three and six months ended June 30, 2023 that subsequently defaulted.  Payment default is defined as movement to nonperforming status, foreclosure, or charge-off.</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Upon the Company’s determination that a modified loan has subsequently been deemed to not be fully collectible, the uncollectible amount is written off. Therefore, the amortized cost basis of the loan is reduced by the uncollectible amount and the allowance for credit losses is adjusted by the same amount. </w:t>
      </w:r>
    </w:p>
    <w:p>
      <w:pPr>
        <w:pStyle w:val="TextBody"/>
        <w:bidi w:val="0"/>
        <w:spacing w:before="0" w:after="0"/>
        <w:jc w:val="both"/>
        <w:rPr>
          <w:rFonts w:ascii="Times New Roman" w:hAnsi="Times New Roman"/>
          <w:b w:val="false"/>
          <w:i/>
          <w:caps w:val="false"/>
          <w:smallCaps w:val="false"/>
          <w:color w:val="000000"/>
          <w:sz w:val="20"/>
          <w:shd w:fill="FFFFFF" w:val="clear"/>
        </w:rPr>
      </w:pPr>
      <w:r>
        <w:rPr>
          <w:rFonts w:ascii="Times New Roman" w:hAnsi="Times New Roman"/>
          <w:b w:val="false"/>
          <w:i/>
          <w:caps w:val="false"/>
          <w:smallCaps w:val="false"/>
          <w:color w:val="000000"/>
          <w:sz w:val="20"/>
          <w:shd w:fill="FFFFFF" w:val="clea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Prior-period troubled debt restructuring (“TDR”) disclosures</w:t>
      </w:r>
      <w:r>
        <w:rPr>
          <w:rFonts w:ascii="Times New Roman" w:hAnsi="Times New Roman"/>
          <w:caps w:val="false"/>
          <w:smallCaps w:val="false"/>
          <w:color w:val="000000"/>
          <w:sz w:val="20"/>
          <w:shd w:fill="FFFFFF" w:val="clear"/>
        </w:rPr>
        <w:t xml:space="preserve"> </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Prior to adopting the new accounting standard on loan modifications, the Company accounted for modifications of loans to borrowers experiencing financial difficulty as TDRs, when the modification resulted in a concession and specific reserves were charged to the ACL if necessary for the amount of estimated credit loss. The following reflects loans that were considered TDRs prior to January 1, 2023. For further information on the Company’s TDR accounting policies, see Note 1, “Summary of Significant Accounting Policies,” to the Company’s audited consolidated financial statements contained in the 2022 Annual Report on Form 10-K.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had no loans modified as a TDR during the year ended December 31, 2022.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4.  GOODWILL AND INTANGIBLES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 had goodwill of $19.3 and $19.5 million at June 30, 2023 and December 31, 2022.</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Other intangible assets, which consist of CDI, customer lists, and employment agreements at the dates indicated are summarized below (dollars in thousands):</w:t>
      </w:r>
    </w:p>
    <w:p>
      <w:pPr>
        <w:pStyle w:val="TextBody"/>
        <w:bidi w:val="0"/>
        <w:spacing w:before="0" w:after="0"/>
        <w:jc w:val="left"/>
        <w:rPr/>
      </w:pPr>
      <w:r>
        <w:rPr/>
      </w:r>
    </w:p>
    <w:tbl>
      <w:tblPr>
        <w:tblW w:w="4853" w:type="dxa"/>
        <w:jc w:val="left"/>
        <w:tblInd w:w="0" w:type="dxa"/>
        <w:tblLayout w:type="fixed"/>
        <w:tblCellMar>
          <w:top w:w="0" w:type="dxa"/>
          <w:left w:w="0" w:type="dxa"/>
          <w:bottom w:w="0" w:type="dxa"/>
          <w:right w:w="0" w:type="dxa"/>
        </w:tblCellMar>
      </w:tblPr>
      <w:tblGrid>
        <w:gridCol w:w="2660"/>
        <w:gridCol w:w="60"/>
        <w:gridCol w:w="135"/>
        <w:gridCol w:w="589"/>
        <w:gridCol w:w="80"/>
        <w:gridCol w:w="60"/>
        <w:gridCol w:w="218"/>
        <w:gridCol w:w="956"/>
        <w:gridCol w:w="95"/>
      </w:tblGrid>
      <w:tr>
        <w:trPr/>
        <w:tc>
          <w:tcPr>
            <w:tcW w:w="26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95" w:type="dxa"/>
            <w:tcBorders/>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Amortized intangible assets</w:t>
            </w:r>
          </w:p>
        </w:tc>
        <w:tc>
          <w:tcPr>
            <w:tcW w:w="60" w:type="dxa"/>
            <w:tcBorders/>
            <w:vAlign w:val="bottom"/>
          </w:tcPr>
          <w:p>
            <w:pPr>
              <w:pStyle w:val="TableContents"/>
              <w:bidi w:val="0"/>
              <w:spacing w:before="0" w:after="283"/>
              <w:jc w:val="right"/>
              <w:rPr/>
            </w:pPr>
            <w:r>
              <w:rPr/>
              <w:t> </w:t>
            </w:r>
          </w:p>
        </w:tc>
        <w:tc>
          <w:tcPr>
            <w:tcW w:w="724" w:type="dxa"/>
            <w:gridSpan w:val="2"/>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74" w:type="dxa"/>
            <w:gridSpan w:val="2"/>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Core deposit intangible</w:t>
            </w:r>
          </w:p>
        </w:tc>
        <w:tc>
          <w:tcPr>
            <w:tcW w:w="6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8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6,679</w:t>
            </w:r>
          </w:p>
        </w:tc>
        <w:tc>
          <w:tcPr>
            <w:tcW w:w="9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Less: Accumulated amortization</w:t>
            </w:r>
          </w:p>
        </w:tc>
        <w:tc>
          <w:tcPr>
            <w:tcW w:w="60" w:type="dxa"/>
            <w:tcBorders/>
            <w:vAlign w:val="bottom"/>
          </w:tcPr>
          <w:p>
            <w:pPr>
              <w:pStyle w:val="TableContents"/>
              <w:bidi w:val="0"/>
              <w:spacing w:before="0" w:after="283"/>
              <w:jc w:val="righ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(3,845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18" w:type="dxa"/>
            <w:tcBorders>
              <w:bottom w:val="single" w:sz="12" w:space="0" w:color="000000"/>
            </w:tcBorders>
            <w:tcMar>
              <w:bottom w:w="28" w:type="dxa"/>
            </w:tcMar>
            <w:vAlign w:val="bottom"/>
          </w:tcPr>
          <w:p>
            <w:pPr>
              <w:pStyle w:val="TableContents"/>
              <w:bidi w:val="0"/>
              <w:spacing w:before="0" w:after="283"/>
              <w:jc w:val="left"/>
              <w:rPr/>
            </w:pPr>
            <w:r>
              <w:rPr/>
              <w:t> </w:t>
            </w:r>
          </w:p>
        </w:tc>
        <w:tc>
          <w:tcPr>
            <w:tcW w:w="9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(3,420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6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3,259</w:t>
            </w:r>
          </w:p>
        </w:tc>
        <w:tc>
          <w:tcPr>
            <w:tcW w:w="9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8" w:type="dxa"/>
            <w:tcBorders/>
            <w:vAlign w:val="bottom"/>
          </w:tcPr>
          <w:p>
            <w:pPr>
              <w:pStyle w:val="TableContents"/>
              <w:bidi w:val="0"/>
              <w:spacing w:before="0" w:after="283"/>
              <w:jc w:val="left"/>
              <w:rPr/>
            </w:pPr>
            <w:r>
              <w:rPr/>
              <w:t> </w:t>
            </w:r>
          </w:p>
        </w:tc>
        <w:tc>
          <w:tcPr>
            <w:tcW w:w="95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66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intangibles</w:t>
            </w:r>
          </w:p>
        </w:tc>
        <w:tc>
          <w:tcPr>
            <w:tcW w:w="6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c>
          <w:tcPr>
            <w:tcW w:w="589"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8" w:type="dxa"/>
            <w:tcBorders/>
            <w:shd w:fill="CCEEFF" w:val="clear"/>
            <w:vAlign w:val="bottom"/>
          </w:tcPr>
          <w:p>
            <w:pPr>
              <w:pStyle w:val="TableContents"/>
              <w:bidi w:val="0"/>
              <w:spacing w:before="0" w:after="283"/>
              <w:jc w:val="left"/>
              <w:rPr/>
            </w:pPr>
            <w:r>
              <w:rPr/>
              <w:t> </w:t>
            </w:r>
          </w:p>
        </w:tc>
        <w:tc>
          <w:tcPr>
            <w:tcW w:w="9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2,972</w:t>
            </w:r>
          </w:p>
        </w:tc>
        <w:tc>
          <w:tcPr>
            <w:tcW w:w="9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Less: Accumulated amortization</w:t>
            </w:r>
          </w:p>
        </w:tc>
        <w:tc>
          <w:tcPr>
            <w:tcW w:w="60" w:type="dxa"/>
            <w:tcBorders/>
            <w:vAlign w:val="bottom"/>
          </w:tcPr>
          <w:p>
            <w:pPr>
              <w:pStyle w:val="TableContents"/>
              <w:bidi w:val="0"/>
              <w:spacing w:before="0" w:after="283"/>
              <w:jc w:val="righ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218" w:type="dxa"/>
            <w:tcBorders>
              <w:bottom w:val="single" w:sz="12" w:space="0" w:color="000000"/>
            </w:tcBorders>
            <w:tcMar>
              <w:bottom w:w="28" w:type="dxa"/>
            </w:tcMar>
            <w:vAlign w:val="bottom"/>
          </w:tcPr>
          <w:p>
            <w:pPr>
              <w:pStyle w:val="TableContents"/>
              <w:bidi w:val="0"/>
              <w:spacing w:before="0" w:after="283"/>
              <w:jc w:val="left"/>
              <w:rPr/>
            </w:pPr>
            <w:r>
              <w:rPr/>
              <w:t> </w:t>
            </w:r>
          </w:p>
        </w:tc>
        <w:tc>
          <w:tcPr>
            <w:tcW w:w="9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(1,882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6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1,090</w:t>
            </w:r>
          </w:p>
        </w:tc>
        <w:tc>
          <w:tcPr>
            <w:tcW w:w="95" w:type="dxa"/>
            <w:tcBorders/>
            <w:shd w:fill="CCEEFF" w:val="clear"/>
            <w:vAlign w:val="bottom"/>
          </w:tcPr>
          <w:p>
            <w:pPr>
              <w:pStyle w:val="TableContents"/>
              <w:bidi w:val="0"/>
              <w:spacing w:before="0" w:after="283"/>
              <w:jc w:val="left"/>
              <w:rPr/>
            </w:pPr>
            <w:r>
              <w:rPr/>
              <w:t> </w:t>
            </w:r>
          </w:p>
        </w:tc>
      </w:tr>
      <w:tr>
        <w:trPr/>
        <w:tc>
          <w:tcPr>
            <w:tcW w:w="266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Other intangible assets, net</w:t>
            </w:r>
          </w:p>
        </w:tc>
        <w:tc>
          <w:tcPr>
            <w:tcW w:w="60" w:type="dxa"/>
            <w:tcBorders/>
            <w:vAlign w:val="bottom"/>
          </w:tcPr>
          <w:p>
            <w:pPr>
              <w:pStyle w:val="TableContents"/>
              <w:bidi w:val="0"/>
              <w:spacing w:before="0" w:after="283"/>
              <w:jc w:val="right"/>
              <w:rPr/>
            </w:pPr>
            <w:r>
              <w:rPr/>
              <w:t> </w:t>
            </w:r>
          </w:p>
        </w:tc>
        <w:tc>
          <w:tcPr>
            <w:tcW w:w="13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89"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4,349</w:t>
            </w:r>
          </w:p>
        </w:tc>
        <w:tc>
          <w:tcPr>
            <w:tcW w:w="95" w:type="dxa"/>
            <w:tcBorders/>
            <w:vAlign w:val="bottom"/>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April 1, 2023, the sale of Windmark was completed, resulting in the removal of goodwill and other intangible assets, net of accumulated amortization, of $193 thousand and $942 thousand,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  MORTGAGE SERVICING RIGHTS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reflects the changes in fair value of the Company’s mortgage servicing rights asset included in the Consolidated Balance Sheets, and other information related to the serviced portfolio, for the periods or dates presented (dollars in thousands):</w:t>
      </w:r>
    </w:p>
    <w:p>
      <w:pPr>
        <w:pStyle w:val="TextBody"/>
        <w:bidi w:val="0"/>
        <w:spacing w:before="0" w:after="0"/>
        <w:jc w:val="left"/>
        <w:rPr>
          <w:rFonts w:ascii="Times New Roman" w:hAnsi="Times New Roman"/>
        </w:rPr>
      </w:pPr>
      <w:r>
        <w:rPr>
          <w:rFonts w:ascii="Times New Roman" w:hAnsi="Times New Roman"/>
        </w:rPr>
      </w:r>
    </w:p>
    <w:tbl>
      <w:tblPr>
        <w:tblW w:w="5403" w:type="dxa"/>
        <w:jc w:val="left"/>
        <w:tblInd w:w="0" w:type="dxa"/>
        <w:tblLayout w:type="fixed"/>
        <w:tblCellMar>
          <w:top w:w="0" w:type="dxa"/>
          <w:left w:w="0" w:type="dxa"/>
          <w:bottom w:w="0" w:type="dxa"/>
          <w:right w:w="0" w:type="dxa"/>
        </w:tblCellMar>
      </w:tblPr>
      <w:tblGrid>
        <w:gridCol w:w="1790"/>
        <w:gridCol w:w="60"/>
        <w:gridCol w:w="144"/>
        <w:gridCol w:w="681"/>
        <w:gridCol w:w="69"/>
        <w:gridCol w:w="69"/>
        <w:gridCol w:w="144"/>
        <w:gridCol w:w="681"/>
        <w:gridCol w:w="60"/>
        <w:gridCol w:w="60"/>
        <w:gridCol w:w="125"/>
        <w:gridCol w:w="590"/>
        <w:gridCol w:w="80"/>
        <w:gridCol w:w="60"/>
        <w:gridCol w:w="125"/>
        <w:gridCol w:w="590"/>
        <w:gridCol w:w="75"/>
      </w:tblGrid>
      <w:tr>
        <w:trPr/>
        <w:tc>
          <w:tcPr>
            <w:tcW w:w="17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75" w:type="dxa"/>
            <w:tcBorders/>
            <w:vAlign w:val="bottom"/>
          </w:tcPr>
          <w:p>
            <w:pPr>
              <w:pStyle w:val="TableContents"/>
              <w:bidi w:val="0"/>
              <w:spacing w:before="0" w:after="283"/>
              <w:jc w:val="left"/>
              <w:rPr/>
            </w:pPr>
            <w:r>
              <w:rPr/>
              <w:t> </w:t>
            </w:r>
          </w:p>
        </w:tc>
      </w:tr>
      <w:tr>
        <w:trPr/>
        <w:tc>
          <w:tcPr>
            <w:tcW w:w="17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75" w:type="dxa"/>
            <w:tcBorders/>
            <w:vAlign w:val="bottom"/>
          </w:tcPr>
          <w:p>
            <w:pPr>
              <w:pStyle w:val="TableContents"/>
              <w:bidi w:val="0"/>
              <w:spacing w:before="0" w:after="283"/>
              <w:jc w:val="left"/>
              <w:rPr/>
            </w:pPr>
            <w:r>
              <w:rPr/>
              <w:t> </w:t>
            </w:r>
          </w:p>
        </w:tc>
      </w:tr>
      <w:tr>
        <w:trPr/>
        <w:tc>
          <w:tcPr>
            <w:tcW w:w="179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Beginning balance</w:t>
            </w:r>
          </w:p>
        </w:tc>
        <w:tc>
          <w:tcPr>
            <w:tcW w:w="60"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25,795</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25,425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27,474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19,700</w:t>
            </w:r>
          </w:p>
        </w:tc>
        <w:tc>
          <w:tcPr>
            <w:tcW w:w="75" w:type="dxa"/>
            <w:tcBorders/>
            <w:shd w:fill="CCEEFF" w:val="clear"/>
            <w:vAlign w:val="bottom"/>
          </w:tcPr>
          <w:p>
            <w:pPr>
              <w:pStyle w:val="TableContents"/>
              <w:bidi w:val="0"/>
              <w:spacing w:before="0" w:after="283"/>
              <w:jc w:val="left"/>
              <w:rPr/>
            </w:pPr>
            <w:r>
              <w:rPr/>
              <w:t> </w:t>
            </w:r>
          </w:p>
        </w:tc>
      </w:tr>
      <w:tr>
        <w:trPr/>
        <w:tc>
          <w:tcPr>
            <w:tcW w:w="179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Additions</w:t>
            </w:r>
          </w:p>
        </w:tc>
        <w:tc>
          <w:tcPr>
            <w:tcW w:w="60"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463</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2,180</w:t>
            </w:r>
          </w:p>
        </w:tc>
        <w:tc>
          <w:tcPr>
            <w:tcW w:w="75" w:type="dxa"/>
            <w:tcBorders/>
            <w:vAlign w:val="bottom"/>
          </w:tcPr>
          <w:p>
            <w:pPr>
              <w:pStyle w:val="TableContents"/>
              <w:bidi w:val="0"/>
              <w:spacing w:before="0" w:after="283"/>
              <w:jc w:val="left"/>
              <w:rPr/>
            </w:pPr>
            <w:r>
              <w:rPr/>
              <w:t> </w:t>
            </w:r>
          </w:p>
        </w:tc>
      </w:tr>
      <w:tr>
        <w:trPr/>
        <w:tc>
          <w:tcPr>
            <w:tcW w:w="179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Valuation adjustment</w:t>
            </w:r>
          </w:p>
        </w:tc>
        <w:tc>
          <w:tcPr>
            <w:tcW w:w="60"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400</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(1,550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5,625</w:t>
            </w:r>
          </w:p>
        </w:tc>
        <w:tc>
          <w:tcPr>
            <w:tcW w:w="75" w:type="dxa"/>
            <w:tcBorders/>
            <w:shd w:fill="CCEEFF" w:val="clear"/>
            <w:vAlign w:val="bottom"/>
          </w:tcPr>
          <w:p>
            <w:pPr>
              <w:pStyle w:val="TableContents"/>
              <w:bidi w:val="0"/>
              <w:spacing w:before="0" w:after="283"/>
              <w:jc w:val="left"/>
              <w:rPr/>
            </w:pPr>
            <w:r>
              <w:rPr/>
              <w:t> </w:t>
            </w:r>
          </w:p>
        </w:tc>
      </w:tr>
      <w:tr>
        <w:trPr/>
        <w:tc>
          <w:tcPr>
            <w:tcW w:w="179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Ending balance</w:t>
            </w:r>
          </w:p>
        </w:tc>
        <w:tc>
          <w:tcPr>
            <w:tcW w:w="60" w:type="dxa"/>
            <w:tcBorders/>
            <w:vAlign w:val="bottom"/>
          </w:tcPr>
          <w:p>
            <w:pPr>
              <w:pStyle w:val="TableContents"/>
              <w:bidi w:val="0"/>
              <w:spacing w:before="0" w:after="283"/>
              <w:jc w:val="righ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26,658</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right"/>
              <w:rPr/>
            </w:pPr>
            <w:r>
              <w:rPr/>
              <w:t> </w:t>
            </w:r>
          </w:p>
        </w:tc>
        <w:tc>
          <w:tcPr>
            <w:tcW w:w="14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27,505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26,658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27,505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rPr>
      </w:pPr>
      <w:r>
        <w:rPr>
          <w:rFonts w:ascii="Times New Roman" w:hAnsi="Times New Roman"/>
        </w:rPr>
      </w:r>
    </w:p>
    <w:tbl>
      <w:tblPr>
        <w:tblW w:w="8789" w:type="dxa"/>
        <w:jc w:val="left"/>
        <w:tblInd w:w="0" w:type="dxa"/>
        <w:tblLayout w:type="fixed"/>
        <w:tblCellMar>
          <w:top w:w="0" w:type="dxa"/>
          <w:left w:w="0" w:type="dxa"/>
          <w:bottom w:w="0" w:type="dxa"/>
          <w:right w:w="0" w:type="dxa"/>
        </w:tblCellMar>
      </w:tblPr>
      <w:tblGrid>
        <w:gridCol w:w="6140"/>
        <w:gridCol w:w="60"/>
        <w:gridCol w:w="125"/>
        <w:gridCol w:w="845"/>
        <w:gridCol w:w="185"/>
        <w:gridCol w:w="60"/>
        <w:gridCol w:w="151"/>
        <w:gridCol w:w="1023"/>
        <w:gridCol w:w="200"/>
      </w:tblGrid>
      <w:tr>
        <w:trPr/>
        <w:tc>
          <w:tcPr>
            <w:tcW w:w="6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200" w:type="dxa"/>
            <w:tcBorders/>
            <w:vAlign w:val="bottom"/>
          </w:tcPr>
          <w:p>
            <w:pPr>
              <w:pStyle w:val="TableContents"/>
              <w:bidi w:val="0"/>
              <w:spacing w:before="0" w:after="283"/>
              <w:jc w:val="left"/>
              <w:rPr/>
            </w:pPr>
            <w:r>
              <w:rPr/>
              <w:t> </w:t>
            </w:r>
          </w:p>
        </w:tc>
      </w:tr>
      <w:tr>
        <w:trPr/>
        <w:tc>
          <w:tcPr>
            <w:tcW w:w="6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200" w:type="dxa"/>
            <w:tcBorders/>
            <w:vAlign w:val="bottom"/>
          </w:tcPr>
          <w:p>
            <w:pPr>
              <w:pStyle w:val="TableContents"/>
              <w:bidi w:val="0"/>
              <w:spacing w:before="0" w:after="283"/>
              <w:jc w:val="left"/>
              <w:rPr/>
            </w:pPr>
            <w:r>
              <w:rPr/>
              <w:t> </w:t>
            </w:r>
          </w:p>
        </w:tc>
      </w:tr>
      <w:tr>
        <w:trPr/>
        <w:tc>
          <w:tcPr>
            <w:tcW w:w="6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Mortgage loans serviced for others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2,025,210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2,046,490</w:t>
            </w:r>
          </w:p>
        </w:tc>
        <w:tc>
          <w:tcPr>
            <w:tcW w:w="200" w:type="dxa"/>
            <w:tcBorders/>
            <w:shd w:fill="CCEEFF" w:val="clear"/>
            <w:vAlign w:val="bottom"/>
          </w:tcPr>
          <w:p>
            <w:pPr>
              <w:pStyle w:val="TableContents"/>
              <w:bidi w:val="0"/>
              <w:spacing w:before="0" w:after="283"/>
              <w:jc w:val="left"/>
              <w:rPr/>
            </w:pPr>
            <w:r>
              <w:rPr/>
              <w:t> </w:t>
            </w:r>
          </w:p>
        </w:tc>
      </w:tr>
      <w:tr>
        <w:trPr/>
        <w:tc>
          <w:tcPr>
            <w:tcW w:w="61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Mortgage servicing rights assets as a percentage of serviced mortgage loans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1.32</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51"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reflects the key assumptions used in measuring the fair value of the Company’s mortgage servicing rights as of the dates indicated:</w:t>
      </w:r>
    </w:p>
    <w:p>
      <w:pPr>
        <w:pStyle w:val="TextBody"/>
        <w:bidi w:val="0"/>
        <w:spacing w:before="0" w:after="0"/>
        <w:jc w:val="left"/>
        <w:rPr>
          <w:rFonts w:ascii="Times New Roman" w:hAnsi="Times New Roman"/>
        </w:rPr>
      </w:pPr>
      <w:r>
        <w:rPr>
          <w:rFonts w:ascii="Times New Roman" w:hAnsi="Times New Roman"/>
        </w:rPr>
      </w:r>
    </w:p>
    <w:tbl>
      <w:tblPr>
        <w:tblW w:w="5993" w:type="dxa"/>
        <w:jc w:val="left"/>
        <w:tblInd w:w="0" w:type="dxa"/>
        <w:tblLayout w:type="fixed"/>
        <w:tblCellMar>
          <w:top w:w="0" w:type="dxa"/>
          <w:left w:w="0" w:type="dxa"/>
          <w:bottom w:w="0" w:type="dxa"/>
          <w:right w:w="0" w:type="dxa"/>
        </w:tblCellMar>
      </w:tblPr>
      <w:tblGrid>
        <w:gridCol w:w="3590"/>
        <w:gridCol w:w="60"/>
        <w:gridCol w:w="98"/>
        <w:gridCol w:w="626"/>
        <w:gridCol w:w="185"/>
        <w:gridCol w:w="60"/>
        <w:gridCol w:w="159"/>
        <w:gridCol w:w="1015"/>
        <w:gridCol w:w="200"/>
      </w:tblGrid>
      <w:tr>
        <w:trPr/>
        <w:tc>
          <w:tcPr>
            <w:tcW w:w="3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tc>
        <w:tc>
          <w:tcPr>
            <w:tcW w:w="200" w:type="dxa"/>
            <w:tcBorders/>
            <w:vAlign w:val="bottom"/>
          </w:tcPr>
          <w:p>
            <w:pPr>
              <w:pStyle w:val="TableContents"/>
              <w:bidi w:val="0"/>
              <w:spacing w:before="0" w:after="283"/>
              <w:jc w:val="left"/>
              <w:rPr/>
            </w:pPr>
            <w:r>
              <w:rPr/>
              <w:t> </w:t>
            </w:r>
          </w:p>
        </w:tc>
      </w:tr>
      <w:tr>
        <w:trPr/>
        <w:tc>
          <w:tcPr>
            <w:tcW w:w="3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200" w:type="dxa"/>
            <w:tcBorders/>
            <w:vAlign w:val="bottom"/>
          </w:tcPr>
          <w:p>
            <w:pPr>
              <w:pStyle w:val="TableContents"/>
              <w:bidi w:val="0"/>
              <w:spacing w:before="0" w:after="283"/>
              <w:jc w:val="left"/>
              <w:rPr/>
            </w:pPr>
            <w:r>
              <w:rPr/>
              <w:t> </w:t>
            </w:r>
          </w:p>
        </w:tc>
      </w:tr>
      <w:tr>
        <w:trPr/>
        <w:tc>
          <w:tcPr>
            <w:tcW w:w="359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Weighted average constant prepayment rate</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7.29</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7.47</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59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Weighted average discount rate</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9.65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9.15</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59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Weighted average life in years</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7.91</w:t>
            </w:r>
          </w:p>
        </w:tc>
        <w:tc>
          <w:tcPr>
            <w:tcW w:w="20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6.  BORROWING ARRANGEMENTS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rPr>
      </w:pPr>
      <w:r>
        <w:rPr>
          <w:rFonts w:ascii="Times New Roman" w:hAnsi="Times New Roman"/>
          <w:color w:val="000000"/>
          <w:sz w:val="20"/>
          <w:u w:val="single"/>
        </w:rPr>
        <w:t>Subordinated Debt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 December 2018, the Company issued $26.5 million in subordinated debt notes. Notes totaling $12.4 million have a maturity date of December 2028 and a weighted average fixed rate of 5.74% for the first five years. The remaining $14.1 million of notes have a maturity date of December 2030 and a weighted average fixed rate of 6.41% for the first seven years. After the fixed rate periods, all notes will float at the </w:t>
      </w:r>
      <w:r>
        <w:rPr>
          <w:rFonts w:ascii="Times New Roman" w:hAnsi="Times New Roman"/>
          <w:i/>
          <w:color w:val="000000"/>
          <w:sz w:val="20"/>
        </w:rPr>
        <w:t>Wall Street Journal</w:t>
      </w:r>
      <w:r>
        <w:rPr>
          <w:rFonts w:ascii="Times New Roman" w:hAnsi="Times New Roman"/>
          <w:color w:val="000000"/>
          <w:sz w:val="20"/>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val="false"/>
          <w:i w:val="false"/>
          <w:caps w:val="false"/>
          <w:smallCaps w:val="false"/>
          <w:color w:val="000000"/>
          <w:sz w:val="20"/>
          <w:shd w:fill="FFFFFF" w:val="clear"/>
        </w:rPr>
        <w:t>On September 29, 2020, the Company issued $50.0 million in subordinated debt notes. Pr</w:t>
      </w:r>
      <w:r>
        <w:rPr>
          <w:rFonts w:ascii="Times New Roman" w:hAnsi="Times New Roman"/>
          <w:color w:val="000000"/>
          <w:sz w:val="20"/>
        </w:rPr>
        <w:t>oceeds were reduced by</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 xml:space="preserve">approximately $926 thousand in debt issuance costs. </w:t>
      </w:r>
      <w:r>
        <w:rPr>
          <w:rFonts w:ascii="Times New Roman" w:hAnsi="Times New Roman"/>
          <w:color w:val="000000"/>
          <w:sz w:val="20"/>
        </w:rPr>
        <w:t>The notes have a maturity</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date of September 2030 with a fixed rate of 4.50% for the first five years. After the expiration of the fixed rate period, the</w:t>
      </w:r>
      <w:r>
        <w:rPr>
          <w:rFonts w:ascii="Times New Roman" w:hAnsi="Times New Roman"/>
          <w:color w:val="000000"/>
          <w:sz w:val="20"/>
        </w:rPr>
        <w:t xml:space="preserve"> notes</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will reset quarterly at a variable rate equal to the then current three-month Secured Overnight Financing Rate, as published by the Federal Reserve Bank of New York, plus 438 basis points. These</w:t>
      </w:r>
      <w:r>
        <w:rPr>
          <w:rFonts w:ascii="Times New Roman" w:hAnsi="Times New Roman"/>
          <w:color w:val="000000"/>
          <w:sz w:val="20"/>
        </w:rPr>
        <w:t xml:space="preserve"> notes</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 xml:space="preserve">pay interest semi-annually, are unsecured, and may be called by the Company at any time after the remaining maturity is five years or less. Additionally, </w:t>
      </w:r>
      <w:r>
        <w:rPr>
          <w:rFonts w:ascii="Times New Roman" w:hAnsi="Times New Roman"/>
          <w:color w:val="000000"/>
          <w:sz w:val="20"/>
        </w:rPr>
        <w:t>these notes are intended to</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qualify for Tier 2 capital treatment, subject to regulatory limitations.</w:t>
      </w:r>
      <w:r>
        <w:rPr>
          <w:rFonts w:ascii="Times New Roman" w:hAnsi="Times New Roman"/>
          <w:color w:val="000000"/>
          <w:sz w:val="20"/>
        </w:rPr>
        <w:t xml:space="preserve">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June 30, 2023, the total amount of subordinated notes outstanding was $76.5 million less approximately $418 thousand of remaining debt issuance costs for a total balance of $76.1 million. As of December 31, 2022, the total amount of subordinated notes outstanding was $76.5 million less approximately $511 thousand of remaining debt issuance costs for a total balance of $76.0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rPr>
      </w:pPr>
      <w:r>
        <w:rPr>
          <w:rFonts w:ascii="Times New Roman" w:hAnsi="Times New Roman"/>
          <w:color w:val="000000"/>
          <w:sz w:val="20"/>
          <w:u w:val="single"/>
        </w:rPr>
        <w:t>Notes Payable and Other Borrowings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June 30, 2023 and December 31, 2022, City Bank had no outstanding advances from the Federal Home Loan Bank of Dallas (“FHLB”).</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7.  STOCK-BASED COMPENSATION</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u w:val="single"/>
        </w:rPr>
      </w:pPr>
      <w:r>
        <w:rPr>
          <w:rFonts w:ascii="Times New Roman" w:hAnsi="Times New Roman"/>
          <w:i/>
          <w:color w:val="000000"/>
          <w:sz w:val="20"/>
          <w:u w:val="single"/>
        </w:rPr>
        <w:t>Equity Incentive Plan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is 2,300,000. The maximum aggregate number of shares that may be issued under the Plan may be increased annually by up to 3% of the total issued and outstanding common shares of the Company at the beginning of each fiscal year.</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into account that the options are not transferable. The risk-free interest rate for the expected term of the option is based on the U.S. Treasury yield curve in effect at the time of the grant.</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u w:val="single"/>
        </w:rPr>
      </w:pPr>
      <w:r>
        <w:rPr>
          <w:rFonts w:ascii="Times New Roman" w:hAnsi="Times New Roman"/>
          <w:i/>
          <w:color w:val="000000"/>
          <w:sz w:val="20"/>
          <w:u w:val="single"/>
        </w:rPr>
        <w:t>Options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summary of activity in the Plan during the period indicated is presented in the table below (dollars in thousands, except per share data):</w:t>
      </w:r>
    </w:p>
    <w:p>
      <w:pPr>
        <w:pStyle w:val="TextBody"/>
        <w:bidi w:val="0"/>
        <w:spacing w:before="0" w:after="0"/>
        <w:jc w:val="left"/>
        <w:rPr/>
      </w:pPr>
      <w:r>
        <w:rPr/>
      </w:r>
    </w:p>
    <w:tbl>
      <w:tblPr>
        <w:tblW w:w="9123" w:type="dxa"/>
        <w:jc w:val="left"/>
        <w:tblInd w:w="0" w:type="dxa"/>
        <w:tblLayout w:type="fixed"/>
        <w:tblCellMar>
          <w:top w:w="0" w:type="dxa"/>
          <w:left w:w="0" w:type="dxa"/>
          <w:bottom w:w="0" w:type="dxa"/>
          <w:right w:w="0" w:type="dxa"/>
        </w:tblCellMar>
      </w:tblPr>
      <w:tblGrid>
        <w:gridCol w:w="2780"/>
        <w:gridCol w:w="60"/>
        <w:gridCol w:w="60"/>
        <w:gridCol w:w="845"/>
        <w:gridCol w:w="80"/>
        <w:gridCol w:w="60"/>
        <w:gridCol w:w="329"/>
        <w:gridCol w:w="1281"/>
        <w:gridCol w:w="60"/>
        <w:gridCol w:w="60"/>
        <w:gridCol w:w="274"/>
        <w:gridCol w:w="1740"/>
        <w:gridCol w:w="60"/>
        <w:gridCol w:w="60"/>
        <w:gridCol w:w="261"/>
        <w:gridCol w:w="1018"/>
        <w:gridCol w:w="95"/>
      </w:tblGrid>
      <w:tr>
        <w:trPr/>
        <w:tc>
          <w:tcPr>
            <w:tcW w:w="278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Number</w:t>
            </w:r>
          </w:p>
          <w:p>
            <w:pPr>
              <w:pStyle w:val="TableContents"/>
              <w:bidi w:val="0"/>
              <w:spacing w:before="0" w:after="0"/>
              <w:jc w:val="center"/>
              <w:rPr>
                <w:rFonts w:ascii="Times New Roman" w:hAnsi="Times New Roman"/>
                <w:b/>
                <w:sz w:val="20"/>
              </w:rPr>
            </w:pPr>
            <w:r>
              <w:rPr>
                <w:rFonts w:ascii="Times New Roman" w:hAnsi="Times New Roman"/>
                <w:b/>
                <w:sz w:val="20"/>
              </w:rPr>
              <w:t>of 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Weighted-Average</w:t>
            </w:r>
          </w:p>
          <w:p>
            <w:pPr>
              <w:pStyle w:val="TableContents"/>
              <w:bidi w:val="0"/>
              <w:spacing w:before="0" w:after="0"/>
              <w:jc w:val="center"/>
              <w:rPr>
                <w:rFonts w:ascii="Times New Roman" w:hAnsi="Times New Roman"/>
                <w:b/>
                <w:sz w:val="20"/>
              </w:rPr>
            </w:pPr>
            <w:r>
              <w:rPr>
                <w:rFonts w:ascii="Times New Roman" w:hAnsi="Times New Roman"/>
                <w:b/>
                <w:sz w:val="20"/>
              </w:rPr>
              <w:t>Exercise 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Weighted-Average</w:t>
            </w:r>
          </w:p>
          <w:p>
            <w:pPr>
              <w:pStyle w:val="TableContents"/>
              <w:bidi w:val="0"/>
              <w:spacing w:before="0" w:after="0"/>
              <w:jc w:val="center"/>
              <w:rPr>
                <w:rFonts w:ascii="Times New Roman" w:hAnsi="Times New Roman"/>
                <w:b/>
                <w:sz w:val="20"/>
              </w:rPr>
            </w:pPr>
            <w:r>
              <w:rPr>
                <w:rFonts w:ascii="Times New Roman" w:hAnsi="Times New Roman"/>
                <w:b/>
                <w:sz w:val="20"/>
              </w:rPr>
              <w:t>Remaining Contractual</w:t>
            </w:r>
          </w:p>
          <w:p>
            <w:pPr>
              <w:pStyle w:val="TableContents"/>
              <w:bidi w:val="0"/>
              <w:spacing w:before="0" w:after="0"/>
              <w:jc w:val="center"/>
              <w:rPr>
                <w:rFonts w:ascii="Times New Roman" w:hAnsi="Times New Roman"/>
                <w:b/>
                <w:sz w:val="20"/>
              </w:rPr>
            </w:pPr>
            <w:r>
              <w:rPr>
                <w:rFonts w:ascii="Times New Roman" w:hAnsi="Times New Roman"/>
                <w:b/>
                <w:sz w:val="20"/>
              </w:rPr>
              <w:t>Life in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Aggregate</w:t>
            </w:r>
          </w:p>
          <w:p>
            <w:pPr>
              <w:pStyle w:val="TableContents"/>
              <w:bidi w:val="0"/>
              <w:spacing w:before="0" w:after="0"/>
              <w:jc w:val="center"/>
              <w:rPr>
                <w:rFonts w:ascii="Times New Roman" w:hAnsi="Times New Roman"/>
                <w:b/>
                <w:sz w:val="20"/>
              </w:rPr>
            </w:pPr>
            <w:r>
              <w:rPr>
                <w:rFonts w:ascii="Times New Roman" w:hAnsi="Times New Roman"/>
                <w:b/>
                <w:sz w:val="20"/>
              </w:rPr>
              <w:t>Intrinsic Value</w:t>
            </w:r>
          </w:p>
        </w:tc>
        <w:tc>
          <w:tcPr>
            <w:tcW w:w="95" w:type="dxa"/>
            <w:tcBorders/>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Six Months Ended June 30, 2023</w:t>
            </w:r>
          </w:p>
        </w:tc>
        <w:tc>
          <w:tcPr>
            <w:tcW w:w="6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Outstanding at beginning of year:</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1,354,189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16.11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4"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8,973</w:t>
            </w:r>
          </w:p>
        </w:tc>
        <w:tc>
          <w:tcPr>
            <w:tcW w:w="9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Granted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47,816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1"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Exercised</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(37,720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4"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1"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(277</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78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Forfeited</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(1,125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1"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78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Expired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(2,730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4"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7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1"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June 30, 2023</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1,360,430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4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8,679</w:t>
            </w:r>
          </w:p>
        </w:tc>
        <w:tc>
          <w:tcPr>
            <w:tcW w:w="9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7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1"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Exercisable at end of period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1,144,131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4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8,329</w:t>
            </w:r>
          </w:p>
        </w:tc>
        <w:tc>
          <w:tcPr>
            <w:tcW w:w="9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74" w:type="dxa"/>
            <w:tcBorders/>
            <w:vAlign w:val="bottom"/>
          </w:tcPr>
          <w:p>
            <w:pPr>
              <w:pStyle w:val="TableContents"/>
              <w:bidi w:val="0"/>
              <w:spacing w:before="0" w:after="283"/>
              <w:jc w:val="left"/>
              <w:rPr/>
            </w:pPr>
            <w:r>
              <w:rPr/>
              <w:t> </w:t>
            </w:r>
          </w:p>
        </w:tc>
        <w:tc>
          <w:tcPr>
            <w:tcW w:w="17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1"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Vested at end of period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1,144,131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4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8,329</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summary of assumptions used to calculate the fair values of the awards granted during the periods noted is presented below:</w:t>
      </w:r>
    </w:p>
    <w:p>
      <w:pPr>
        <w:pStyle w:val="TextBody"/>
        <w:bidi w:val="0"/>
        <w:spacing w:before="0" w:after="0"/>
        <w:jc w:val="left"/>
        <w:rPr/>
      </w:pPr>
      <w:r>
        <w:rPr/>
      </w:r>
    </w:p>
    <w:tbl>
      <w:tblPr>
        <w:tblW w:w="6463" w:type="dxa"/>
        <w:jc w:val="left"/>
        <w:tblInd w:w="0" w:type="dxa"/>
        <w:tblLayout w:type="fixed"/>
        <w:tblCellMar>
          <w:top w:w="0" w:type="dxa"/>
          <w:left w:w="0" w:type="dxa"/>
          <w:bottom w:w="0" w:type="dxa"/>
          <w:right w:w="0" w:type="dxa"/>
        </w:tblCellMar>
      </w:tblPr>
      <w:tblGrid>
        <w:gridCol w:w="3155"/>
        <w:gridCol w:w="60"/>
        <w:gridCol w:w="128"/>
        <w:gridCol w:w="1406"/>
        <w:gridCol w:w="60"/>
        <w:gridCol w:w="60"/>
        <w:gridCol w:w="286"/>
        <w:gridCol w:w="1248"/>
        <w:gridCol w:w="60"/>
      </w:tblGrid>
      <w:tr>
        <w:trPr/>
        <w:tc>
          <w:tcPr>
            <w:tcW w:w="315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188" w:type="dxa"/>
            <w:gridSpan w:val="6"/>
            <w:tcBorders>
              <w:bottom w:val="single" w:sz="12" w:space="0" w:color="000000"/>
            </w:tcBorders>
            <w:tcMar>
              <w:bottom w:w="28" w:type="dxa"/>
            </w:tcMar>
            <w:vAlign w:val="bottom"/>
          </w:tcPr>
          <w:p>
            <w:pPr>
              <w:pStyle w:val="TableContents"/>
              <w:bidi w:val="0"/>
              <w:spacing w:before="0" w:after="0"/>
              <w:jc w:val="center"/>
              <w:rPr>
                <w:b/>
              </w:rPr>
            </w:pPr>
            <w:r>
              <w:rPr>
                <w:b/>
              </w:rPr>
              <w:t>Six Months Ended</w:t>
            </w:r>
          </w:p>
          <w:p>
            <w:pPr>
              <w:pStyle w:val="TableContents"/>
              <w:bidi w:val="0"/>
              <w:spacing w:before="0" w:after="0"/>
              <w:jc w:val="center"/>
              <w:rPr>
                <w:b/>
              </w:rPr>
            </w:pPr>
            <w:r>
              <w:rPr>
                <w:b/>
              </w:rPr>
              <w:t>June 30,</w:t>
            </w:r>
          </w:p>
        </w:tc>
        <w:tc>
          <w:tcPr>
            <w:tcW w:w="60" w:type="dxa"/>
            <w:tcBorders/>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4"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2022</w:t>
            </w:r>
          </w:p>
        </w:tc>
        <w:tc>
          <w:tcPr>
            <w:tcW w:w="60"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Expected volatility</w:t>
            </w:r>
          </w:p>
        </w:tc>
        <w:tc>
          <w:tcPr>
            <w:tcW w:w="60" w:type="dxa"/>
            <w:tcBorders/>
            <w:shd w:fill="CCEEFF" w:val="clear"/>
            <w:vAlign w:val="bottom"/>
          </w:tcPr>
          <w:p>
            <w:pPr>
              <w:pStyle w:val="TableContents"/>
              <w:bidi w:val="0"/>
              <w:spacing w:before="0" w:after="283"/>
              <w:jc w:val="left"/>
              <w:rPr/>
            </w:pPr>
            <w:r>
              <w:rPr/>
              <w:t> </w:t>
            </w:r>
          </w:p>
        </w:tc>
        <w:tc>
          <w:tcPr>
            <w:tcW w:w="1534"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39.13% to 39.68%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4"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40.20% to 40.29%</w:t>
            </w:r>
          </w:p>
        </w:tc>
        <w:tc>
          <w:tcPr>
            <w:tcW w:w="60"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Expected dividend yield</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40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 xml:space="preserve">1.74% to 1.90% </w:t>
            </w:r>
          </w:p>
        </w:tc>
        <w:tc>
          <w:tcPr>
            <w:tcW w:w="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r>
          </w:p>
        </w:tc>
        <w:tc>
          <w:tcPr>
            <w:tcW w:w="60" w:type="dxa"/>
            <w:tcBorders/>
            <w:vAlign w:val="bottom"/>
          </w:tcPr>
          <w:p>
            <w:pPr>
              <w:pStyle w:val="TableContents"/>
              <w:bidi w:val="0"/>
              <w:spacing w:before="0" w:after="283"/>
              <w:jc w:val="right"/>
              <w:rPr/>
            </w:pPr>
            <w:r>
              <w:rPr/>
              <w:t> </w:t>
            </w:r>
          </w:p>
        </w:tc>
        <w:tc>
          <w:tcPr>
            <w:tcW w:w="286" w:type="dxa"/>
            <w:tcBorders/>
            <w:vAlign w:val="bottom"/>
          </w:tcPr>
          <w:p>
            <w:pPr>
              <w:pStyle w:val="TableContents"/>
              <w:bidi w:val="0"/>
              <w:spacing w:before="0" w:after="283"/>
              <w:jc w:val="left"/>
              <w:rPr/>
            </w:pPr>
            <w:r>
              <w:rPr/>
              <w:t> </w:t>
            </w:r>
          </w:p>
        </w:tc>
        <w:tc>
          <w:tcPr>
            <w:tcW w:w="124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1.30%</w:t>
            </w:r>
          </w:p>
        </w:tc>
        <w:tc>
          <w:tcPr>
            <w:tcW w:w="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r>
          </w:p>
        </w:tc>
      </w:tr>
      <w:tr>
        <w:trPr/>
        <w:tc>
          <w:tcPr>
            <w:tcW w:w="315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Expected term (years)</w:t>
            </w:r>
          </w:p>
        </w:tc>
        <w:tc>
          <w:tcPr>
            <w:tcW w:w="60" w:type="dxa"/>
            <w:tcBorders/>
            <w:shd w:fill="CCEEFF" w:val="clear"/>
            <w:vAlign w:val="bottom"/>
          </w:tcPr>
          <w:p>
            <w:pPr>
              <w:pStyle w:val="TableContents"/>
              <w:bidi w:val="0"/>
              <w:spacing w:before="0" w:after="283"/>
              <w:jc w:val="left"/>
              <w:rPr/>
            </w:pPr>
            <w:r>
              <w:rPr/>
              <w:t> </w:t>
            </w:r>
          </w:p>
        </w:tc>
        <w:tc>
          <w:tcPr>
            <w:tcW w:w="1534" w:type="dxa"/>
            <w:gridSpan w:val="2"/>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 to 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4" w:type="dxa"/>
            <w:gridSpan w:val="2"/>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 xml:space="preserve">6.1 to 6.3 </w:t>
            </w:r>
          </w:p>
        </w:tc>
        <w:tc>
          <w:tcPr>
            <w:tcW w:w="60" w:type="dxa"/>
            <w:tcBorders/>
            <w:shd w:fill="CCEEFF" w:val="clear"/>
            <w:vAlign w:val="bottom"/>
          </w:tcPr>
          <w:p>
            <w:pPr>
              <w:pStyle w:val="TableContents"/>
              <w:bidi w:val="0"/>
              <w:spacing w:before="0" w:after="283"/>
              <w:jc w:val="left"/>
              <w:rPr/>
            </w:pPr>
            <w:r>
              <w:rPr/>
              <w:t> </w:t>
            </w:r>
          </w:p>
        </w:tc>
      </w:tr>
      <w:tr>
        <w:trPr/>
        <w:tc>
          <w:tcPr>
            <w:tcW w:w="315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Risk-free interest rate</w:t>
            </w:r>
          </w:p>
        </w:tc>
        <w:tc>
          <w:tcPr>
            <w:tcW w:w="60" w:type="dxa"/>
            <w:tcBorders/>
            <w:vAlign w:val="bottom"/>
          </w:tcPr>
          <w:p>
            <w:pPr>
              <w:pStyle w:val="TableContents"/>
              <w:bidi w:val="0"/>
              <w:spacing w:before="0" w:after="283"/>
              <w:jc w:val="left"/>
              <w:rPr/>
            </w:pPr>
            <w:r>
              <w:rPr/>
              <w:t> </w:t>
            </w:r>
          </w:p>
        </w:tc>
        <w:tc>
          <w:tcPr>
            <w:tcW w:w="1534"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3.91% to 3.98%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4" w:type="dxa"/>
            <w:gridSpan w:val="2"/>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1.56% to 1.95%</w:t>
            </w:r>
          </w:p>
        </w:tc>
        <w:tc>
          <w:tcPr>
            <w:tcW w:w="60" w:type="dxa"/>
            <w:tcBorders/>
            <w:vAlign w:val="bottom"/>
          </w:tcPr>
          <w:p>
            <w:pPr>
              <w:pStyle w:val="TableContents"/>
              <w:bidi w:val="0"/>
              <w:spacing w:before="0" w:after="283"/>
              <w:jc w:val="left"/>
              <w:rPr/>
            </w:pPr>
            <w:r>
              <w:rPr/>
              <w:t> </w:t>
            </w:r>
          </w:p>
        </w:tc>
      </w:tr>
      <w:tr>
        <w:trPr/>
        <w:tc>
          <w:tcPr>
            <w:tcW w:w="315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Weighted average grant date fair value</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4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10.54</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total intrinsic value of options exercised during the six months ended June 30, 2023 and June 30, 2022 was $313 thousand and $74 thousand, respectively.</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u w:val="single"/>
        </w:rPr>
      </w:pPr>
      <w:r>
        <w:rPr>
          <w:rFonts w:ascii="Times New Roman" w:hAnsi="Times New Roman"/>
          <w:i/>
          <w:color w:val="000000"/>
          <w:sz w:val="20"/>
          <w:u w:val="single"/>
        </w:rPr>
        <w:t>Restricted Stock Awards and Units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summary of activity in the Plan during the period indicated is presented in the table below:</w:t>
      </w:r>
    </w:p>
    <w:p>
      <w:pPr>
        <w:pStyle w:val="TextBody"/>
        <w:bidi w:val="0"/>
        <w:spacing w:before="0" w:after="0"/>
        <w:jc w:val="left"/>
        <w:rPr/>
      </w:pPr>
      <w:r>
        <w:rPr/>
      </w:r>
    </w:p>
    <w:tbl>
      <w:tblPr>
        <w:tblW w:w="5464" w:type="dxa"/>
        <w:jc w:val="left"/>
        <w:tblInd w:w="0" w:type="dxa"/>
        <w:tblLayout w:type="fixed"/>
        <w:tblCellMar>
          <w:top w:w="0" w:type="dxa"/>
          <w:left w:w="0" w:type="dxa"/>
          <w:bottom w:w="0" w:type="dxa"/>
          <w:right w:w="0" w:type="dxa"/>
        </w:tblCellMar>
      </w:tblPr>
      <w:tblGrid>
        <w:gridCol w:w="2780"/>
        <w:gridCol w:w="60"/>
        <w:gridCol w:w="63"/>
        <w:gridCol w:w="736"/>
        <w:gridCol w:w="80"/>
        <w:gridCol w:w="60"/>
        <w:gridCol w:w="329"/>
        <w:gridCol w:w="1281"/>
        <w:gridCol w:w="75"/>
      </w:tblGrid>
      <w:tr>
        <w:trPr/>
        <w:tc>
          <w:tcPr>
            <w:tcW w:w="27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Number</w:t>
            </w:r>
          </w:p>
          <w:p>
            <w:pPr>
              <w:pStyle w:val="TableContents"/>
              <w:bidi w:val="0"/>
              <w:spacing w:before="0" w:after="0"/>
              <w:jc w:val="center"/>
              <w:rPr>
                <w:rFonts w:ascii="Times New Roman" w:hAnsi="Times New Roman"/>
                <w:b/>
                <w:sz w:val="20"/>
              </w:rPr>
            </w:pPr>
            <w:r>
              <w:rPr>
                <w:rFonts w:ascii="Times New Roman" w:hAnsi="Times New Roman"/>
                <w:b/>
                <w:sz w:val="20"/>
              </w:rPr>
              <w:t>of Shares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Weighted-Average</w:t>
            </w:r>
          </w:p>
          <w:p>
            <w:pPr>
              <w:pStyle w:val="TableContents"/>
              <w:bidi w:val="0"/>
              <w:spacing w:before="0" w:after="0"/>
              <w:jc w:val="center"/>
              <w:rPr>
                <w:rFonts w:ascii="Times New Roman" w:hAnsi="Times New Roman"/>
                <w:b/>
                <w:sz w:val="20"/>
              </w:rPr>
            </w:pPr>
            <w:r>
              <w:rPr>
                <w:rFonts w:ascii="Times New Roman" w:hAnsi="Times New Roman"/>
                <w:b/>
                <w:sz w:val="20"/>
              </w:rPr>
              <w:t>Grant Date</w:t>
            </w:r>
          </w:p>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75" w:type="dxa"/>
            <w:tcBorders/>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Six Months Ended June 30, 2023</w:t>
            </w:r>
          </w:p>
        </w:tc>
        <w:tc>
          <w:tcPr>
            <w:tcW w:w="60" w:type="dxa"/>
            <w:tcBorders/>
            <w:vAlign w:val="bottom"/>
          </w:tcPr>
          <w:p>
            <w:pPr>
              <w:pStyle w:val="TableContents"/>
              <w:bidi w:val="0"/>
              <w:spacing w:before="0" w:after="283"/>
              <w:jc w:val="left"/>
              <w:rPr/>
            </w:pPr>
            <w:r>
              <w:rPr/>
              <w:t> </w:t>
            </w:r>
          </w:p>
        </w:tc>
        <w:tc>
          <w:tcPr>
            <w:tcW w:w="799"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Outstanding at beginning of year:</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84,342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26.76</w:t>
            </w:r>
          </w:p>
        </w:tc>
        <w:tc>
          <w:tcPr>
            <w:tcW w:w="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Granted</w:t>
            </w:r>
          </w:p>
        </w:tc>
        <w:tc>
          <w:tcPr>
            <w:tcW w:w="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85,127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25.33</w:t>
            </w:r>
          </w:p>
        </w:tc>
        <w:tc>
          <w:tcPr>
            <w:tcW w:w="7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Vested</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(38,141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24.40</w:t>
            </w:r>
          </w:p>
        </w:tc>
        <w:tc>
          <w:tcPr>
            <w:tcW w:w="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Forfeited</w:t>
            </w:r>
          </w:p>
        </w:tc>
        <w:tc>
          <w:tcPr>
            <w:tcW w:w="60" w:type="dxa"/>
            <w:tcBorders/>
            <w:vAlign w:val="bottom"/>
          </w:tcPr>
          <w:p>
            <w:pPr>
              <w:pStyle w:val="TableContents"/>
              <w:bidi w:val="0"/>
              <w:spacing w:before="0" w:after="283"/>
              <w:jc w:val="right"/>
              <w:rPr/>
            </w:pPr>
            <w:r>
              <w:rPr/>
              <w:t> </w:t>
            </w:r>
          </w:p>
        </w:tc>
        <w:tc>
          <w:tcPr>
            <w:tcW w:w="63" w:type="dxa"/>
            <w:tcBorders>
              <w:bottom w:val="single" w:sz="12" w:space="0" w:color="000000"/>
            </w:tcBorders>
            <w:tcMar>
              <w:bottom w:w="28" w:type="dxa"/>
            </w:tcMar>
            <w:vAlign w:val="bottom"/>
          </w:tcPr>
          <w:p>
            <w:pPr>
              <w:pStyle w:val="TableContents"/>
              <w:bidi w:val="0"/>
              <w:spacing w:before="0" w:after="283"/>
              <w:jc w:val="left"/>
              <w:rPr/>
            </w:pPr>
            <w:r>
              <w:rPr/>
              <w:t> </w:t>
            </w:r>
          </w:p>
        </w:tc>
        <w:tc>
          <w:tcPr>
            <w:tcW w:w="73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(4,050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c>
          <w:tcPr>
            <w:tcW w:w="12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25.04</w:t>
            </w:r>
          </w:p>
        </w:tc>
        <w:tc>
          <w:tcPr>
            <w:tcW w:w="75" w:type="dxa"/>
            <w:tcBorders/>
            <w:vAlign w:val="bottom"/>
          </w:tcPr>
          <w:p>
            <w:pPr>
              <w:pStyle w:val="TableContents"/>
              <w:bidi w:val="0"/>
              <w:spacing w:before="0" w:after="283"/>
              <w:jc w:val="left"/>
              <w:rPr/>
            </w:pPr>
            <w:r>
              <w:rPr/>
              <w:t> </w:t>
            </w:r>
          </w:p>
        </w:tc>
      </w:tr>
      <w:tr>
        <w:trPr/>
        <w:tc>
          <w:tcPr>
            <w:tcW w:w="27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278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Balance, June 30, 2023</w:t>
            </w:r>
          </w:p>
        </w:tc>
        <w:tc>
          <w:tcPr>
            <w:tcW w:w="60" w:type="dxa"/>
            <w:tcBorders/>
            <w:vAlign w:val="bottom"/>
          </w:tcPr>
          <w:p>
            <w:pPr>
              <w:pStyle w:val="TableContents"/>
              <w:bidi w:val="0"/>
              <w:spacing w:before="0" w:after="283"/>
              <w:jc w:val="right"/>
              <w:rPr/>
            </w:pPr>
            <w:r>
              <w:rPr/>
              <w:t> </w:t>
            </w:r>
          </w:p>
        </w:tc>
        <w:tc>
          <w:tcPr>
            <w:tcW w:w="63" w:type="dxa"/>
            <w:tcBorders>
              <w:bottom w:val="double" w:sz="8" w:space="0" w:color="000000"/>
            </w:tcBorders>
            <w:tcMar>
              <w:bottom w:w="28" w:type="dxa"/>
            </w:tcMar>
            <w:vAlign w:val="bottom"/>
          </w:tcPr>
          <w:p>
            <w:pPr>
              <w:pStyle w:val="TableContents"/>
              <w:bidi w:val="0"/>
              <w:spacing w:before="0" w:after="283"/>
              <w:jc w:val="left"/>
              <w:rPr/>
            </w:pPr>
            <w:r>
              <w:rPr/>
              <w:t> </w:t>
            </w:r>
          </w:p>
        </w:tc>
        <w:tc>
          <w:tcPr>
            <w:tcW w:w="736"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127,278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9"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8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26.56</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Restricted stock units granted under the Plan typically vest from one to four years, but vesting periods may vary. Compensation expense for these grants will be recognized over the vesting period of the awards based on the fair value of the stock at the issue date.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total unrecognized compensation cost for the awards outstanding under the Plan at June 30, 2023 was $4.0 million and will be recognized over a weighted average remaining period of 1.73 years. The total fair value of restricted stock units vested during each of the six months ended June 30, 2023 and June 30, 2022 was $930 thousand and $488 thousand, respectively.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  OFF-BALANCE-SHEET ACTIVITIES, COMMITMENTS AND CONTINGENCIES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val="false"/>
          <w:i/>
          <w:caps w:val="false"/>
          <w:smallCaps w:val="false"/>
          <w:color w:val="000000"/>
          <w:sz w:val="20"/>
          <w:u w:val="single"/>
          <w:shd w:fill="FFFFFF" w:val="clear"/>
        </w:rPr>
        <w:t>Financial instruments with off-balance-sheet risk</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 The Company is a party to financial instruments with off-balance-sheet risk in the normal course of business to meet the financing needs of its customers. These financial instruments include commitments to extend credit and standby letters of credit. Such commitments involve, to varying degrees, elements of credit and interest rate risk in excess of the amount recognized in the consolidated financial statements. The Company’s exposure to credit loss is represented by the contractual amount of these commitments. The Company follows the same credit policies in making commitments as it does for recorded instruments.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Financial instruments whose contract amounts represent credit risk outstanding at the dates indicated follow (dollars in thousands):</w:t>
      </w:r>
    </w:p>
    <w:p>
      <w:pPr>
        <w:pStyle w:val="TextBody"/>
        <w:bidi w:val="0"/>
        <w:spacing w:before="0" w:after="0"/>
        <w:jc w:val="left"/>
        <w:rPr/>
      </w:pPr>
      <w:r>
        <w:rPr/>
      </w:r>
    </w:p>
    <w:tbl>
      <w:tblPr>
        <w:tblW w:w="8554" w:type="dxa"/>
        <w:jc w:val="left"/>
        <w:tblInd w:w="0" w:type="dxa"/>
        <w:tblLayout w:type="fixed"/>
        <w:tblCellMar>
          <w:top w:w="0" w:type="dxa"/>
          <w:left w:w="0" w:type="dxa"/>
          <w:bottom w:w="0" w:type="dxa"/>
          <w:right w:w="0" w:type="dxa"/>
        </w:tblCellMar>
      </w:tblPr>
      <w:tblGrid>
        <w:gridCol w:w="6305"/>
        <w:gridCol w:w="60"/>
        <w:gridCol w:w="125"/>
        <w:gridCol w:w="695"/>
        <w:gridCol w:w="60"/>
        <w:gridCol w:w="60"/>
        <w:gridCol w:w="178"/>
        <w:gridCol w:w="996"/>
        <w:gridCol w:w="75"/>
      </w:tblGrid>
      <w:tr>
        <w:trPr/>
        <w:tc>
          <w:tcPr>
            <w:tcW w:w="63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w:t>
            </w:r>
          </w:p>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w:t>
            </w:r>
          </w:p>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75" w:type="dxa"/>
            <w:tcBorders/>
            <w:vAlign w:val="bottom"/>
          </w:tcPr>
          <w:p>
            <w:pPr>
              <w:pStyle w:val="TableContents"/>
              <w:bidi w:val="0"/>
              <w:spacing w:before="0" w:after="283"/>
              <w:jc w:val="left"/>
              <w:rPr/>
            </w:pPr>
            <w:r>
              <w:rPr/>
              <w:t> </w:t>
            </w:r>
          </w:p>
        </w:tc>
      </w:tr>
      <w:tr>
        <w:trPr/>
        <w:tc>
          <w:tcPr>
            <w:tcW w:w="630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Commitments to grant loans and unfunded commitments under lines of credit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637,400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682,296</w:t>
            </w:r>
          </w:p>
        </w:tc>
        <w:tc>
          <w:tcPr>
            <w:tcW w:w="75" w:type="dxa"/>
            <w:tcBorders/>
            <w:shd w:fill="CCEEFF" w:val="clear"/>
            <w:vAlign w:val="bottom"/>
          </w:tcPr>
          <w:p>
            <w:pPr>
              <w:pStyle w:val="TableContents"/>
              <w:bidi w:val="0"/>
              <w:spacing w:before="0" w:after="283"/>
              <w:jc w:val="left"/>
              <w:rPr/>
            </w:pPr>
            <w:r>
              <w:rPr/>
              <w:t> </w:t>
            </w:r>
          </w:p>
        </w:tc>
      </w:tr>
      <w:tr>
        <w:trPr/>
        <w:tc>
          <w:tcPr>
            <w:tcW w:w="630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Standby letters of credit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12,779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8"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13,864</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u w:val="single"/>
        </w:rPr>
        <w:t>FHLB Letters of Credit</w:t>
      </w:r>
      <w:r>
        <w:rPr>
          <w:rFonts w:ascii="Times New Roman" w:hAnsi="Times New Roman"/>
          <w:color w:val="000000"/>
          <w:sz w:val="20"/>
        </w:rPr>
        <w:t> - The Company may use FHLB letters of credit to pledge to certain public deposits. The Company had no FHLB letters of credit outstanding at June 30, 2023 or December 31, 2022.</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color w:val="000000"/>
          <w:spacing w:val="0"/>
          <w:sz w:val="20"/>
          <w:shd w:fill="FFFFFF" w:val="clear"/>
        </w:rPr>
      </w:pPr>
      <w:r>
        <w:rPr>
          <w:rFonts w:ascii="Times New Roman" w:hAnsi="Times New Roman"/>
          <w:b/>
          <w:i/>
          <w:color w:val="000000"/>
          <w:spacing w:val="0"/>
          <w:sz w:val="20"/>
          <w:shd w:fill="FFFFFF" w:val="clear"/>
        </w:rPr>
        <w:t>9.  LEASES</w:t>
      </w:r>
    </w:p>
    <w:p>
      <w:pPr>
        <w:pStyle w:val="TextBody"/>
        <w:bidi w:val="0"/>
        <w:spacing w:before="0" w:after="0"/>
        <w:jc w:val="left"/>
        <w:rPr/>
      </w:pPr>
      <w:r>
        <w:rPr/>
      </w:r>
    </w:p>
    <w:p>
      <w:pPr>
        <w:pStyle w:val="TextBody"/>
        <w:bidi w:val="0"/>
        <w:spacing w:before="0" w:after="0"/>
        <w:ind w:left="720" w:right="0" w:hanging="720"/>
        <w:jc w:val="both"/>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 leases space, primarily for branch facilities and small equipment under operating leases. The Company’s leases often include one or more options to renew at the Company’s discretion, and some of the Company’s leases include options to terminate within one year. When it is reasonably certain that the Company will exercise the option to renew or extend the lease term, that option is included in estimating the value of the ROU asset and lease liability. The Company’s leases contain customary restrictions and covenants and do not contain any residual value guarantees. The Company has certain intercompany leases and subleases between its subsidiaries, and these transactions and balances have been eliminated in consolidation and are not reflected in the tables and information presented below. As of June 30, 2023 and December 31, 2022, the Company had no finance leases.</w:t>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balance sheet components of the Company’s leases are as follows (in thousands):</w:t>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8954" w:type="dxa"/>
        <w:jc w:val="left"/>
        <w:tblInd w:w="0" w:type="dxa"/>
        <w:tblLayout w:type="fixed"/>
        <w:tblCellMar>
          <w:top w:w="0" w:type="dxa"/>
          <w:left w:w="0" w:type="dxa"/>
          <w:bottom w:w="0" w:type="dxa"/>
          <w:right w:w="0" w:type="dxa"/>
        </w:tblCellMar>
      </w:tblPr>
      <w:tblGrid>
        <w:gridCol w:w="6350"/>
        <w:gridCol w:w="60"/>
        <w:gridCol w:w="191"/>
        <w:gridCol w:w="743"/>
        <w:gridCol w:w="60"/>
        <w:gridCol w:w="60"/>
        <w:gridCol w:w="283"/>
        <w:gridCol w:w="1132"/>
        <w:gridCol w:w="75"/>
      </w:tblGrid>
      <w:tr>
        <w:trPr/>
        <w:tc>
          <w:tcPr>
            <w:tcW w:w="6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rPr>
            </w:pPr>
            <w:r>
              <w:rPr>
                <w:rFonts w:ascii="Times New Roman" w:hAnsi="Times New Roman"/>
                <w:b/>
                <w:color w:val="000000"/>
              </w:rPr>
              <w:t xml:space="preserve">June 30,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2023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December 31,</w:t>
            </w:r>
          </w:p>
          <w:p>
            <w:pPr>
              <w:pStyle w:val="TableContents"/>
              <w:bidi w:val="0"/>
              <w:spacing w:before="0" w:after="0"/>
              <w:jc w:val="center"/>
              <w:rPr>
                <w:b/>
              </w:rPr>
            </w:pPr>
            <w:r>
              <w:rPr>
                <w:b/>
              </w:rPr>
              <w:t>2022</w:t>
            </w:r>
          </w:p>
        </w:tc>
        <w:tc>
          <w:tcPr>
            <w:tcW w:w="75" w:type="dxa"/>
            <w:tcBorders/>
            <w:vAlign w:val="bottom"/>
          </w:tcPr>
          <w:p>
            <w:pPr>
              <w:pStyle w:val="TableContents"/>
              <w:bidi w:val="0"/>
              <w:spacing w:before="0" w:after="283"/>
              <w:jc w:val="left"/>
              <w:rPr/>
            </w:pPr>
            <w:r>
              <w:rPr/>
              <w:t> </w:t>
            </w:r>
          </w:p>
        </w:tc>
      </w:tr>
      <w:tr>
        <w:trPr/>
        <w:tc>
          <w:tcPr>
            <w:tcW w:w="635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Operating lease right of use assets (included in Other assets)</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2" w:type="dxa"/>
            <w:tcBorders/>
            <w:shd w:fill="CCEEFF" w:val="clear"/>
            <w:vAlign w:val="bottom"/>
          </w:tcPr>
          <w:p>
            <w:pPr>
              <w:pStyle w:val="TableContents"/>
              <w:bidi w:val="0"/>
              <w:spacing w:before="0" w:after="283"/>
              <w:jc w:val="right"/>
              <w:rPr/>
            </w:pPr>
            <w:r>
              <w:rPr/>
              <w:t>7,938</w:t>
            </w:r>
          </w:p>
        </w:tc>
        <w:tc>
          <w:tcPr>
            <w:tcW w:w="75" w:type="dxa"/>
            <w:tcBorders/>
            <w:shd w:fill="CCEEFF" w:val="clear"/>
            <w:vAlign w:val="bottom"/>
          </w:tcPr>
          <w:p>
            <w:pPr>
              <w:pStyle w:val="TableContents"/>
              <w:bidi w:val="0"/>
              <w:spacing w:before="0" w:after="283"/>
              <w:jc w:val="left"/>
              <w:rPr/>
            </w:pPr>
            <w:r>
              <w:rPr/>
              <w:t> </w:t>
            </w:r>
          </w:p>
        </w:tc>
      </w:tr>
      <w:tr>
        <w:trPr/>
        <w:tc>
          <w:tcPr>
            <w:tcW w:w="635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Operating lease liabilities (included in Accrued expenses and other liabilities)</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right"/>
              <w:rPr/>
            </w:pPr>
            <w:r>
              <w:rPr/>
              <w:t>8,897</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 does not generally enter into leases which contain variable payments, other than due to the passage of time. Operating lease costs, including short-term lease costs were $954 thousand and $1.7 million, respectively, for the three and six months ended June 30, 2023. Operating lease costs, including short-term lease costs were $747 thousand and $1,411 million, respectively, for the three and six months ended June 30, 2022.</w:t>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Supplemental cash flow information related to leases is as follows (in thousands):</w:t>
      </w:r>
    </w:p>
    <w:p>
      <w:pPr>
        <w:pStyle w:val="TextBody"/>
        <w:bidi w:val="0"/>
        <w:spacing w:before="0" w:after="0"/>
        <w:ind w:left="0" w:right="0" w:hanging="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6018"/>
        <w:gridCol w:w="60"/>
        <w:gridCol w:w="219"/>
        <w:gridCol w:w="881"/>
        <w:gridCol w:w="93"/>
        <w:gridCol w:w="93"/>
        <w:gridCol w:w="219"/>
        <w:gridCol w:w="597"/>
        <w:gridCol w:w="60"/>
        <w:gridCol w:w="60"/>
        <w:gridCol w:w="192"/>
        <w:gridCol w:w="770"/>
        <w:gridCol w:w="82"/>
        <w:gridCol w:w="82"/>
        <w:gridCol w:w="192"/>
        <w:gridCol w:w="522"/>
        <w:gridCol w:w="65"/>
      </w:tblGrid>
      <w:tr>
        <w:trPr/>
        <w:tc>
          <w:tcPr>
            <w:tcW w:w="6018" w:type="dxa"/>
            <w:tcBorders/>
            <w:vAlign w:val="bottom"/>
          </w:tcPr>
          <w:p>
            <w:pPr>
              <w:pStyle w:val="TableContents"/>
              <w:bidi w:val="0"/>
              <w:spacing w:before="0" w:after="283"/>
              <w:jc w:val="left"/>
              <w:rPr/>
            </w:pPr>
            <w:r>
              <w:rPr/>
              <w:br/>
              <w:t> </w:t>
            </w:r>
          </w:p>
        </w:tc>
        <w:tc>
          <w:tcPr>
            <w:tcW w:w="60" w:type="dxa"/>
            <w:tcBorders/>
            <w:vAlign w:val="bottom"/>
          </w:tcPr>
          <w:p>
            <w:pPr>
              <w:pStyle w:val="TableContents"/>
              <w:bidi w:val="0"/>
              <w:spacing w:before="0" w:after="283"/>
              <w:jc w:val="left"/>
              <w:rPr/>
            </w:pPr>
            <w:r>
              <w:rPr/>
              <w:t> </w:t>
            </w:r>
          </w:p>
        </w:tc>
        <w:tc>
          <w:tcPr>
            <w:tcW w:w="210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65" w:type="dxa"/>
            <w:tcBorders/>
            <w:vAlign w:val="bottom"/>
          </w:tcPr>
          <w:p>
            <w:pPr>
              <w:pStyle w:val="TableContents"/>
              <w:bidi w:val="0"/>
              <w:spacing w:before="0" w:after="283"/>
              <w:jc w:val="left"/>
              <w:rPr/>
            </w:pPr>
            <w:r>
              <w:rPr/>
              <w:t> </w:t>
            </w:r>
          </w:p>
        </w:tc>
      </w:tr>
      <w:tr>
        <w:trPr/>
        <w:tc>
          <w:tcPr>
            <w:tcW w:w="601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1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65" w:type="dxa"/>
            <w:tcBorders/>
            <w:vAlign w:val="bottom"/>
          </w:tcPr>
          <w:p>
            <w:pPr>
              <w:pStyle w:val="TableContents"/>
              <w:bidi w:val="0"/>
              <w:spacing w:before="0" w:after="283"/>
              <w:jc w:val="left"/>
              <w:rPr/>
            </w:pPr>
            <w:r>
              <w:rPr/>
              <w:t> </w:t>
            </w:r>
          </w:p>
        </w:tc>
      </w:tr>
      <w:tr>
        <w:trPr/>
        <w:tc>
          <w:tcPr>
            <w:tcW w:w="6018" w:type="dxa"/>
            <w:tcBorders/>
            <w:vAlign w:val="bottom"/>
          </w:tcPr>
          <w:p>
            <w:pPr>
              <w:pStyle w:val="TableContents"/>
              <w:bidi w:val="0"/>
              <w:spacing w:before="0" w:after="0"/>
              <w:ind w:left="144" w:right="0" w:hanging="144"/>
              <w:jc w:val="left"/>
              <w:rPr>
                <w:color w:val="000000"/>
              </w:rPr>
            </w:pPr>
            <w:r>
              <w:rPr>
                <w:color w:val="000000"/>
              </w:rPr>
              <w:t>Cash paid for amounts included in the measurement of lease liabilities:</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1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2" w:type="dxa"/>
            <w:gridSpan w:val="2"/>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14"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6018" w:type="dxa"/>
            <w:tcBorders/>
            <w:shd w:fill="CCEEFF" w:val="clear"/>
            <w:vAlign w:val="bottom"/>
          </w:tcPr>
          <w:p>
            <w:pPr>
              <w:pStyle w:val="TableContents"/>
              <w:bidi w:val="0"/>
              <w:spacing w:before="0" w:after="0"/>
              <w:ind w:left="360" w:right="0" w:hanging="180"/>
              <w:jc w:val="left"/>
              <w:rPr>
                <w:color w:val="000000"/>
              </w:rPr>
            </w:pPr>
            <w:r>
              <w:rPr>
                <w:color w:val="000000"/>
              </w:rPr>
              <w:t>Operating cash flows used in operating leases</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0"/>
              <w:jc w:val="left"/>
              <w:rPr>
                <w:color w:val="000000"/>
              </w:rPr>
            </w:pPr>
            <w:r>
              <w:rPr>
                <w:color w:val="000000"/>
              </w:rPr>
              <w:t>$</w:t>
            </w:r>
          </w:p>
        </w:tc>
        <w:tc>
          <w:tcPr>
            <w:tcW w:w="881" w:type="dxa"/>
            <w:tcBorders/>
            <w:shd w:fill="CCEEFF" w:val="clear"/>
            <w:vAlign w:val="bottom"/>
          </w:tcPr>
          <w:p>
            <w:pPr>
              <w:pStyle w:val="TableContents"/>
              <w:bidi w:val="0"/>
              <w:spacing w:before="0" w:after="0"/>
              <w:jc w:val="right"/>
              <w:rPr>
                <w:color w:val="000000"/>
              </w:rPr>
            </w:pPr>
            <w:r>
              <w:rPr>
                <w:color w:val="000000"/>
              </w:rPr>
              <w:t>546</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0"/>
              <w:jc w:val="left"/>
              <w:rPr>
                <w:color w:val="000000"/>
              </w:rPr>
            </w:pPr>
            <w:r>
              <w:rPr>
                <w:color w:val="000000"/>
              </w:rPr>
              <w:t>$</w:t>
            </w:r>
          </w:p>
        </w:tc>
        <w:tc>
          <w:tcPr>
            <w:tcW w:w="597" w:type="dxa"/>
            <w:tcBorders/>
            <w:shd w:fill="CCEEFF" w:val="clear"/>
            <w:vAlign w:val="bottom"/>
          </w:tcPr>
          <w:p>
            <w:pPr>
              <w:pStyle w:val="TableContents"/>
              <w:bidi w:val="0"/>
              <w:spacing w:before="0" w:after="0"/>
              <w:jc w:val="right"/>
              <w:rPr>
                <w:color w:val="000000"/>
              </w:rPr>
            </w:pPr>
            <w:r>
              <w:rPr>
                <w:color w:val="000000"/>
              </w:rPr>
              <w:t>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770" w:type="dxa"/>
            <w:tcBorders/>
            <w:shd w:fill="CCEEFF" w:val="clear"/>
            <w:vAlign w:val="bottom"/>
          </w:tcPr>
          <w:p>
            <w:pPr>
              <w:pStyle w:val="TableContents"/>
              <w:bidi w:val="0"/>
              <w:spacing w:before="0" w:after="0"/>
              <w:jc w:val="right"/>
              <w:rPr>
                <w:color w:val="000000"/>
              </w:rPr>
            </w:pPr>
            <w:r>
              <w:rPr>
                <w:color w:val="000000"/>
              </w:rPr>
              <w:t>1,030</w:t>
            </w:r>
          </w:p>
        </w:tc>
        <w:tc>
          <w:tcPr>
            <w:tcW w:w="8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522" w:type="dxa"/>
            <w:tcBorders/>
            <w:shd w:fill="CCEEFF" w:val="clear"/>
            <w:vAlign w:val="bottom"/>
          </w:tcPr>
          <w:p>
            <w:pPr>
              <w:pStyle w:val="TableContents"/>
              <w:bidi w:val="0"/>
              <w:spacing w:before="0" w:after="0"/>
              <w:jc w:val="right"/>
              <w:rPr>
                <w:color w:val="000000"/>
              </w:rPr>
            </w:pPr>
            <w:r>
              <w:rPr>
                <w:color w:val="000000"/>
              </w:rPr>
              <w:t>971</w:t>
            </w:r>
          </w:p>
        </w:tc>
        <w:tc>
          <w:tcPr>
            <w:tcW w:w="65" w:type="dxa"/>
            <w:tcBorders/>
            <w:shd w:fill="CCEEFF" w:val="clear"/>
            <w:vAlign w:val="bottom"/>
          </w:tcPr>
          <w:p>
            <w:pPr>
              <w:pStyle w:val="TableContents"/>
              <w:bidi w:val="0"/>
              <w:spacing w:before="0" w:after="283"/>
              <w:jc w:val="left"/>
              <w:rPr/>
            </w:pPr>
            <w:r>
              <w:rPr/>
              <w:t> </w:t>
            </w:r>
          </w:p>
        </w:tc>
      </w:tr>
      <w:tr>
        <w:trPr/>
        <w:tc>
          <w:tcPr>
            <w:tcW w:w="6018" w:type="dxa"/>
            <w:tcBorders/>
            <w:vAlign w:val="bottom"/>
          </w:tcPr>
          <w:p>
            <w:pPr>
              <w:pStyle w:val="TableContents"/>
              <w:bidi w:val="0"/>
              <w:spacing w:before="0" w:after="0"/>
              <w:ind w:left="144" w:right="0" w:hanging="144"/>
              <w:jc w:val="left"/>
              <w:rPr>
                <w:color w:val="000000"/>
              </w:rPr>
            </w:pPr>
            <w:r>
              <w:rPr>
                <w:color w:val="000000"/>
              </w:rPr>
              <w:t>Right-of-use assets obtained in exchange for new lease obligations:</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right"/>
              <w:rPr/>
            </w:pPr>
            <w:r>
              <w:rPr/>
              <w:t>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52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6018" w:type="dxa"/>
            <w:tcBorders/>
            <w:shd w:fill="CCEEFF" w:val="clear"/>
            <w:vAlign w:val="bottom"/>
          </w:tcPr>
          <w:p>
            <w:pPr>
              <w:pStyle w:val="TableContents"/>
              <w:bidi w:val="0"/>
              <w:spacing w:before="0" w:after="0"/>
              <w:ind w:left="0" w:right="0" w:firstLine="216"/>
              <w:jc w:val="left"/>
              <w:rPr>
                <w:color w:val="000000"/>
              </w:rPr>
            </w:pPr>
            <w:r>
              <w:rPr>
                <w:color w:val="000000"/>
              </w:rPr>
              <w:t>Operating leases</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0"/>
              <w:jc w:val="left"/>
              <w:rPr>
                <w:color w:val="000000"/>
              </w:rPr>
            </w:pPr>
            <w:r>
              <w:rPr>
                <w:color w:val="000000"/>
              </w:rPr>
              <w:t>$</w:t>
            </w:r>
          </w:p>
        </w:tc>
        <w:tc>
          <w:tcPr>
            <w:tcW w:w="881" w:type="dxa"/>
            <w:tcBorders/>
            <w:shd w:fill="CCEEFF" w:val="clear"/>
            <w:vAlign w:val="bottom"/>
          </w:tcPr>
          <w:p>
            <w:pPr>
              <w:pStyle w:val="TableContents"/>
              <w:bidi w:val="0"/>
              <w:spacing w:before="0" w:after="0"/>
              <w:jc w:val="right"/>
              <w:rPr>
                <w:color w:val="000000"/>
              </w:rPr>
            </w:pPr>
            <w:r>
              <w:rPr>
                <w:color w:val="000000"/>
              </w:rPr>
              <w:t>1,215</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0"/>
              <w:jc w:val="left"/>
              <w:rPr>
                <w:color w:val="000000"/>
              </w:rPr>
            </w:pPr>
            <w:r>
              <w:rPr>
                <w:color w:val="000000"/>
              </w:rPr>
              <w:t>$</w:t>
            </w:r>
          </w:p>
        </w:tc>
        <w:tc>
          <w:tcPr>
            <w:tcW w:w="59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770" w:type="dxa"/>
            <w:tcBorders/>
            <w:shd w:fill="CCEEFF" w:val="clear"/>
            <w:vAlign w:val="bottom"/>
          </w:tcPr>
          <w:p>
            <w:pPr>
              <w:pStyle w:val="TableContents"/>
              <w:bidi w:val="0"/>
              <w:spacing w:before="0" w:after="0"/>
              <w:jc w:val="right"/>
              <w:rPr>
                <w:color w:val="000000"/>
              </w:rPr>
            </w:pPr>
            <w:r>
              <w:rPr>
                <w:color w:val="000000"/>
              </w:rPr>
              <w:t>2,032</w:t>
            </w:r>
          </w:p>
        </w:tc>
        <w:tc>
          <w:tcPr>
            <w:tcW w:w="82"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522" w:type="dxa"/>
            <w:tcBorders/>
            <w:shd w:fill="CCEEFF" w:val="clear"/>
            <w:vAlign w:val="bottom"/>
          </w:tcPr>
          <w:p>
            <w:pPr>
              <w:pStyle w:val="TableContents"/>
              <w:bidi w:val="0"/>
              <w:spacing w:before="0" w:after="0"/>
              <w:jc w:val="right"/>
              <w:rPr>
                <w:color w:val="000000"/>
              </w:rPr>
            </w:pPr>
            <w:r>
              <w:rPr>
                <w:color w:val="000000"/>
              </w:rPr>
              <w:t>—</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For operating leases the Company’s weighted average remaining lease terms in years and weighted average discount rate was 10.22 and 5.38%, respectively, as of June 30, 2023, and 9.83 and 4.65%, respectively, as of December 31, 2022.</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Future undiscounted lease payments at June 30, 2023, under operating lease agreements, are presented below (in thousands).</w:t>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3740" w:type="dxa"/>
        <w:jc w:val="left"/>
        <w:tblInd w:w="0" w:type="dxa"/>
        <w:tblLayout w:type="fixed"/>
        <w:tblCellMar>
          <w:top w:w="0" w:type="dxa"/>
          <w:left w:w="0" w:type="dxa"/>
          <w:bottom w:w="0" w:type="dxa"/>
          <w:right w:w="0" w:type="dxa"/>
        </w:tblCellMar>
      </w:tblPr>
      <w:tblGrid>
        <w:gridCol w:w="2855"/>
        <w:gridCol w:w="60"/>
        <w:gridCol w:w="125"/>
        <w:gridCol w:w="590"/>
        <w:gridCol w:w="110"/>
      </w:tblGrid>
      <w:tr>
        <w:trPr/>
        <w:tc>
          <w:tcPr>
            <w:tcW w:w="28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2023</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955</w:t>
            </w:r>
          </w:p>
        </w:tc>
        <w:tc>
          <w:tcPr>
            <w:tcW w:w="110"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2024</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1,656</w:t>
            </w:r>
          </w:p>
        </w:tc>
        <w:tc>
          <w:tcPr>
            <w:tcW w:w="11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2025</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1,321</w:t>
            </w:r>
          </w:p>
        </w:tc>
        <w:tc>
          <w:tcPr>
            <w:tcW w:w="110"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2026</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1,259</w:t>
            </w:r>
          </w:p>
        </w:tc>
        <w:tc>
          <w:tcPr>
            <w:tcW w:w="11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2027</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1,209</w:t>
            </w:r>
          </w:p>
        </w:tc>
        <w:tc>
          <w:tcPr>
            <w:tcW w:w="110"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Thereafter</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6,642</w:t>
            </w:r>
          </w:p>
        </w:tc>
        <w:tc>
          <w:tcPr>
            <w:tcW w:w="110" w:type="dxa"/>
            <w:tcBorders/>
            <w:vAlign w:val="bottom"/>
          </w:tcPr>
          <w:p>
            <w:pPr>
              <w:pStyle w:val="TableContents"/>
              <w:bidi w:val="0"/>
              <w:spacing w:before="0" w:after="283"/>
              <w:jc w:val="left"/>
              <w:rPr/>
            </w:pPr>
            <w:r>
              <w:rPr/>
              <w:t> </w:t>
            </w:r>
          </w:p>
        </w:tc>
      </w:tr>
      <w:tr>
        <w:trPr/>
        <w:tc>
          <w:tcPr>
            <w:tcW w:w="28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Total minimum lease payments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13,042</w:t>
            </w:r>
          </w:p>
        </w:tc>
        <w:tc>
          <w:tcPr>
            <w:tcW w:w="110" w:type="dxa"/>
            <w:tcBorders/>
            <w:shd w:fill="CCEEFF" w:val="clear"/>
            <w:vAlign w:val="bottom"/>
          </w:tcPr>
          <w:p>
            <w:pPr>
              <w:pStyle w:val="TableContents"/>
              <w:bidi w:val="0"/>
              <w:spacing w:before="0" w:after="283"/>
              <w:jc w:val="left"/>
              <w:rPr/>
            </w:pPr>
            <w:r>
              <w:rPr/>
              <w:t> </w:t>
            </w:r>
          </w:p>
        </w:tc>
      </w:tr>
      <w:tr>
        <w:trPr/>
        <w:tc>
          <w:tcPr>
            <w:tcW w:w="285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Less: Amount representing interest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(3,179</w:t>
            </w:r>
          </w:p>
        </w:tc>
        <w:tc>
          <w:tcPr>
            <w:tcW w:w="110" w:type="dxa"/>
            <w:tcBorders/>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r>
      <w:tr>
        <w:trPr/>
        <w:tc>
          <w:tcPr>
            <w:tcW w:w="2855"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Lease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9,863</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bidi w:val="0"/>
        <w:spacing w:before="0" w:after="0"/>
        <w:ind w:left="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As of June 30, 2023, the Company had no additional operating leases that have not yet commenced.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10.  CAPITAL AND REGULATORY MATTERS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June 30, 2023 and December 31, 2022, that the Company and its bank subsidiary met all capital adequacy requirements to which they are subject.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June 30, 2023 and December 31, 2022, the Company met the definition of “well-capitalized” under the applicable regulations of the Board of Governors of the Federal Reserve System and the bank subsidiary was “well capitalized” under the FDIC’s regulatory framework for prompt corrective action and the Basel III capital guidelines. To be categorized as well capitalized, an institution must maintain minimum total risk-based, Tier 1 risk-based and Tier 1 leverage ratios as set forth in the following tables. There are no conditions or events since June 30, 2023 that management believes have changed the bank subsidiary’s category.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and its bank subsidiary’s actual capital amounts and ratios at the dates indicated follows (dollars in thousands):</w:t>
      </w:r>
    </w:p>
    <w:p>
      <w:pPr>
        <w:pStyle w:val="TextBody"/>
        <w:bidi w:val="0"/>
        <w:spacing w:before="0" w:after="0"/>
        <w:jc w:val="left"/>
        <w:rPr/>
      </w:pPr>
      <w:r>
        <w:rPr/>
      </w:r>
    </w:p>
    <w:tbl>
      <w:tblPr>
        <w:tblW w:w="10104" w:type="dxa"/>
        <w:jc w:val="left"/>
        <w:tblInd w:w="0" w:type="dxa"/>
        <w:tblLayout w:type="fixed"/>
        <w:tblCellMar>
          <w:top w:w="0" w:type="dxa"/>
          <w:left w:w="0" w:type="dxa"/>
          <w:bottom w:w="0" w:type="dxa"/>
          <w:right w:w="0" w:type="dxa"/>
        </w:tblCellMar>
      </w:tblPr>
      <w:tblGrid>
        <w:gridCol w:w="3995"/>
        <w:gridCol w:w="60"/>
        <w:gridCol w:w="125"/>
        <w:gridCol w:w="695"/>
        <w:gridCol w:w="60"/>
        <w:gridCol w:w="60"/>
        <w:gridCol w:w="60"/>
        <w:gridCol w:w="485"/>
        <w:gridCol w:w="185"/>
        <w:gridCol w:w="60"/>
        <w:gridCol w:w="141"/>
        <w:gridCol w:w="788"/>
        <w:gridCol w:w="68"/>
        <w:gridCol w:w="68"/>
        <w:gridCol w:w="68"/>
        <w:gridCol w:w="550"/>
        <w:gridCol w:w="185"/>
        <w:gridCol w:w="60"/>
        <w:gridCol w:w="184"/>
        <w:gridCol w:w="1027"/>
        <w:gridCol w:w="88"/>
        <w:gridCol w:w="88"/>
        <w:gridCol w:w="88"/>
        <w:gridCol w:w="716"/>
        <w:gridCol w:w="200"/>
      </w:tblGrid>
      <w:tr>
        <w:trPr/>
        <w:tc>
          <w:tcPr>
            <w:tcW w:w="3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Actual</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Minimum Required</w:t>
            </w:r>
          </w:p>
          <w:p>
            <w:pPr>
              <w:pStyle w:val="TableContents"/>
              <w:bidi w:val="0"/>
              <w:spacing w:before="0" w:after="0"/>
              <w:jc w:val="center"/>
              <w:rPr>
                <w:rFonts w:ascii="Times New Roman" w:hAnsi="Times New Roman"/>
                <w:b/>
                <w:sz w:val="20"/>
              </w:rPr>
            </w:pPr>
            <w:r>
              <w:rPr>
                <w:rFonts w:ascii="Times New Roman" w:hAnsi="Times New Roman"/>
                <w:b/>
                <w:sz w:val="20"/>
              </w:rPr>
              <w:t>Under BASEL III</w:t>
            </w:r>
          </w:p>
          <w:p>
            <w:pPr>
              <w:pStyle w:val="TableContents"/>
              <w:bidi w:val="0"/>
              <w:spacing w:before="0" w:after="0"/>
              <w:jc w:val="center"/>
              <w:rPr>
                <w:rFonts w:ascii="Times New Roman" w:hAnsi="Times New Roman"/>
                <w:b/>
                <w:sz w:val="20"/>
              </w:rPr>
            </w:pPr>
            <w:r>
              <w:rPr>
                <w:rFonts w:ascii="Times New Roman" w:hAnsi="Times New Roman"/>
                <w:b/>
                <w:sz w:val="20"/>
              </w:rPr>
              <w:t>Fully Phased-In</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1"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 Be Well Capitalized</w:t>
            </w:r>
          </w:p>
          <w:p>
            <w:pPr>
              <w:pStyle w:val="TableContents"/>
              <w:bidi w:val="0"/>
              <w:spacing w:before="0" w:after="0"/>
              <w:jc w:val="center"/>
              <w:rPr>
                <w:rFonts w:ascii="Times New Roman" w:hAnsi="Times New Roman"/>
                <w:b/>
                <w:sz w:val="20"/>
              </w:rPr>
            </w:pPr>
            <w:r>
              <w:rPr>
                <w:rFonts w:ascii="Times New Roman" w:hAnsi="Times New Roman"/>
                <w:b/>
                <w:sz w:val="20"/>
              </w:rPr>
              <w:t>Under Prompt Corrective</w:t>
            </w:r>
          </w:p>
          <w:p>
            <w:pPr>
              <w:pStyle w:val="TableContents"/>
              <w:bidi w:val="0"/>
              <w:spacing w:before="0" w:after="0"/>
              <w:jc w:val="center"/>
              <w:rPr>
                <w:rFonts w:ascii="Times New Roman" w:hAnsi="Times New Roman"/>
                <w:b/>
                <w:sz w:val="20"/>
              </w:rPr>
            </w:pPr>
            <w:r>
              <w:rPr>
                <w:rFonts w:ascii="Times New Roman" w:hAnsi="Times New Roman"/>
                <w:b/>
                <w:sz w:val="20"/>
              </w:rPr>
              <w:t>Action Framework</w:t>
            </w:r>
          </w:p>
        </w:tc>
        <w:tc>
          <w:tcPr>
            <w:tcW w:w="200" w:type="dxa"/>
            <w:tcBorders/>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Ratio</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1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Ratio</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Ratio</w:t>
            </w:r>
          </w:p>
        </w:tc>
        <w:tc>
          <w:tcPr>
            <w:tcW w:w="200" w:type="dxa"/>
            <w:tcBorders/>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June 30, 2023</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9"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18"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1" w:type="dxa"/>
            <w:gridSpan w:val="2"/>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04"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Capital to Risk Weighted Assets:</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5"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9" w:type="dxa"/>
            <w:gridSpan w:val="2"/>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18"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1" w:type="dxa"/>
            <w:gridSpan w:val="2"/>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04" w:type="dxa"/>
            <w:gridSpan w:val="2"/>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597,335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16.75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374,384</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492,582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13.73</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376,681</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358,744</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10.00</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Tier I Capital to Risk Weighted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476,708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13.37</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303,073</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447,754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12.48</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304,932</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286,995</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8.00</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Common Equity Tier 1 to Risk Weighted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431,708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12.11</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249,589</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447,754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12.48</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251,121</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233,183</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6.50</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Tier I Capital to Average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476,706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11.67</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164,207</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447,754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10.97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164,207</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204,152</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5.00</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 Capital to Risk Weighted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559,094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16.58</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354,045</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454,427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13.48</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353,967</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337,112</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10.00</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Tier I Capital to Risk Weighted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443,265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13.15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286,608</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414,559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12.30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286,545</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269,689</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8.00</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Common Equity Tier 1 to Risk Weighted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398,265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11.81</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236,030</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414,559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12.30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235,978</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219,122</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6.50</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Tier I Capital to Average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443,265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11.03</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161,662</w:t>
            </w:r>
          </w:p>
        </w:tc>
        <w:tc>
          <w:tcPr>
            <w:tcW w:w="6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c>
          <w:tcPr>
            <w:tcW w:w="5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8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88"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N/A</w:t>
            </w:r>
          </w:p>
        </w:tc>
        <w:tc>
          <w:tcPr>
            <w:tcW w:w="20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414,559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10.32</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161,574</w:t>
            </w:r>
          </w:p>
        </w:tc>
        <w:tc>
          <w:tcPr>
            <w:tcW w:w="6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5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200,774</w:t>
            </w:r>
          </w:p>
        </w:tc>
        <w:tc>
          <w:tcPr>
            <w:tcW w:w="88"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5.00</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is subject to the Basel III capital ratio requirements which include a “capital conservation buffer” of 2.50% above the regulatory minimum risk-based capital adequacy requirements. This 2.50% capital conservation buffer is reflected in the table above. Both the Company’s and the Bank’s actual ratios, as outlined in the table above, exceeded the Basel III risk-based capital requirement with the capital conservation buffer as of June 30,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11.  DERIVATIVES</w:t>
      </w:r>
    </w:p>
    <w:p>
      <w:pPr>
        <w:pStyle w:val="TextBody"/>
        <w:bidi w:val="0"/>
        <w:spacing w:before="0" w:after="0"/>
        <w:jc w:val="both"/>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 of the interest rate swaps do not represent amounts exchanged by the parties. The amount exchanged is determined by reference to the notional amounts and the other terms of the individual interest rate swap agreements.</w:t>
      </w:r>
    </w:p>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reflects the changes in fair value hedges included in the Consolidated Statements of Comprehensive Income (Loss) for the periods indicated (dollars in thousands):</w:t>
      </w:r>
    </w:p>
    <w:p>
      <w:pPr>
        <w:pStyle w:val="TextBody"/>
        <w:bidi w:val="0"/>
        <w:spacing w:before="0" w:after="0"/>
        <w:jc w:val="both"/>
        <w:rPr/>
      </w:pPr>
      <w:r>
        <w:rPr/>
      </w:r>
    </w:p>
    <w:tbl>
      <w:tblPr>
        <w:tblW w:w="10005" w:type="dxa"/>
        <w:jc w:val="left"/>
        <w:tblInd w:w="0" w:type="dxa"/>
        <w:tblLayout w:type="fixed"/>
        <w:tblCellMar>
          <w:top w:w="0" w:type="dxa"/>
          <w:left w:w="0" w:type="dxa"/>
          <w:bottom w:w="0" w:type="dxa"/>
          <w:right w:w="0" w:type="dxa"/>
        </w:tblCellMar>
      </w:tblPr>
      <w:tblGrid>
        <w:gridCol w:w="5870"/>
        <w:gridCol w:w="60"/>
        <w:gridCol w:w="2135"/>
        <w:gridCol w:w="60"/>
        <w:gridCol w:w="146"/>
        <w:gridCol w:w="666"/>
        <w:gridCol w:w="99"/>
        <w:gridCol w:w="62"/>
        <w:gridCol w:w="146"/>
        <w:gridCol w:w="666"/>
        <w:gridCol w:w="95"/>
      </w:tblGrid>
      <w:tr>
        <w:trPr/>
        <w:tc>
          <w:tcPr>
            <w:tcW w:w="587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785" w:type="dxa"/>
            <w:gridSpan w:val="6"/>
            <w:tcBorders/>
            <w:vAlign w:val="bottom"/>
          </w:tcPr>
          <w:p>
            <w:pPr>
              <w:pStyle w:val="TableContents"/>
              <w:bidi w:val="0"/>
              <w:spacing w:before="0" w:after="0"/>
              <w:ind w:left="0" w:right="0" w:hanging="14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Three Months Ended</w:t>
            </w:r>
          </w:p>
        </w:tc>
        <w:tc>
          <w:tcPr>
            <w:tcW w:w="9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87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785" w:type="dxa"/>
            <w:gridSpan w:val="6"/>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w:t>
            </w:r>
          </w:p>
        </w:tc>
        <w:tc>
          <w:tcPr>
            <w:tcW w:w="9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870" w:type="dxa"/>
            <w:tcBorders>
              <w:bottom w:val="single" w:sz="12" w:space="0" w:color="000000"/>
            </w:tcBorders>
            <w:tcMar>
              <w:bottom w:w="28" w:type="dxa"/>
            </w:tcMar>
            <w:vAlign w:val="bottom"/>
          </w:tcPr>
          <w:p>
            <w:pPr>
              <w:pStyle w:val="TableContents"/>
              <w:bidi w:val="0"/>
              <w:spacing w:before="0" w:after="0"/>
              <w:ind w:left="180" w:right="0" w:hanging="18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Interest Rate Contracts</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Location</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1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2023</w:t>
            </w:r>
          </w:p>
        </w:tc>
        <w:tc>
          <w:tcPr>
            <w:tcW w:w="99"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2"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812"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2022</w:t>
            </w:r>
          </w:p>
        </w:tc>
        <w:tc>
          <w:tcPr>
            <w:tcW w:w="95"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870"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interest rate swaps hedging investment securities</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noninterest expense</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c>
          <w:tcPr>
            <w:tcW w:w="666" w:type="dxa"/>
            <w:tcBorders/>
            <w:shd w:fill="CCEEFF" w:val="clear"/>
            <w:vAlign w:val="bottom"/>
          </w:tcPr>
          <w:p>
            <w:pPr>
              <w:pStyle w:val="TableContents"/>
              <w:bidi w:val="0"/>
              <w:spacing w:before="0" w:after="0"/>
              <w:jc w:val="right"/>
              <w:rPr>
                <w:rFonts w:ascii="Times New Roman" w:hAnsi="Times New Roman"/>
                <w:color w:val="000000"/>
              </w:rPr>
            </w:pPr>
            <w:r>
              <w:rPr>
                <w:rFonts w:ascii="Times New Roman" w:hAnsi="Times New Roman"/>
                <w:color w:val="000000"/>
              </w:rPr>
              <w:t>1,844</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c>
          <w:tcPr>
            <w:tcW w:w="666" w:type="dxa"/>
            <w:tcBorders/>
            <w:shd w:fill="CCEEFF" w:val="clear"/>
            <w:vAlign w:val="bottom"/>
          </w:tcPr>
          <w:p>
            <w:pPr>
              <w:pStyle w:val="TableContents"/>
              <w:bidi w:val="0"/>
              <w:spacing w:before="0" w:after="0"/>
              <w:jc w:val="right"/>
              <w:rPr>
                <w:rFonts w:ascii="Times New Roman" w:hAnsi="Times New Roman"/>
                <w:color w:val="000000"/>
              </w:rPr>
            </w:pPr>
            <w:r>
              <w:rPr>
                <w:rFonts w:ascii="Times New Roman" w:hAnsi="Times New Roman"/>
                <w:color w:val="000000"/>
              </w:rPr>
              <w:t>3,429</w:t>
            </w:r>
          </w:p>
        </w:tc>
        <w:tc>
          <w:tcPr>
            <w:tcW w:w="95"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hedged investment securities</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noninterest expense</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0"/>
              <w:jc w:val="right"/>
              <w:rPr>
                <w:rFonts w:ascii="Times New Roman" w:hAnsi="Times New Roman"/>
                <w:color w:val="000000"/>
              </w:rPr>
            </w:pPr>
            <w:r>
              <w:rPr>
                <w:rFonts w:ascii="Times New Roman" w:hAnsi="Times New Roman"/>
                <w:color w:val="000000"/>
              </w:rPr>
              <w:t>(1,866</w:t>
            </w:r>
          </w:p>
        </w:tc>
        <w:tc>
          <w:tcPr>
            <w:tcW w:w="99" w:type="dxa"/>
            <w:tcBorders/>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c>
          <w:tcPr>
            <w:tcW w:w="62"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0"/>
              <w:jc w:val="right"/>
              <w:rPr>
                <w:rFonts w:ascii="Times New Roman" w:hAnsi="Times New Roman"/>
                <w:color w:val="000000"/>
              </w:rPr>
            </w:pPr>
            <w:r>
              <w:rPr>
                <w:rFonts w:ascii="Times New Roman" w:hAnsi="Times New Roman"/>
                <w:color w:val="000000"/>
              </w:rPr>
              <w:t>(3,450</w:t>
            </w:r>
          </w:p>
        </w:tc>
        <w:tc>
          <w:tcPr>
            <w:tcW w:w="95" w:type="dxa"/>
            <w:tcBorders/>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r>
      <w:tr>
        <w:trPr/>
        <w:tc>
          <w:tcPr>
            <w:tcW w:w="5870" w:type="dxa"/>
            <w:tcBorders/>
            <w:shd w:fill="CCEEFF" w:val="clear"/>
            <w:vAlign w:val="bottom"/>
          </w:tcPr>
          <w:p>
            <w:pPr>
              <w:pStyle w:val="TableContents"/>
              <w:bidi w:val="0"/>
              <w:spacing w:before="0" w:after="0"/>
              <w:ind w:left="180" w:right="0" w:hanging="180"/>
              <w:jc w:val="left"/>
              <w:rPr>
                <w:b w:val="false"/>
                <w:i w:val="false"/>
                <w:caps w:val="false"/>
                <w:smallCaps w:val="false"/>
                <w:color w:val="000000"/>
                <w:sz w:val="20"/>
              </w:rPr>
            </w:pPr>
            <w:r>
              <w:rPr>
                <w:b w:val="false"/>
                <w:i w:val="false"/>
                <w:caps w:val="false"/>
                <w:smallCaps w:val="false"/>
                <w:color w:val="000000"/>
                <w:sz w:val="20"/>
              </w:rPr>
              <w:t xml:space="preserve">Change in fair value of interest rate swaps hedging fixed rate loans </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shd w:fill="CCEEFF" w:val="clear"/>
            <w:vAlign w:val="bottom"/>
          </w:tcPr>
          <w:p>
            <w:pPr>
              <w:pStyle w:val="TableContents"/>
              <w:bidi w:val="0"/>
              <w:spacing w:before="0" w:after="283"/>
              <w:jc w:val="left"/>
              <w:rPr>
                <w:b w:val="false"/>
                <w:i w:val="false"/>
                <w:caps w:val="false"/>
                <w:smallCaps w:val="false"/>
                <w:color w:val="000000"/>
                <w:sz w:val="20"/>
              </w:rPr>
            </w:pPr>
            <w:r>
              <w:rPr>
                <w:b w:val="false"/>
                <w:i w:val="false"/>
                <w:caps w:val="false"/>
                <w:smallCaps w:val="false"/>
                <w:color w:val="000000"/>
                <w:sz w:val="20"/>
              </w:rPr>
              <w:t xml:space="preserve">Interest income - Loans </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w:t>
            </w:r>
          </w:p>
        </w:tc>
        <w:tc>
          <w:tcPr>
            <w:tcW w:w="666" w:type="dxa"/>
            <w:tcBorders/>
            <w:shd w:fill="CCEEFF" w:val="clear"/>
            <w:vAlign w:val="bottom"/>
          </w:tcPr>
          <w:p>
            <w:pPr>
              <w:pStyle w:val="TableContents"/>
              <w:bidi w:val="0"/>
              <w:spacing w:before="0" w:after="283"/>
              <w:jc w:val="right"/>
              <w:rPr/>
            </w:pPr>
            <w:r>
              <w:rPr/>
              <w:t>26</w:t>
            </w:r>
          </w:p>
        </w:tc>
        <w:tc>
          <w:tcPr>
            <w:tcW w:w="9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w:t>
            </w:r>
          </w:p>
        </w:tc>
        <w:tc>
          <w:tcPr>
            <w:tcW w:w="666" w:type="dxa"/>
            <w:tcBorders/>
            <w:shd w:fill="CCEEFF" w:val="clear"/>
            <w:vAlign w:val="bottom"/>
          </w:tcPr>
          <w:p>
            <w:pPr>
              <w:pStyle w:val="TableContents"/>
              <w:bidi w:val="0"/>
              <w:spacing w:before="0" w:after="283"/>
              <w:jc w:val="right"/>
              <w:rPr/>
            </w:pPr>
            <w:r>
              <w:rPr/>
              <w:t>167</w:t>
            </w:r>
          </w:p>
        </w:tc>
        <w:tc>
          <w:tcPr>
            <w:tcW w:w="95" w:type="dxa"/>
            <w:tcBorders/>
            <w:shd w:fill="CCEEFF" w:val="clear"/>
            <w:vAlign w:val="bottom"/>
          </w:tcPr>
          <w:p>
            <w:pPr>
              <w:pStyle w:val="TableContents"/>
              <w:bidi w:val="0"/>
              <w:spacing w:before="0" w:after="283"/>
              <w:jc w:val="left"/>
              <w:rPr/>
            </w:pPr>
            <w:r>
              <w:rPr/>
              <w:t> </w:t>
            </w:r>
          </w:p>
        </w:tc>
      </w:tr>
      <w:tr>
        <w:trPr/>
        <w:tc>
          <w:tcPr>
            <w:tcW w:w="5870" w:type="dxa"/>
            <w:tcBorders/>
            <w:vAlign w:val="bottom"/>
          </w:tcPr>
          <w:p>
            <w:pPr>
              <w:pStyle w:val="TableContents"/>
              <w:bidi w:val="0"/>
              <w:spacing w:before="0" w:after="0"/>
              <w:ind w:left="180" w:right="0" w:hanging="180"/>
              <w:jc w:val="left"/>
              <w:rPr>
                <w:b w:val="false"/>
                <w:i w:val="false"/>
                <w:caps w:val="false"/>
                <w:smallCaps w:val="false"/>
                <w:color w:val="000000"/>
                <w:sz w:val="20"/>
              </w:rPr>
            </w:pPr>
            <w:r>
              <w:rPr>
                <w:b w:val="false"/>
                <w:i w:val="false"/>
                <w:caps w:val="false"/>
                <w:smallCaps w:val="false"/>
                <w:color w:val="000000"/>
                <w:sz w:val="20"/>
              </w:rPr>
              <w:t xml:space="preserve">Change in fair value of hedged fixed rate loans </w:t>
            </w:r>
          </w:p>
        </w:tc>
        <w:tc>
          <w:tcPr>
            <w:tcW w:w="60" w:type="dxa"/>
            <w:tcBorders/>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vAlign w:val="bottom"/>
          </w:tcPr>
          <w:p>
            <w:pPr>
              <w:pStyle w:val="TableContents"/>
              <w:bidi w:val="0"/>
              <w:spacing w:before="0" w:after="283"/>
              <w:jc w:val="left"/>
              <w:rPr>
                <w:b w:val="false"/>
                <w:i w:val="false"/>
                <w:caps w:val="false"/>
                <w:smallCaps w:val="false"/>
                <w:color w:val="000000"/>
                <w:sz w:val="20"/>
              </w:rPr>
            </w:pPr>
            <w:r>
              <w:rPr>
                <w:b w:val="false"/>
                <w:i w:val="false"/>
                <w:caps w:val="false"/>
                <w:smallCaps w:val="false"/>
                <w:color w:val="000000"/>
                <w:sz w:val="20"/>
              </w:rPr>
              <w:t xml:space="preserve">Interest income - Loans </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(25</w:t>
            </w:r>
          </w:p>
        </w:tc>
        <w:tc>
          <w:tcPr>
            <w:tcW w:w="99" w:type="dxa"/>
            <w:tcBorders/>
            <w:vAlign w:val="bottom"/>
          </w:tcPr>
          <w:p>
            <w:pPr>
              <w:pStyle w:val="TableContents"/>
              <w:bidi w:val="0"/>
              <w:spacing w:before="0" w:after="283"/>
              <w:jc w:val="left"/>
              <w:rPr/>
            </w:pPr>
            <w:r>
              <w:rPr/>
              <w:t>)</w:t>
            </w:r>
          </w:p>
        </w:tc>
        <w:tc>
          <w:tcPr>
            <w:tcW w:w="62"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(170</w:t>
            </w:r>
          </w:p>
        </w:tc>
        <w:tc>
          <w:tcPr>
            <w:tcW w:w="95" w:type="dxa"/>
            <w:tcBorders/>
            <w:vAlign w:val="bottom"/>
          </w:tcPr>
          <w:p>
            <w:pPr>
              <w:pStyle w:val="TableContents"/>
              <w:bidi w:val="0"/>
              <w:spacing w:before="0" w:after="283"/>
              <w:jc w:val="left"/>
              <w:rPr/>
            </w:pPr>
            <w:r>
              <w:rPr/>
              <w:t>)</w:t>
            </w:r>
          </w:p>
        </w:tc>
      </w:tr>
    </w:tbl>
    <w:p>
      <w:pPr>
        <w:pStyle w:val="TextBody"/>
        <w:bidi w:val="0"/>
        <w:spacing w:before="0" w:after="0"/>
        <w:jc w:val="left"/>
        <w:rPr/>
      </w:pPr>
      <w:r>
        <w:rPr/>
      </w:r>
    </w:p>
    <w:tbl>
      <w:tblPr>
        <w:tblW w:w="9783" w:type="dxa"/>
        <w:jc w:val="left"/>
        <w:tblInd w:w="0" w:type="dxa"/>
        <w:shd w:fill="FFFFFF" w:val="clear"/>
        <w:tblLayout w:type="fixed"/>
        <w:tblCellMar>
          <w:top w:w="0" w:type="dxa"/>
          <w:left w:w="0" w:type="dxa"/>
          <w:bottom w:w="0" w:type="dxa"/>
          <w:right w:w="0" w:type="dxa"/>
        </w:tblCellMar>
      </w:tblPr>
      <w:tblGrid>
        <w:gridCol w:w="5885"/>
        <w:gridCol w:w="60"/>
        <w:gridCol w:w="2135"/>
        <w:gridCol w:w="60"/>
        <w:gridCol w:w="135"/>
        <w:gridCol w:w="426"/>
        <w:gridCol w:w="86"/>
        <w:gridCol w:w="64"/>
        <w:gridCol w:w="135"/>
        <w:gridCol w:w="702"/>
        <w:gridCol w:w="95"/>
      </w:tblGrid>
      <w:tr>
        <w:trPr/>
        <w:tc>
          <w:tcPr>
            <w:tcW w:w="5885" w:type="dxa"/>
            <w:tcBorders/>
            <w:shd w:fill="FFFFFF" w:val="clear"/>
            <w:vAlign w:val="bottom"/>
          </w:tcPr>
          <w:p>
            <w:pPr>
              <w:pStyle w:val="TableContents"/>
              <w:bidi w:val="0"/>
              <w:spacing w:before="0" w:after="283"/>
              <w:jc w:val="left"/>
              <w:rPr/>
            </w:pPr>
            <w:r>
              <w:rPr/>
            </w:r>
          </w:p>
        </w:tc>
        <w:tc>
          <w:tcPr>
            <w:tcW w:w="60"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shd w:fill="FFFFFF" w:val="clear"/>
            <w:vAlign w:val="bottom"/>
          </w:tcPr>
          <w:p>
            <w:pPr>
              <w:pStyle w:val="TableContents"/>
              <w:bidi w:val="0"/>
              <w:spacing w:before="0" w:after="283"/>
              <w:jc w:val="left"/>
              <w:rPr/>
            </w:pPr>
            <w:r>
              <w:rPr/>
            </w:r>
          </w:p>
        </w:tc>
        <w:tc>
          <w:tcPr>
            <w:tcW w:w="60" w:type="dxa"/>
            <w:tcBorders/>
            <w:shd w:fill="FFFFFF" w:val="clear"/>
            <w:vAlign w:val="bottom"/>
          </w:tcPr>
          <w:p>
            <w:pPr>
              <w:pStyle w:val="TableContents"/>
              <w:bidi w:val="0"/>
              <w:spacing w:before="0" w:after="283"/>
              <w:jc w:val="center"/>
              <w:rPr>
                <w:caps w:val="false"/>
                <w:smallCaps w:val="false"/>
                <w:color w:val="000000"/>
              </w:rPr>
            </w:pPr>
            <w:r>
              <w:rPr>
                <w:caps w:val="false"/>
                <w:smallCaps w:val="false"/>
                <w:color w:val="000000"/>
              </w:rPr>
              <w:t> </w:t>
            </w:r>
          </w:p>
        </w:tc>
        <w:tc>
          <w:tcPr>
            <w:tcW w:w="1548" w:type="dxa"/>
            <w:gridSpan w:val="6"/>
            <w:tcBorders/>
            <w:shd w:fill="FFFFFF" w:val="clear"/>
            <w:vAlign w:val="bottom"/>
          </w:tcPr>
          <w:p>
            <w:pPr>
              <w:pStyle w:val="TableContents"/>
              <w:bidi w:val="0"/>
              <w:spacing w:before="0" w:after="283"/>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Six Months Ended</w:t>
            </w:r>
          </w:p>
        </w:tc>
        <w:tc>
          <w:tcPr>
            <w:tcW w:w="95"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885"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1548" w:type="dxa"/>
            <w:gridSpan w:val="6"/>
            <w:tcBorders>
              <w:bottom w:val="single" w:sz="12" w:space="0" w:color="000000"/>
            </w:tcBorders>
            <w:shd w:fill="FFFFFF" w:val="clear"/>
            <w:tcMar>
              <w:bottom w:w="28" w:type="dxa"/>
            </w:tcMar>
            <w:vAlign w:val="bottom"/>
          </w:tcPr>
          <w:p>
            <w:pPr>
              <w:pStyle w:val="TableContents"/>
              <w:bidi w:val="0"/>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i w:val="false"/>
                <w:caps w:val="false"/>
                <w:smallCaps w:val="false"/>
                <w:color w:val="000000"/>
                <w:sz w:val="20"/>
              </w:rPr>
              <w:t>June 30</w:t>
            </w:r>
            <w:r>
              <w:rPr>
                <w:rFonts w:ascii="Times New Roman" w:hAnsi="Times New Roman"/>
                <w:b w:val="false"/>
                <w:i w:val="false"/>
                <w:caps w:val="false"/>
                <w:smallCaps w:val="false"/>
                <w:color w:val="000000"/>
                <w:sz w:val="20"/>
              </w:rPr>
              <w:t>,</w:t>
            </w:r>
          </w:p>
        </w:tc>
        <w:tc>
          <w:tcPr>
            <w:tcW w:w="95"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885" w:type="dxa"/>
            <w:tcBorders>
              <w:bottom w:val="single" w:sz="12" w:space="0" w:color="000000"/>
            </w:tcBorders>
            <w:shd w:fill="FFFFFF" w:val="clear"/>
            <w:tcMar>
              <w:bottom w:w="28" w:type="dxa"/>
            </w:tcMar>
            <w:vAlign w:val="bottom"/>
          </w:tcPr>
          <w:p>
            <w:pPr>
              <w:pStyle w:val="TableContents"/>
              <w:bidi w:val="0"/>
              <w:spacing w:before="0" w:after="0"/>
              <w:ind w:left="144" w:right="0" w:hanging="144"/>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Interest Rate Contracts</w:t>
            </w:r>
          </w:p>
        </w:tc>
        <w:tc>
          <w:tcPr>
            <w:tcW w:w="60"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Location</w:t>
            </w:r>
          </w:p>
        </w:tc>
        <w:tc>
          <w:tcPr>
            <w:tcW w:w="60" w:type="dxa"/>
            <w:tcBorders/>
            <w:shd w:fill="FFFF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561"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2023</w:t>
            </w:r>
          </w:p>
        </w:tc>
        <w:tc>
          <w:tcPr>
            <w:tcW w:w="86"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837" w:type="dxa"/>
            <w:gridSpan w:val="2"/>
            <w:tcBorders>
              <w:bottom w:val="single" w:sz="12" w:space="0" w:color="000000"/>
            </w:tcBorders>
            <w:shd w:fill="FFFFFF" w:val="clear"/>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2022</w:t>
            </w:r>
          </w:p>
        </w:tc>
        <w:tc>
          <w:tcPr>
            <w:tcW w:w="95"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885" w:type="dxa"/>
            <w:tcBorders/>
            <w:shd w:fill="CCEEFF" w:val="clear"/>
            <w:vAlign w:val="bottom"/>
          </w:tcPr>
          <w:p>
            <w:pPr>
              <w:pStyle w:val="TableContents"/>
              <w:bidi w:val="0"/>
              <w:spacing w:before="0" w:after="0"/>
              <w:ind w:left="144" w:right="0" w:hanging="144"/>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interest rate swaps hedging investment securities</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noninterest expense</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2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(810</w:t>
            </w:r>
          </w:p>
        </w:tc>
        <w:tc>
          <w:tcPr>
            <w:tcW w:w="86"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2"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10,178</w:t>
            </w:r>
          </w:p>
        </w:tc>
        <w:tc>
          <w:tcPr>
            <w:tcW w:w="9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885" w:type="dxa"/>
            <w:tcBorders/>
            <w:shd w:fill="FFFFFF" w:val="clear"/>
            <w:vAlign w:val="bottom"/>
          </w:tcPr>
          <w:p>
            <w:pPr>
              <w:pStyle w:val="TableContents"/>
              <w:bidi w:val="0"/>
              <w:spacing w:before="0" w:after="0"/>
              <w:ind w:left="144" w:right="0" w:hanging="144"/>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hedged investment securities</w:t>
            </w:r>
          </w:p>
        </w:tc>
        <w:tc>
          <w:tcPr>
            <w:tcW w:w="60"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shd w:fill="FFFF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noninterest expense</w:t>
            </w:r>
          </w:p>
        </w:tc>
        <w:tc>
          <w:tcPr>
            <w:tcW w:w="60" w:type="dxa"/>
            <w:tcBorders/>
            <w:shd w:fill="FFFF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5"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426" w:type="dxa"/>
            <w:tcBorders/>
            <w:shd w:fill="FFFF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771</w:t>
            </w:r>
          </w:p>
        </w:tc>
        <w:tc>
          <w:tcPr>
            <w:tcW w:w="86"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4" w:type="dxa"/>
            <w:tcBorders/>
            <w:shd w:fill="FFFF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5"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02" w:type="dxa"/>
            <w:tcBorders/>
            <w:shd w:fill="FFFF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(10,349</w:t>
            </w:r>
          </w:p>
        </w:tc>
        <w:tc>
          <w:tcPr>
            <w:tcW w:w="95" w:type="dxa"/>
            <w:tcBorders/>
            <w:shd w:fill="FFFF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885" w:type="dxa"/>
            <w:tcBorders/>
            <w:shd w:fill="CCEEFF" w:val="clear"/>
            <w:vAlign w:val="bottom"/>
          </w:tcPr>
          <w:p>
            <w:pPr>
              <w:pStyle w:val="TableContents"/>
              <w:bidi w:val="0"/>
              <w:spacing w:before="0" w:after="0"/>
              <w:ind w:left="144" w:right="0" w:hanging="144"/>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interest rate swaps hedging fixed rate loans</w:t>
            </w:r>
          </w:p>
        </w:tc>
        <w:tc>
          <w:tcPr>
            <w:tcW w:w="60"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 - Loans</w:t>
            </w:r>
          </w:p>
        </w:tc>
        <w:tc>
          <w:tcPr>
            <w:tcW w:w="60"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26"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w:t>
            </w:r>
          </w:p>
        </w:tc>
        <w:tc>
          <w:tcPr>
            <w:tcW w:w="86"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4" w:type="dxa"/>
            <w:tcBorders/>
            <w:shd w:fill="CCEE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5" w:type="dxa"/>
            <w:tcBorders/>
            <w:shd w:fill="CCEE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2" w:type="dxa"/>
            <w:tcBorders/>
            <w:shd w:fill="CCEE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625</w:t>
            </w:r>
          </w:p>
        </w:tc>
        <w:tc>
          <w:tcPr>
            <w:tcW w:w="95" w:type="dxa"/>
            <w:tcBorders/>
            <w:shd w:fill="CCEE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r>
      <w:tr>
        <w:trPr/>
        <w:tc>
          <w:tcPr>
            <w:tcW w:w="5885" w:type="dxa"/>
            <w:tcBorders/>
            <w:shd w:fill="FFFFFF" w:val="clear"/>
            <w:vAlign w:val="bottom"/>
          </w:tcPr>
          <w:p>
            <w:pPr>
              <w:pStyle w:val="TableContents"/>
              <w:bidi w:val="0"/>
              <w:spacing w:before="0" w:after="0"/>
              <w:ind w:left="144" w:right="0" w:hanging="144"/>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hedged fixed rate loans</w:t>
            </w:r>
          </w:p>
        </w:tc>
        <w:tc>
          <w:tcPr>
            <w:tcW w:w="60"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2135" w:type="dxa"/>
            <w:tcBorders/>
            <w:shd w:fill="FFFF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income - Loans</w:t>
            </w:r>
          </w:p>
        </w:tc>
        <w:tc>
          <w:tcPr>
            <w:tcW w:w="60" w:type="dxa"/>
            <w:tcBorders/>
            <w:shd w:fill="FFFF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5"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426" w:type="dxa"/>
            <w:tcBorders/>
            <w:shd w:fill="FFFF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c>
          <w:tcPr>
            <w:tcW w:w="86" w:type="dxa"/>
            <w:tcBorders/>
            <w:shd w:fill="FFFF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 w:type="dxa"/>
            <w:tcBorders/>
            <w:shd w:fill="FFFFFF" w:val="cle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35" w:type="dxa"/>
            <w:tcBorders/>
            <w:shd w:fill="FFFFFF" w:val="cle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702" w:type="dxa"/>
            <w:tcBorders/>
            <w:shd w:fill="FFFFFF" w:val="clear"/>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(633</w:t>
            </w:r>
          </w:p>
        </w:tc>
        <w:tc>
          <w:tcPr>
            <w:tcW w:w="95" w:type="dxa"/>
            <w:tcBorders/>
            <w:shd w:fill="FFFFFF" w:val="cle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bidi w:val="0"/>
        <w:spacing w:before="0" w:after="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reflects the fair value hedges included in the Consolidated Balance Sheets at the dates indicated (dollars in thousands):</w:t>
      </w:r>
    </w:p>
    <w:p>
      <w:pPr>
        <w:pStyle w:val="TextBody"/>
        <w:bidi w:val="0"/>
        <w:spacing w:before="0" w:after="0"/>
        <w:jc w:val="both"/>
        <w:rPr/>
      </w:pPr>
      <w:r>
        <w:rPr/>
      </w:r>
    </w:p>
    <w:tbl>
      <w:tblPr>
        <w:tblW w:w="9597" w:type="dxa"/>
        <w:jc w:val="left"/>
        <w:tblInd w:w="0" w:type="dxa"/>
        <w:tblLayout w:type="fixed"/>
        <w:tblCellMar>
          <w:top w:w="0" w:type="dxa"/>
          <w:left w:w="0" w:type="dxa"/>
          <w:bottom w:w="0" w:type="dxa"/>
          <w:right w:w="0" w:type="dxa"/>
        </w:tblCellMar>
      </w:tblPr>
      <w:tblGrid>
        <w:gridCol w:w="5510"/>
        <w:gridCol w:w="60"/>
        <w:gridCol w:w="140"/>
        <w:gridCol w:w="800"/>
        <w:gridCol w:w="60"/>
        <w:gridCol w:w="60"/>
        <w:gridCol w:w="140"/>
        <w:gridCol w:w="680"/>
        <w:gridCol w:w="60"/>
        <w:gridCol w:w="60"/>
        <w:gridCol w:w="145"/>
        <w:gridCol w:w="831"/>
        <w:gridCol w:w="62"/>
        <w:gridCol w:w="62"/>
        <w:gridCol w:w="145"/>
        <w:gridCol w:w="707"/>
        <w:gridCol w:w="75"/>
      </w:tblGrid>
      <w:tr>
        <w:trPr/>
        <w:tc>
          <w:tcPr>
            <w:tcW w:w="5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2022</w:t>
            </w:r>
          </w:p>
        </w:tc>
        <w:tc>
          <w:tcPr>
            <w:tcW w:w="75" w:type="dxa"/>
            <w:tcBorders/>
            <w:vAlign w:val="bottom"/>
          </w:tcPr>
          <w:p>
            <w:pPr>
              <w:pStyle w:val="TableContents"/>
              <w:bidi w:val="0"/>
              <w:spacing w:before="0" w:after="283"/>
              <w:jc w:val="left"/>
              <w:rPr/>
            </w:pPr>
            <w:r>
              <w:rPr/>
              <w:t> </w:t>
            </w:r>
          </w:p>
        </w:tc>
      </w:tr>
      <w:tr>
        <w:trPr/>
        <w:tc>
          <w:tcPr>
            <w:tcW w:w="5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Notional</w:t>
            </w:r>
          </w:p>
          <w:p>
            <w:pPr>
              <w:pStyle w:val="TableContents"/>
              <w:bidi w:val="0"/>
              <w:spacing w:before="0" w:after="0"/>
              <w:jc w:val="center"/>
              <w:rPr>
                <w:b/>
                <w:color w:val="000000"/>
              </w:rPr>
            </w:pPr>
            <w:r>
              <w:rPr>
                <w:b/>
                <w:color w:val="000000"/>
              </w:rPr>
              <w:t>Amount</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5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w:t>
            </w:r>
          </w:p>
          <w:p>
            <w:pPr>
              <w:pStyle w:val="TableContents"/>
              <w:bidi w:val="0"/>
              <w:spacing w:before="0" w:after="0"/>
              <w:jc w:val="center"/>
              <w:rPr>
                <w:b/>
                <w:color w:val="000000"/>
              </w:rPr>
            </w:pPr>
            <w:r>
              <w:rPr>
                <w:b/>
                <w:color w:val="000000"/>
              </w:rPr>
              <w:t>Value</w:t>
            </w:r>
          </w:p>
        </w:tc>
        <w:tc>
          <w:tcPr>
            <w:tcW w:w="75" w:type="dxa"/>
            <w:tcBorders/>
            <w:vAlign w:val="bottom"/>
          </w:tcPr>
          <w:p>
            <w:pPr>
              <w:pStyle w:val="TableContents"/>
              <w:bidi w:val="0"/>
              <w:spacing w:before="0" w:after="283"/>
              <w:jc w:val="left"/>
              <w:rPr/>
            </w:pPr>
            <w:r>
              <w:rPr/>
              <w:t> </w:t>
            </w:r>
          </w:p>
        </w:tc>
      </w:tr>
      <w:tr>
        <w:trPr/>
        <w:tc>
          <w:tcPr>
            <w:tcW w:w="55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52"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510" w:type="dxa"/>
            <w:tcBorders/>
            <w:vAlign w:val="bottom"/>
          </w:tcPr>
          <w:p>
            <w:pPr>
              <w:pStyle w:val="TableContents"/>
              <w:bidi w:val="0"/>
              <w:spacing w:before="0" w:after="0"/>
              <w:ind w:left="180" w:right="0" w:hanging="180"/>
              <w:jc w:val="left"/>
              <w:rPr>
                <w:color w:val="000000"/>
              </w:rPr>
            </w:pPr>
            <w:r>
              <w:rPr>
                <w:color w:val="000000"/>
              </w:rPr>
              <w:t>Included in other liabilities:</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52"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5510" w:type="dxa"/>
            <w:tcBorders/>
            <w:shd w:fill="CCEEFF" w:val="clear"/>
            <w:vAlign w:val="bottom"/>
          </w:tcPr>
          <w:p>
            <w:pPr>
              <w:pStyle w:val="TableContents"/>
              <w:bidi w:val="0"/>
              <w:spacing w:before="0" w:after="0"/>
              <w:ind w:left="360" w:right="0" w:hanging="180"/>
              <w:jc w:val="left"/>
              <w:rPr>
                <w:color w:val="000000"/>
              </w:rPr>
            </w:pPr>
            <w:r>
              <w:rPr>
                <w:color w:val="000000"/>
              </w:rPr>
              <w:t>Interest rate swaps related to fixed rate loans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831" w:type="dxa"/>
            <w:tcBorders/>
            <w:shd w:fill="CCEEFF" w:val="clear"/>
            <w:vAlign w:val="bottom"/>
          </w:tcPr>
          <w:p>
            <w:pPr>
              <w:pStyle w:val="TableContents"/>
              <w:bidi w:val="0"/>
              <w:spacing w:before="0" w:after="0"/>
              <w:jc w:val="right"/>
              <w:rPr>
                <w:color w:val="000000"/>
              </w:rPr>
            </w:pPr>
            <w:r>
              <w:rPr>
                <w:color w:val="000000"/>
              </w:rPr>
              <w:t>—</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707" w:type="dxa"/>
            <w:tcBorders/>
            <w:shd w:fill="CCEEFF" w:val="clear"/>
            <w:vAlign w:val="bottom"/>
          </w:tcPr>
          <w:p>
            <w:pPr>
              <w:pStyle w:val="TableContents"/>
              <w:bidi w:val="0"/>
              <w:spacing w:before="0" w:after="0"/>
              <w:jc w:val="right"/>
              <w:rPr>
                <w:color w:val="000000"/>
              </w:rPr>
            </w:pPr>
            <w:r>
              <w:rPr>
                <w:color w:val="000000"/>
              </w:rPr>
              <w:t>—</w:t>
            </w:r>
          </w:p>
        </w:tc>
        <w:tc>
          <w:tcPr>
            <w:tcW w:w="75" w:type="dxa"/>
            <w:tcBorders/>
            <w:shd w:fill="CCEEFF" w:val="clear"/>
            <w:vAlign w:val="bottom"/>
          </w:tcPr>
          <w:p>
            <w:pPr>
              <w:pStyle w:val="TableContents"/>
              <w:bidi w:val="0"/>
              <w:spacing w:before="0" w:after="283"/>
              <w:jc w:val="left"/>
              <w:rPr/>
            </w:pPr>
            <w:r>
              <w:rPr/>
              <w:t> </w:t>
            </w:r>
          </w:p>
        </w:tc>
      </w:tr>
      <w:tr>
        <w:trPr/>
        <w:tc>
          <w:tcPr>
            <w:tcW w:w="5510" w:type="dxa"/>
            <w:tcBorders/>
            <w:vAlign w:val="bottom"/>
          </w:tcPr>
          <w:p>
            <w:pPr>
              <w:pStyle w:val="TableContents"/>
              <w:bidi w:val="0"/>
              <w:spacing w:before="0" w:after="0"/>
              <w:ind w:left="360" w:right="0" w:hanging="180"/>
              <w:jc w:val="left"/>
              <w:rPr>
                <w:color w:val="000000"/>
              </w:rPr>
            </w:pPr>
            <w:r>
              <w:rPr>
                <w:color w:val="000000"/>
              </w:rPr>
              <w:t>Interest rate swaps related to state and municipal securities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0"/>
              <w:jc w:val="right"/>
              <w:rPr>
                <w:color w:val="000000"/>
              </w:rPr>
            </w:pPr>
            <w:r>
              <w:rPr>
                <w:color w:val="000000"/>
              </w:rPr>
              <w:t>—</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0"/>
              <w:jc w:val="right"/>
              <w:rPr>
                <w:color w:val="000000"/>
              </w:rPr>
            </w:pPr>
            <w:r>
              <w:rPr>
                <w:color w:val="000000"/>
              </w:rPr>
              <w:t>—</w:t>
            </w:r>
          </w:p>
        </w:tc>
        <w:tc>
          <w:tcPr>
            <w:tcW w:w="75" w:type="dxa"/>
            <w:tcBorders/>
            <w:vAlign w:val="bottom"/>
          </w:tcPr>
          <w:p>
            <w:pPr>
              <w:pStyle w:val="TableContents"/>
              <w:bidi w:val="0"/>
              <w:spacing w:before="0" w:after="283"/>
              <w:ind w:left="180" w:right="0" w:hanging="180"/>
              <w:jc w:val="left"/>
              <w:rPr/>
            </w:pPr>
            <w:r>
              <w:rPr/>
              <w:t> </w:t>
            </w:r>
          </w:p>
        </w:tc>
      </w:tr>
      <w:tr>
        <w:trPr/>
        <w:tc>
          <w:tcPr>
            <w:tcW w:w="55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5510" w:type="dxa"/>
            <w:tcBorders/>
            <w:vAlign w:val="bottom"/>
          </w:tcPr>
          <w:p>
            <w:pPr>
              <w:pStyle w:val="TableContents"/>
              <w:bidi w:val="0"/>
              <w:spacing w:before="0" w:after="0"/>
              <w:ind w:left="180" w:right="0" w:hanging="180"/>
              <w:jc w:val="left"/>
              <w:rPr>
                <w:color w:val="000000"/>
              </w:rPr>
            </w:pPr>
            <w:r>
              <w:rPr>
                <w:color w:val="000000"/>
              </w:rPr>
              <w:t>Included in other assets: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5510" w:type="dxa"/>
            <w:tcBorders/>
            <w:shd w:fill="CCEEFF" w:val="clear"/>
            <w:vAlign w:val="bottom"/>
          </w:tcPr>
          <w:p>
            <w:pPr>
              <w:pStyle w:val="TableContents"/>
              <w:bidi w:val="0"/>
              <w:spacing w:before="0" w:after="0"/>
              <w:ind w:left="360" w:right="0" w:hanging="180"/>
              <w:jc w:val="left"/>
              <w:rPr>
                <w:color w:val="000000"/>
              </w:rPr>
            </w:pPr>
            <w:r>
              <w:rPr>
                <w:color w:val="000000"/>
              </w:rPr>
              <w:t>Interest rate swaps related to fixed rate loans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11,803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508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831" w:type="dxa"/>
            <w:tcBorders/>
            <w:shd w:fill="CCEEFF" w:val="clear"/>
            <w:vAlign w:val="bottom"/>
          </w:tcPr>
          <w:p>
            <w:pPr>
              <w:pStyle w:val="TableContents"/>
              <w:bidi w:val="0"/>
              <w:spacing w:before="0" w:after="0"/>
              <w:jc w:val="right"/>
              <w:rPr>
                <w:color w:val="000000"/>
              </w:rPr>
            </w:pPr>
            <w:r>
              <w:rPr>
                <w:color w:val="000000"/>
              </w:rPr>
              <w:t>9,493</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45" w:type="dxa"/>
            <w:tcBorders/>
            <w:shd w:fill="CCEEFF" w:val="clear"/>
            <w:vAlign w:val="bottom"/>
          </w:tcPr>
          <w:p>
            <w:pPr>
              <w:pStyle w:val="TableContents"/>
              <w:bidi w:val="0"/>
              <w:spacing w:before="0" w:after="0"/>
              <w:jc w:val="left"/>
              <w:rPr>
                <w:color w:val="000000"/>
              </w:rPr>
            </w:pPr>
            <w:r>
              <w:rPr>
                <w:color w:val="000000"/>
              </w:rPr>
              <w:t>$</w:t>
            </w:r>
          </w:p>
        </w:tc>
        <w:tc>
          <w:tcPr>
            <w:tcW w:w="707" w:type="dxa"/>
            <w:tcBorders/>
            <w:shd w:fill="CCEEFF" w:val="clear"/>
            <w:vAlign w:val="bottom"/>
          </w:tcPr>
          <w:p>
            <w:pPr>
              <w:pStyle w:val="TableContents"/>
              <w:bidi w:val="0"/>
              <w:spacing w:before="0" w:after="0"/>
              <w:jc w:val="right"/>
              <w:rPr>
                <w:color w:val="000000"/>
              </w:rPr>
            </w:pPr>
            <w:r>
              <w:rPr>
                <w:color w:val="000000"/>
              </w:rPr>
              <w:t>482</w:t>
            </w:r>
          </w:p>
        </w:tc>
        <w:tc>
          <w:tcPr>
            <w:tcW w:w="75" w:type="dxa"/>
            <w:tcBorders/>
            <w:shd w:fill="CCEEFF" w:val="clear"/>
            <w:vAlign w:val="bottom"/>
          </w:tcPr>
          <w:p>
            <w:pPr>
              <w:pStyle w:val="TableContents"/>
              <w:bidi w:val="0"/>
              <w:spacing w:before="0" w:after="283"/>
              <w:jc w:val="left"/>
              <w:rPr/>
            </w:pPr>
            <w:r>
              <w:rPr/>
              <w:t> </w:t>
            </w:r>
          </w:p>
        </w:tc>
      </w:tr>
      <w:tr>
        <w:trPr/>
        <w:tc>
          <w:tcPr>
            <w:tcW w:w="5510" w:type="dxa"/>
            <w:tcBorders/>
            <w:vAlign w:val="bottom"/>
          </w:tcPr>
          <w:p>
            <w:pPr>
              <w:pStyle w:val="TableContents"/>
              <w:bidi w:val="0"/>
              <w:spacing w:before="0" w:after="0"/>
              <w:ind w:left="360" w:right="0" w:hanging="180"/>
              <w:jc w:val="left"/>
              <w:rPr>
                <w:color w:val="000000"/>
              </w:rPr>
            </w:pPr>
            <w:r>
              <w:rPr>
                <w:color w:val="000000"/>
              </w:rPr>
              <w:t>Interest rate swaps related to state and municipal securities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color w:val="000000"/>
              </w:rPr>
            </w:pPr>
            <w:r>
              <w:rPr>
                <w:color w:val="000000"/>
              </w:rPr>
              <w:t>123,760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color w:val="000000"/>
              </w:rPr>
            </w:pPr>
            <w:r>
              <w:rPr>
                <w:color w:val="000000"/>
              </w:rPr>
              <w:t>19,315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0"/>
              <w:jc w:val="right"/>
              <w:rPr>
                <w:color w:val="000000"/>
              </w:rPr>
            </w:pPr>
            <w:r>
              <w:rPr>
                <w:color w:val="000000"/>
              </w:rPr>
              <w:t>123,760</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145"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0"/>
              <w:jc w:val="right"/>
              <w:rPr>
                <w:color w:val="000000"/>
              </w:rPr>
            </w:pPr>
            <w:r>
              <w:rPr>
                <w:color w:val="000000"/>
              </w:rPr>
              <w:t>20,125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bidi w:val="0"/>
        <w:spacing w:before="200" w:after="200"/>
        <w:jc w:val="both"/>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u w:val="single"/>
        </w:rPr>
      </w:pPr>
      <w:r>
        <w:rPr>
          <w:rFonts w:ascii="Times New Roman" w:hAnsi="Times New Roman"/>
          <w:color w:val="000000"/>
          <w:sz w:val="20"/>
          <w:u w:val="single"/>
        </w:rPr>
        <w:t>Mortgage banking derivatives</w:t>
      </w:r>
    </w:p>
    <w:p>
      <w:pPr>
        <w:pStyle w:val="TextBody"/>
        <w:bidi w:val="0"/>
        <w:spacing w:before="0" w:after="0"/>
        <w:ind w:left="0" w:right="0" w:hanging="0"/>
        <w:jc w:val="both"/>
        <w:rPr/>
      </w:pPr>
      <w:r>
        <w:rPr/>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net gains (losses) relating to free standing derivative instruments used for risk management are summarized below for the periods indicated (dollars in thousands):</w:t>
      </w:r>
    </w:p>
    <w:p>
      <w:pPr>
        <w:pStyle w:val="TextBody"/>
        <w:bidi w:val="0"/>
        <w:spacing w:before="0" w:after="0"/>
        <w:jc w:val="both"/>
        <w:rPr>
          <w:caps w:val="false"/>
          <w:smallCaps w:val="false"/>
          <w:color w:val="000000"/>
        </w:rPr>
      </w:pPr>
      <w:r>
        <w:rPr>
          <w:caps w:val="false"/>
          <w:smallCaps w:val="false"/>
          <w:color w:val="000000"/>
        </w:rPr>
        <w:t>  </w:t>
      </w:r>
    </w:p>
    <w:tbl>
      <w:tblPr>
        <w:tblW w:w="9557" w:type="dxa"/>
        <w:jc w:val="left"/>
        <w:tblInd w:w="0" w:type="dxa"/>
        <w:tblLayout w:type="fixed"/>
        <w:tblCellMar>
          <w:top w:w="0" w:type="dxa"/>
          <w:left w:w="0" w:type="dxa"/>
          <w:bottom w:w="0" w:type="dxa"/>
          <w:right w:w="0" w:type="dxa"/>
        </w:tblCellMar>
      </w:tblPr>
      <w:tblGrid>
        <w:gridCol w:w="4595"/>
        <w:gridCol w:w="3020"/>
        <w:gridCol w:w="60"/>
        <w:gridCol w:w="186"/>
        <w:gridCol w:w="605"/>
        <w:gridCol w:w="126"/>
        <w:gridCol w:w="79"/>
        <w:gridCol w:w="186"/>
        <w:gridCol w:w="605"/>
        <w:gridCol w:w="95"/>
      </w:tblGrid>
      <w:tr>
        <w:trPr/>
        <w:tc>
          <w:tcPr>
            <w:tcW w:w="4595" w:type="dxa"/>
            <w:tcBorders/>
            <w:vAlign w:val="bottom"/>
          </w:tcPr>
          <w:p>
            <w:pPr>
              <w:pStyle w:val="TableContents"/>
              <w:bidi w:val="0"/>
              <w:spacing w:before="0" w:after="283"/>
              <w:jc w:val="left"/>
              <w:rPr/>
            </w:pPr>
            <w:r>
              <w:rPr/>
              <w:t> </w:t>
            </w:r>
          </w:p>
        </w:tc>
        <w:tc>
          <w:tcPr>
            <w:tcW w:w="30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7" w:type="dxa"/>
            <w:gridSpan w:val="6"/>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tc>
        <w:tc>
          <w:tcPr>
            <w:tcW w:w="95" w:type="dxa"/>
            <w:tcBorders/>
            <w:vAlign w:val="bottom"/>
          </w:tcPr>
          <w:p>
            <w:pPr>
              <w:pStyle w:val="TableContents"/>
              <w:bidi w:val="0"/>
              <w:spacing w:before="0" w:after="283"/>
              <w:jc w:val="left"/>
              <w:rPr/>
            </w:pPr>
            <w:r>
              <w:rPr/>
              <w:t> </w:t>
            </w:r>
          </w:p>
        </w:tc>
      </w:tr>
      <w:tr>
        <w:trPr/>
        <w:tc>
          <w:tcPr>
            <w:tcW w:w="4595" w:type="dxa"/>
            <w:tcBorders/>
            <w:vAlign w:val="bottom"/>
          </w:tcPr>
          <w:p>
            <w:pPr>
              <w:pStyle w:val="TableContents"/>
              <w:bidi w:val="0"/>
              <w:spacing w:before="0" w:after="0"/>
              <w:ind w:left="144" w:right="0" w:hanging="144"/>
              <w:jc w:val="left"/>
              <w:rPr>
                <w:color w:val="000000"/>
              </w:rPr>
            </w:pPr>
            <w:r>
              <w:rPr>
                <w:color w:val="000000"/>
              </w:rPr>
              <w:t> </w:t>
            </w:r>
          </w:p>
        </w:tc>
        <w:tc>
          <w:tcPr>
            <w:tcW w:w="302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78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95" w:type="dxa"/>
            <w:tcBorders/>
            <w:vAlign w:val="bottom"/>
          </w:tcPr>
          <w:p>
            <w:pPr>
              <w:pStyle w:val="TableContents"/>
              <w:bidi w:val="0"/>
              <w:spacing w:before="0" w:after="283"/>
              <w:ind w:left="180" w:right="0" w:hanging="180"/>
              <w:jc w:val="left"/>
              <w:rPr/>
            </w:pPr>
            <w:r>
              <w:rPr/>
              <w:t> </w:t>
            </w:r>
          </w:p>
        </w:tc>
      </w:tr>
      <w:tr>
        <w:trPr/>
        <w:tc>
          <w:tcPr>
            <w:tcW w:w="4595" w:type="dxa"/>
            <w:tcBorders/>
            <w:vAlign w:val="bottom"/>
          </w:tcPr>
          <w:p>
            <w:pPr>
              <w:pStyle w:val="TableContents"/>
              <w:bidi w:val="0"/>
              <w:spacing w:before="0" w:after="283"/>
              <w:ind w:left="180" w:right="0" w:hanging="180"/>
              <w:jc w:val="left"/>
              <w:rPr/>
            </w:pPr>
            <w:r>
              <w:rPr/>
            </w:r>
          </w:p>
        </w:tc>
        <w:tc>
          <w:tcPr>
            <w:tcW w:w="3020" w:type="dxa"/>
            <w:tcBorders>
              <w:bottom w:val="single" w:sz="12" w:space="0" w:color="000000"/>
            </w:tcBorders>
            <w:tcMar>
              <w:bottom w:w="28" w:type="dxa"/>
            </w:tcMar>
            <w:vAlign w:val="bottom"/>
          </w:tcPr>
          <w:p>
            <w:pPr>
              <w:pStyle w:val="TableContents"/>
              <w:bidi w:val="0"/>
              <w:spacing w:before="0" w:after="283"/>
              <w:jc w:val="center"/>
              <w:rPr/>
            </w:pPr>
            <w:r>
              <w:rPr/>
              <w:t> </w:t>
            </w:r>
            <w:r>
              <w:rPr>
                <w:b/>
              </w:rPr>
              <w:t>Location</w:t>
            </w:r>
            <w:r>
              <w:rPr/>
              <w:t xml:space="preserve"> </w:t>
            </w:r>
          </w:p>
        </w:tc>
        <w:tc>
          <w:tcPr>
            <w:tcW w:w="60" w:type="dxa"/>
            <w:tcBorders/>
            <w:vAlign w:val="bottom"/>
          </w:tcPr>
          <w:p>
            <w:pPr>
              <w:pStyle w:val="TableContents"/>
              <w:bidi w:val="0"/>
              <w:spacing w:before="0" w:after="283"/>
              <w:jc w:val="left"/>
              <w:rPr/>
            </w:pPr>
            <w:r>
              <w:rPr/>
              <w:t> </w:t>
            </w:r>
          </w:p>
        </w:tc>
        <w:tc>
          <w:tcPr>
            <w:tcW w:w="79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12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79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val="false"/>
                <w:color w:val="000000"/>
                <w:sz w:val="20"/>
              </w:rPr>
            </w:pPr>
            <w:r>
              <w:rPr>
                <w:rFonts w:ascii="Times New Roman" w:hAnsi="Times New Roman"/>
                <w:b w:val="false"/>
                <w:color w:val="000000"/>
                <w:sz w:val="20"/>
              </w:rPr>
              <w:t>2022</w:t>
            </w:r>
          </w:p>
        </w:tc>
        <w:tc>
          <w:tcPr>
            <w:tcW w:w="95" w:type="dxa"/>
            <w:tcBorders/>
            <w:vAlign w:val="bottom"/>
          </w:tcPr>
          <w:p>
            <w:pPr>
              <w:pStyle w:val="TableContents"/>
              <w:bidi w:val="0"/>
              <w:spacing w:before="0" w:after="283"/>
              <w:jc w:val="left"/>
              <w:rPr/>
            </w:pPr>
            <w:r>
              <w:rPr/>
              <w:t> </w:t>
            </w:r>
          </w:p>
        </w:tc>
      </w:tr>
      <w:tr>
        <w:trPr/>
        <w:tc>
          <w:tcPr>
            <w:tcW w:w="4595"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Forward contracts related to mortgage loans held for sale</w:t>
            </w:r>
          </w:p>
        </w:tc>
        <w:tc>
          <w:tcPr>
            <w:tcW w:w="302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Net gain (loss) on sales of loans</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375</w:t>
            </w:r>
          </w:p>
        </w:tc>
        <w:tc>
          <w:tcPr>
            <w:tcW w:w="12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166</w:t>
            </w:r>
          </w:p>
        </w:tc>
        <w:tc>
          <w:tcPr>
            <w:tcW w:w="95" w:type="dxa"/>
            <w:tcBorders/>
            <w:shd w:fill="CCEEFF" w:val="clear"/>
            <w:vAlign w:val="bottom"/>
          </w:tcPr>
          <w:p>
            <w:pPr>
              <w:pStyle w:val="TableContents"/>
              <w:bidi w:val="0"/>
              <w:spacing w:before="0" w:after="283"/>
              <w:jc w:val="left"/>
              <w:rPr/>
            </w:pPr>
            <w:r>
              <w:rPr/>
              <w:t> </w:t>
            </w:r>
          </w:p>
        </w:tc>
      </w:tr>
      <w:tr>
        <w:trPr/>
        <w:tc>
          <w:tcPr>
            <w:tcW w:w="4595" w:type="dxa"/>
            <w:tcBorders/>
            <w:vAlign w:val="bottom"/>
          </w:tcPr>
          <w:p>
            <w:pPr>
              <w:pStyle w:val="TableContents"/>
              <w:bidi w:val="0"/>
              <w:spacing w:before="0" w:after="283"/>
              <w:jc w:val="left"/>
              <w:rPr/>
            </w:pPr>
            <w:r>
              <w:rPr/>
              <w:t>Interest rate lock commitments</w:t>
            </w:r>
          </w:p>
        </w:tc>
        <w:tc>
          <w:tcPr>
            <w:tcW w:w="3020" w:type="dxa"/>
            <w:tcBorders/>
            <w:vAlign w:val="bottom"/>
          </w:tcPr>
          <w:p>
            <w:pPr>
              <w:pStyle w:val="TableContents"/>
              <w:bidi w:val="0"/>
              <w:spacing w:before="0" w:after="283"/>
              <w:jc w:val="left"/>
              <w:rPr/>
            </w:pPr>
            <w:r>
              <w:rPr/>
              <w:t>Net gain (loss) on sales of loans</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w:t>
            </w:r>
          </w:p>
        </w:tc>
        <w:tc>
          <w:tcPr>
            <w:tcW w:w="605" w:type="dxa"/>
            <w:tcBorders/>
            <w:vAlign w:val="bottom"/>
          </w:tcPr>
          <w:p>
            <w:pPr>
              <w:pStyle w:val="TableContents"/>
              <w:bidi w:val="0"/>
              <w:spacing w:before="0" w:after="283"/>
              <w:jc w:val="right"/>
              <w:rPr/>
            </w:pPr>
            <w:r>
              <w:rPr/>
              <w:t>(428</w:t>
            </w:r>
          </w:p>
        </w:tc>
        <w:tc>
          <w:tcPr>
            <w:tcW w:w="126" w:type="dxa"/>
            <w:tcBorders/>
            <w:vAlign w:val="bottom"/>
          </w:tcPr>
          <w:p>
            <w:pPr>
              <w:pStyle w:val="TableContents"/>
              <w:bidi w:val="0"/>
              <w:spacing w:before="0" w:after="283"/>
              <w:jc w:val="left"/>
              <w:rPr/>
            </w:pPr>
            <w:r>
              <w:rPr/>
              <w:t>)</w:t>
            </w:r>
          </w:p>
        </w:tc>
        <w:tc>
          <w:tcPr>
            <w:tcW w:w="79"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w:t>
            </w:r>
          </w:p>
        </w:tc>
        <w:tc>
          <w:tcPr>
            <w:tcW w:w="605" w:type="dxa"/>
            <w:tcBorders/>
            <w:vAlign w:val="bottom"/>
          </w:tcPr>
          <w:p>
            <w:pPr>
              <w:pStyle w:val="TableContents"/>
              <w:bidi w:val="0"/>
              <w:spacing w:before="0" w:after="283"/>
              <w:jc w:val="right"/>
              <w:rPr/>
            </w:pPr>
            <w:r>
              <w:rPr/>
              <w:t>(940</w:t>
            </w:r>
          </w:p>
        </w:tc>
        <w:tc>
          <w:tcPr>
            <w:tcW w:w="95" w:type="dxa"/>
            <w:tcBorders/>
            <w:vAlign w:val="bottom"/>
          </w:tcPr>
          <w:p>
            <w:pPr>
              <w:pStyle w:val="TableContents"/>
              <w:bidi w:val="0"/>
              <w:spacing w:before="0" w:after="283"/>
              <w:jc w:val="left"/>
              <w:rPr/>
            </w:pPr>
            <w:r>
              <w:rPr/>
              <w:t>)</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5219"/>
        <w:gridCol w:w="2935"/>
        <w:gridCol w:w="60"/>
        <w:gridCol w:w="232"/>
        <w:gridCol w:w="424"/>
        <w:gridCol w:w="154"/>
        <w:gridCol w:w="97"/>
        <w:gridCol w:w="228"/>
        <w:gridCol w:w="742"/>
        <w:gridCol w:w="114"/>
      </w:tblGrid>
      <w:tr>
        <w:trPr/>
        <w:tc>
          <w:tcPr>
            <w:tcW w:w="5219" w:type="dxa"/>
            <w:tcBorders/>
            <w:vAlign w:val="bottom"/>
          </w:tcPr>
          <w:p>
            <w:pPr>
              <w:pStyle w:val="TableContents"/>
              <w:bidi w:val="0"/>
              <w:spacing w:before="0" w:after="283"/>
              <w:jc w:val="left"/>
              <w:rPr/>
            </w:pPr>
            <w:r>
              <w:rPr/>
            </w:r>
          </w:p>
        </w:tc>
        <w:tc>
          <w:tcPr>
            <w:tcW w:w="293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center"/>
              <w:rPr/>
            </w:pPr>
            <w:r>
              <w:rPr/>
              <w:t> </w:t>
            </w:r>
          </w:p>
        </w:tc>
        <w:tc>
          <w:tcPr>
            <w:tcW w:w="1877" w:type="dxa"/>
            <w:gridSpan w:val="6"/>
            <w:tcBorders/>
            <w:vAlign w:val="bottom"/>
          </w:tcPr>
          <w:p>
            <w:pPr>
              <w:pStyle w:val="TableContents"/>
              <w:bidi w:val="0"/>
              <w:spacing w:before="0" w:after="283"/>
              <w:jc w:val="center"/>
              <w:rPr>
                <w:rFonts w:ascii="Times New Roman" w:hAnsi="Times New Roman"/>
                <w:b/>
              </w:rPr>
            </w:pPr>
            <w:r>
              <w:rPr>
                <w:rFonts w:ascii="Times New Roman" w:hAnsi="Times New Roman"/>
                <w:b/>
              </w:rPr>
              <w:t>Six Months Ended</w:t>
            </w:r>
          </w:p>
        </w:tc>
        <w:tc>
          <w:tcPr>
            <w:tcW w:w="114" w:type="dxa"/>
            <w:tcBorders/>
            <w:vAlign w:val="bottom"/>
          </w:tcPr>
          <w:p>
            <w:pPr>
              <w:pStyle w:val="TableContents"/>
              <w:bidi w:val="0"/>
              <w:spacing w:before="0" w:after="283"/>
              <w:jc w:val="left"/>
              <w:rPr/>
            </w:pPr>
            <w:r>
              <w:rPr/>
              <w:t> </w:t>
            </w:r>
          </w:p>
        </w:tc>
      </w:tr>
      <w:tr>
        <w:trPr/>
        <w:tc>
          <w:tcPr>
            <w:tcW w:w="5219" w:type="dxa"/>
            <w:tcBorders/>
            <w:vAlign w:val="bottom"/>
          </w:tcPr>
          <w:p>
            <w:pPr>
              <w:pStyle w:val="TableContents"/>
              <w:bidi w:val="0"/>
              <w:spacing w:before="0" w:after="283"/>
              <w:jc w:val="left"/>
              <w:rPr/>
            </w:pPr>
            <w:r>
              <w:rPr/>
              <w:t> </w:t>
            </w:r>
          </w:p>
        </w:tc>
        <w:tc>
          <w:tcPr>
            <w:tcW w:w="29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7" w:type="dxa"/>
            <w:gridSpan w:val="6"/>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color w:val="000000"/>
              </w:rPr>
            </w:pPr>
            <w:r>
              <w:rPr>
                <w:rFonts w:ascii="Times New Roman" w:hAnsi="Times New Roman"/>
                <w:b/>
                <w:color w:val="000000"/>
              </w:rPr>
              <w:t>June 30,</w:t>
            </w:r>
          </w:p>
        </w:tc>
        <w:tc>
          <w:tcPr>
            <w:tcW w:w="114" w:type="dxa"/>
            <w:tcBorders/>
            <w:vAlign w:val="bottom"/>
          </w:tcPr>
          <w:p>
            <w:pPr>
              <w:pStyle w:val="TableContents"/>
              <w:bidi w:val="0"/>
              <w:spacing w:before="0" w:after="283"/>
              <w:jc w:val="left"/>
              <w:rPr/>
            </w:pPr>
            <w:r>
              <w:rPr/>
              <w:t> </w:t>
            </w:r>
          </w:p>
        </w:tc>
      </w:tr>
      <w:tr>
        <w:trPr/>
        <w:tc>
          <w:tcPr>
            <w:tcW w:w="5219" w:type="dxa"/>
            <w:tcBorders/>
            <w:vAlign w:val="bottom"/>
          </w:tcPr>
          <w:p>
            <w:pPr>
              <w:pStyle w:val="TableContents"/>
              <w:bidi w:val="0"/>
              <w:spacing w:before="0" w:after="0"/>
              <w:jc w:val="center"/>
              <w:rPr>
                <w:rFonts w:ascii="Times New Roman" w:hAnsi="Times New Roman"/>
                <w:b/>
                <w:color w:val="000000"/>
              </w:rPr>
            </w:pPr>
            <w:r>
              <w:rPr>
                <w:rFonts w:ascii="Times New Roman" w:hAnsi="Times New Roman"/>
                <w:b/>
                <w:color w:val="000000"/>
              </w:rPr>
            </w:r>
          </w:p>
        </w:tc>
        <w:tc>
          <w:tcPr>
            <w:tcW w:w="2935" w:type="dxa"/>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rPr>
            </w:pPr>
            <w:r>
              <w:rPr>
                <w:rFonts w:ascii="Times New Roman" w:hAnsi="Times New Roman"/>
                <w:b/>
              </w:rPr>
              <w:t>Location</w:t>
            </w:r>
          </w:p>
        </w:tc>
        <w:tc>
          <w:tcPr>
            <w:tcW w:w="60" w:type="dxa"/>
            <w:tcBorders/>
            <w:vAlign w:val="bottom"/>
          </w:tcPr>
          <w:p>
            <w:pPr>
              <w:pStyle w:val="TableContents"/>
              <w:bidi w:val="0"/>
              <w:spacing w:before="0" w:after="283"/>
              <w:jc w:val="left"/>
              <w:rPr/>
            </w:pPr>
            <w:r>
              <w:rPr/>
              <w:t> </w:t>
            </w:r>
          </w:p>
        </w:tc>
        <w:tc>
          <w:tcPr>
            <w:tcW w:w="65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rPr>
            </w:pPr>
            <w:r>
              <w:rPr>
                <w:rFonts w:ascii="Times New Roman" w:hAnsi="Times New Roman"/>
                <w:b/>
                <w:color w:val="000000"/>
              </w:rPr>
              <w:t>2023</w:t>
            </w:r>
          </w:p>
        </w:tc>
        <w:tc>
          <w:tcPr>
            <w:tcW w:w="1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color w:val="000000"/>
              </w:rPr>
            </w:pPr>
            <w:r>
              <w:rPr>
                <w:rFonts w:ascii="Times New Roman" w:hAnsi="Times New Roman"/>
                <w:color w:val="000000"/>
              </w:rPr>
              <w:t>2022</w:t>
            </w:r>
          </w:p>
        </w:tc>
        <w:tc>
          <w:tcPr>
            <w:tcW w:w="114" w:type="dxa"/>
            <w:tcBorders/>
            <w:vAlign w:val="bottom"/>
          </w:tcPr>
          <w:p>
            <w:pPr>
              <w:pStyle w:val="TableContents"/>
              <w:bidi w:val="0"/>
              <w:spacing w:before="0" w:after="283"/>
              <w:jc w:val="left"/>
              <w:rPr/>
            </w:pPr>
            <w:r>
              <w:rPr/>
              <w:t> </w:t>
            </w:r>
          </w:p>
        </w:tc>
      </w:tr>
      <w:tr>
        <w:trPr/>
        <w:tc>
          <w:tcPr>
            <w:tcW w:w="5219" w:type="dxa"/>
            <w:tcBorders/>
            <w:shd w:fill="CCEEFF" w:val="clear"/>
            <w:vAlign w:val="bottom"/>
          </w:tcPr>
          <w:p>
            <w:pPr>
              <w:pStyle w:val="TableContents"/>
              <w:bidi w:val="0"/>
              <w:spacing w:before="0" w:after="0"/>
              <w:ind w:left="144" w:right="0" w:hanging="144"/>
              <w:jc w:val="left"/>
              <w:rPr>
                <w:rFonts w:ascii="Times New Roman" w:hAnsi="Times New Roman"/>
                <w:color w:val="000000"/>
              </w:rPr>
            </w:pPr>
            <w:r>
              <w:rPr>
                <w:rFonts w:ascii="Times New Roman" w:hAnsi="Times New Roman"/>
                <w:color w:val="000000"/>
              </w:rPr>
              <w:t>Forward contracts related to mortgage loans held for sale</w:t>
            </w:r>
          </w:p>
        </w:tc>
        <w:tc>
          <w:tcPr>
            <w:tcW w:w="2935" w:type="dxa"/>
            <w:tcBorders/>
            <w:shd w:fill="CCEEFF" w:val="clear"/>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Net gain (loss) on sales of loans</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c>
          <w:tcPr>
            <w:tcW w:w="424" w:type="dxa"/>
            <w:tcBorders/>
            <w:shd w:fill="CCEEFF" w:val="clear"/>
            <w:vAlign w:val="bottom"/>
          </w:tcPr>
          <w:p>
            <w:pPr>
              <w:pStyle w:val="TableContents"/>
              <w:bidi w:val="0"/>
              <w:spacing w:before="0" w:after="0"/>
              <w:jc w:val="right"/>
              <w:rPr>
                <w:rFonts w:ascii="Times New Roman" w:hAnsi="Times New Roman"/>
                <w:color w:val="000000"/>
              </w:rPr>
            </w:pPr>
            <w:r>
              <w:rPr>
                <w:rFonts w:ascii="Times New Roman" w:hAnsi="Times New Roman"/>
                <w:color w:val="000000"/>
              </w:rPr>
              <w:t>94</w:t>
            </w:r>
          </w:p>
        </w:tc>
        <w:tc>
          <w:tcPr>
            <w:tcW w:w="1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c>
          <w:tcPr>
            <w:tcW w:w="742" w:type="dxa"/>
            <w:tcBorders/>
            <w:shd w:fill="CCEEFF" w:val="clear"/>
            <w:vAlign w:val="bottom"/>
          </w:tcPr>
          <w:p>
            <w:pPr>
              <w:pStyle w:val="TableContents"/>
              <w:bidi w:val="0"/>
              <w:spacing w:before="0" w:after="0"/>
              <w:jc w:val="right"/>
              <w:rPr>
                <w:rFonts w:ascii="Times New Roman" w:hAnsi="Times New Roman"/>
                <w:color w:val="000000"/>
              </w:rPr>
            </w:pPr>
            <w:r>
              <w:rPr>
                <w:rFonts w:ascii="Times New Roman" w:hAnsi="Times New Roman"/>
                <w:color w:val="000000"/>
              </w:rPr>
              <w:t>(926</w:t>
            </w:r>
          </w:p>
        </w:tc>
        <w:tc>
          <w:tcPr>
            <w:tcW w:w="114" w:type="dxa"/>
            <w:tcBorders/>
            <w:shd w:fill="CCEEFF" w:val="clear"/>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r>
      <w:tr>
        <w:trPr/>
        <w:tc>
          <w:tcPr>
            <w:tcW w:w="5219" w:type="dxa"/>
            <w:tcBorders/>
            <w:vAlign w:val="bottom"/>
          </w:tcPr>
          <w:p>
            <w:pPr>
              <w:pStyle w:val="TableContents"/>
              <w:bidi w:val="0"/>
              <w:spacing w:before="0" w:after="0"/>
              <w:ind w:left="144" w:right="0" w:hanging="144"/>
              <w:jc w:val="left"/>
              <w:rPr>
                <w:rFonts w:ascii="Times New Roman" w:hAnsi="Times New Roman"/>
                <w:color w:val="000000"/>
              </w:rPr>
            </w:pPr>
            <w:r>
              <w:rPr>
                <w:rFonts w:ascii="Times New Roman" w:hAnsi="Times New Roman"/>
                <w:color w:val="000000"/>
              </w:rPr>
              <w:t>Interest rate lock commitments</w:t>
            </w:r>
          </w:p>
        </w:tc>
        <w:tc>
          <w:tcPr>
            <w:tcW w:w="2935" w:type="dxa"/>
            <w:tcBorders/>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Net gain (loss) on sales of loans</w:t>
            </w:r>
          </w:p>
        </w:tc>
        <w:tc>
          <w:tcPr>
            <w:tcW w:w="60"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c>
          <w:tcPr>
            <w:tcW w:w="424" w:type="dxa"/>
            <w:tcBorders/>
            <w:vAlign w:val="bottom"/>
          </w:tcPr>
          <w:p>
            <w:pPr>
              <w:pStyle w:val="TableContents"/>
              <w:bidi w:val="0"/>
              <w:spacing w:before="0" w:after="0"/>
              <w:jc w:val="right"/>
              <w:rPr>
                <w:rFonts w:ascii="Times New Roman" w:hAnsi="Times New Roman"/>
                <w:color w:val="000000"/>
              </w:rPr>
            </w:pPr>
            <w:r>
              <w:rPr>
                <w:rFonts w:ascii="Times New Roman" w:hAnsi="Times New Roman"/>
                <w:color w:val="000000"/>
              </w:rPr>
              <w:t>(5</w:t>
            </w:r>
          </w:p>
        </w:tc>
        <w:tc>
          <w:tcPr>
            <w:tcW w:w="154" w:type="dxa"/>
            <w:tcBorders/>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c>
          <w:tcPr>
            <w:tcW w:w="97"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0"/>
              <w:jc w:val="left"/>
              <w:rPr>
                <w:rFonts w:ascii="Times New Roman" w:hAnsi="Times New Roman"/>
                <w:color w:val="000000"/>
              </w:rPr>
            </w:pPr>
            <w:r>
              <w:rPr>
                <w:rFonts w:ascii="Times New Roman" w:hAnsi="Times New Roman"/>
                <w:color w:val="000000"/>
              </w:rPr>
              <w:t>$</w:t>
            </w:r>
          </w:p>
        </w:tc>
        <w:tc>
          <w:tcPr>
            <w:tcW w:w="742" w:type="dxa"/>
            <w:tcBorders/>
            <w:vAlign w:val="bottom"/>
          </w:tcPr>
          <w:p>
            <w:pPr>
              <w:pStyle w:val="TableContents"/>
              <w:bidi w:val="0"/>
              <w:spacing w:before="0" w:after="0"/>
              <w:jc w:val="right"/>
              <w:rPr>
                <w:rFonts w:ascii="Times New Roman" w:hAnsi="Times New Roman"/>
                <w:color w:val="000000"/>
              </w:rPr>
            </w:pPr>
            <w:r>
              <w:rPr>
                <w:rFonts w:ascii="Times New Roman" w:hAnsi="Times New Roman"/>
                <w:color w:val="000000"/>
              </w:rPr>
              <w:t>117</w:t>
            </w:r>
          </w:p>
        </w:tc>
        <w:tc>
          <w:tcPr>
            <w:tcW w:w="114"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reflects the amount and fair value of mortgage banking derivatives in the Consolidated Balance Sheets at the dates indicated (dollars in thousands):</w:t>
      </w:r>
    </w:p>
    <w:p>
      <w:pPr>
        <w:pStyle w:val="TextBody"/>
        <w:bidi w:val="0"/>
        <w:spacing w:before="0" w:after="0"/>
        <w:jc w:val="both"/>
        <w:rPr/>
      </w:pPr>
      <w:r>
        <w:rPr/>
      </w:r>
    </w:p>
    <w:tbl>
      <w:tblPr>
        <w:tblW w:w="8310" w:type="dxa"/>
        <w:jc w:val="left"/>
        <w:tblInd w:w="0" w:type="dxa"/>
        <w:tblLayout w:type="fixed"/>
        <w:tblCellMar>
          <w:top w:w="0" w:type="dxa"/>
          <w:left w:w="0" w:type="dxa"/>
          <w:bottom w:w="0" w:type="dxa"/>
          <w:right w:w="0" w:type="dxa"/>
        </w:tblCellMar>
      </w:tblPr>
      <w:tblGrid>
        <w:gridCol w:w="4610"/>
        <w:gridCol w:w="60"/>
        <w:gridCol w:w="140"/>
        <w:gridCol w:w="680"/>
        <w:gridCol w:w="60"/>
        <w:gridCol w:w="60"/>
        <w:gridCol w:w="140"/>
        <w:gridCol w:w="380"/>
        <w:gridCol w:w="60"/>
        <w:gridCol w:w="60"/>
        <w:gridCol w:w="140"/>
        <w:gridCol w:w="1205"/>
        <w:gridCol w:w="60"/>
        <w:gridCol w:w="60"/>
        <w:gridCol w:w="140"/>
        <w:gridCol w:w="380"/>
        <w:gridCol w:w="75"/>
      </w:tblGrid>
      <w:tr>
        <w:trPr/>
        <w:tc>
          <w:tcPr>
            <w:tcW w:w="461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4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 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 2022</w:t>
            </w:r>
          </w:p>
        </w:tc>
        <w:tc>
          <w:tcPr>
            <w:tcW w:w="75" w:type="dxa"/>
            <w:tcBorders/>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Notional</w:t>
            </w:r>
          </w:p>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Notional</w:t>
            </w:r>
          </w:p>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75" w:type="dxa"/>
            <w:tcBorders/>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Included in other assets:</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Forward contracts related to mortgage loans held for sale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186</w:t>
            </w:r>
          </w:p>
        </w:tc>
        <w:tc>
          <w:tcPr>
            <w:tcW w:w="75"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Interest rate lock commitments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32,816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27,348,000.00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369</w:t>
            </w:r>
          </w:p>
        </w:tc>
        <w:tc>
          <w:tcPr>
            <w:tcW w:w="75"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360" w:right="0" w:hanging="13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Total included in other assets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tcMar>
              <w:bottom w:w="28" w:type="dxa"/>
            </w:tcMar>
            <w:vAlign w:val="bottom"/>
          </w:tcPr>
          <w:p>
            <w:pPr>
              <w:pStyle w:val="TableContents"/>
              <w:bidi w:val="0"/>
              <w:spacing w:before="0" w:after="283"/>
              <w:jc w:val="right"/>
              <w:rPr/>
            </w:pPr>
            <w:r>
              <w:rPr/>
              <w:t>53,816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380" w:type="dxa"/>
            <w:tcBorders>
              <w:bottom w:val="double" w:sz="8" w:space="0" w:color="000000"/>
            </w:tcBorders>
            <w:tcMar>
              <w:bottom w:w="28" w:type="dxa"/>
            </w:tcMar>
            <w:vAlign w:val="bottom"/>
          </w:tcPr>
          <w:p>
            <w:pPr>
              <w:pStyle w:val="TableContents"/>
              <w:bidi w:val="0"/>
              <w:spacing w:before="0" w:after="283"/>
              <w:jc w:val="right"/>
              <w:rPr/>
            </w:pPr>
            <w:r>
              <w:rPr/>
              <w:t>550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1205" w:type="dxa"/>
            <w:tcBorders>
              <w:bottom w:val="double" w:sz="8" w:space="0" w:color="000000"/>
            </w:tcBorders>
            <w:tcMar>
              <w:bottom w:w="28" w:type="dxa"/>
            </w:tcMar>
            <w:vAlign w:val="bottom"/>
          </w:tcPr>
          <w:p>
            <w:pPr>
              <w:pStyle w:val="TableContents"/>
              <w:bidi w:val="0"/>
              <w:spacing w:before="0" w:after="283"/>
              <w:jc w:val="right"/>
              <w:rPr/>
            </w:pPr>
            <w:r>
              <w:rPr/>
              <w:t>50,848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380" w:type="dxa"/>
            <w:tcBorders>
              <w:bottom w:val="double" w:sz="8" w:space="0" w:color="000000"/>
            </w:tcBorders>
            <w:tcMar>
              <w:bottom w:w="28" w:type="dxa"/>
            </w:tcMar>
            <w:vAlign w:val="bottom"/>
          </w:tcPr>
          <w:p>
            <w:pPr>
              <w:pStyle w:val="TableContents"/>
              <w:bidi w:val="0"/>
              <w:spacing w:before="0" w:after="283"/>
              <w:jc w:val="right"/>
              <w:rPr/>
            </w:pPr>
            <w:r>
              <w:rPr/>
              <w:t>555</w:t>
            </w:r>
          </w:p>
        </w:tc>
        <w:tc>
          <w:tcPr>
            <w:tcW w:w="75" w:type="dxa"/>
            <w:tcBorders/>
            <w:vAlign w:val="bottom"/>
          </w:tcPr>
          <w:p>
            <w:pPr>
              <w:pStyle w:val="TableContents"/>
              <w:bidi w:val="0"/>
              <w:spacing w:before="0" w:after="283"/>
              <w:ind w:left="180" w:right="0" w:hanging="180"/>
              <w:jc w:val="left"/>
              <w:rPr/>
            </w:pPr>
            <w:r>
              <w:rPr/>
              <w:t> </w:t>
            </w:r>
          </w:p>
        </w:tc>
      </w:tr>
      <w:tr>
        <w:trPr/>
        <w:tc>
          <w:tcPr>
            <w:tcW w:w="46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Included in other liabilities: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Forward contracts related to mortgage loans held for sale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6,296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5,615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128</w:t>
            </w:r>
          </w:p>
        </w:tc>
        <w:tc>
          <w:tcPr>
            <w:tcW w:w="75"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180" w:right="0" w:hanging="0"/>
              <w:jc w:val="left"/>
              <w:rPr/>
            </w:pPr>
            <w:r>
              <w:rPr/>
              <w:t>Interest rate lock commitments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tcMar>
              <w:bottom w:w="28" w:type="dxa"/>
            </w:tcMar>
            <w:vAlign w:val="bottom"/>
          </w:tcPr>
          <w:p>
            <w:pPr>
              <w:pStyle w:val="TableContents"/>
              <w:bidi w:val="0"/>
              <w:spacing w:before="0" w:after="283"/>
              <w:jc w:val="right"/>
              <w:rPr/>
            </w:pPr>
            <w:r>
              <w:rPr/>
              <w:t>—</w:t>
            </w:r>
          </w:p>
        </w:tc>
        <w:tc>
          <w:tcPr>
            <w:tcW w:w="75" w:type="dxa"/>
            <w:tcBorders/>
            <w:vAlign w:val="bottom"/>
          </w:tcPr>
          <w:p>
            <w:pPr>
              <w:pStyle w:val="TableContents"/>
              <w:bidi w:val="0"/>
              <w:spacing w:before="0" w:after="283"/>
              <w:jc w:val="left"/>
              <w:rPr/>
            </w:pPr>
            <w:r>
              <w:rPr/>
              <w:t> </w:t>
            </w:r>
          </w:p>
        </w:tc>
      </w:tr>
      <w:tr>
        <w:trPr/>
        <w:tc>
          <w:tcPr>
            <w:tcW w:w="46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610" w:type="dxa"/>
            <w:tcBorders/>
            <w:vAlign w:val="bottom"/>
          </w:tcPr>
          <w:p>
            <w:pPr>
              <w:pStyle w:val="TableContents"/>
              <w:bidi w:val="0"/>
              <w:spacing w:before="0" w:after="0"/>
              <w:ind w:left="360" w:right="0" w:hanging="13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w:t>
            </w:r>
            <w:r>
              <w:rPr>
                <w:rFonts w:ascii="Times New Roman" w:hAnsi="Times New Roman"/>
                <w:b w:val="false"/>
                <w:i w:val="false"/>
                <w:caps w:val="false"/>
                <w:smallCaps w:val="false"/>
                <w:color w:val="000000"/>
                <w:spacing w:val="0"/>
                <w:sz w:val="20"/>
              </w:rPr>
              <w:t>otal included in other liabilities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680" w:type="dxa"/>
            <w:tcBorders>
              <w:bottom w:val="double" w:sz="8" w:space="0" w:color="000000"/>
            </w:tcBorders>
            <w:tcMar>
              <w:bottom w:w="28" w:type="dxa"/>
            </w:tcMar>
            <w:vAlign w:val="bottom"/>
          </w:tcPr>
          <w:p>
            <w:pPr>
              <w:pStyle w:val="TableContents"/>
              <w:bidi w:val="0"/>
              <w:spacing w:before="0" w:after="283"/>
              <w:jc w:val="right"/>
              <w:rPr/>
            </w:pPr>
            <w:r>
              <w:rPr/>
              <w:t>6,296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380" w:type="dxa"/>
            <w:tcBorders>
              <w:bottom w:val="double" w:sz="8" w:space="0" w:color="000000"/>
            </w:tcBorders>
            <w:tcMar>
              <w:bottom w:w="28" w:type="dxa"/>
            </w:tcMar>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1205" w:type="dxa"/>
            <w:tcBorders>
              <w:bottom w:val="double" w:sz="8" w:space="0" w:color="000000"/>
            </w:tcBorders>
            <w:tcMar>
              <w:bottom w:w="28" w:type="dxa"/>
            </w:tcMar>
            <w:vAlign w:val="bottom"/>
          </w:tcPr>
          <w:p>
            <w:pPr>
              <w:pStyle w:val="TableContents"/>
              <w:bidi w:val="0"/>
              <w:spacing w:before="0" w:after="283"/>
              <w:jc w:val="right"/>
              <w:rPr/>
            </w:pPr>
            <w:r>
              <w:rPr/>
              <w:t>5,615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w:t>
            </w:r>
          </w:p>
        </w:tc>
        <w:tc>
          <w:tcPr>
            <w:tcW w:w="380" w:type="dxa"/>
            <w:tcBorders>
              <w:bottom w:val="double" w:sz="8" w:space="0" w:color="000000"/>
            </w:tcBorders>
            <w:tcMar>
              <w:bottom w:w="28" w:type="dxa"/>
            </w:tcMar>
            <w:vAlign w:val="bottom"/>
          </w:tcPr>
          <w:p>
            <w:pPr>
              <w:pStyle w:val="TableContents"/>
              <w:bidi w:val="0"/>
              <w:spacing w:before="0" w:after="283"/>
              <w:jc w:val="right"/>
              <w:rPr/>
            </w:pPr>
            <w:r>
              <w:rPr/>
              <w:t>128</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had received cash collateral of $17.3 million to offset asset derivative positions on its interest rate swaps at June 30, 2023. This amount is reported in other liabilities in the Consolidated Balance Sheets. The Company had advanced $1.1 million to offset liability derivative positions on its interest rate swaps at June 30, 2023. Additionally, the Company had advanced $440 thousand on its mortgage forward contracts at June 30, 2023. The advanced cash collateral amounts are reported in cash and due from banks in the Consolidated Balance Sheets.</w:t>
      </w:r>
    </w:p>
    <w:p>
      <w:pPr>
        <w:pStyle w:val="TextBody"/>
        <w:bidi w:val="0"/>
        <w:spacing w:before="0" w:after="0"/>
        <w:jc w:val="both"/>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12.  EARNINGS PER SHARE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factors used in the earnings per share computation for the periods indicated follow (dollars in thousands, except per share data):</w:t>
      </w:r>
    </w:p>
    <w:p>
      <w:pPr>
        <w:pStyle w:val="TextBody"/>
        <w:bidi w:val="0"/>
        <w:spacing w:before="0" w:after="0"/>
        <w:jc w:val="left"/>
        <w:rPr/>
      </w:pPr>
      <w:r>
        <w:rPr/>
      </w:r>
    </w:p>
    <w:tbl>
      <w:tblPr>
        <w:tblW w:w="9345" w:type="dxa"/>
        <w:jc w:val="left"/>
        <w:tblInd w:w="0" w:type="dxa"/>
        <w:tblLayout w:type="fixed"/>
        <w:tblCellMar>
          <w:top w:w="0" w:type="dxa"/>
          <w:left w:w="0" w:type="dxa"/>
          <w:bottom w:w="0" w:type="dxa"/>
          <w:right w:w="0" w:type="dxa"/>
        </w:tblCellMar>
      </w:tblPr>
      <w:tblGrid>
        <w:gridCol w:w="4550"/>
        <w:gridCol w:w="60"/>
        <w:gridCol w:w="125"/>
        <w:gridCol w:w="950"/>
        <w:gridCol w:w="60"/>
        <w:gridCol w:w="60"/>
        <w:gridCol w:w="125"/>
        <w:gridCol w:w="950"/>
        <w:gridCol w:w="60"/>
        <w:gridCol w:w="60"/>
        <w:gridCol w:w="125"/>
        <w:gridCol w:w="950"/>
        <w:gridCol w:w="60"/>
        <w:gridCol w:w="60"/>
        <w:gridCol w:w="125"/>
        <w:gridCol w:w="950"/>
        <w:gridCol w:w="75"/>
      </w:tblGrid>
      <w:tr>
        <w:trPr/>
        <w:tc>
          <w:tcPr>
            <w:tcW w:w="45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7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7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p>
            <w:pPr>
              <w:pStyle w:val="TableContents"/>
              <w:bidi w:val="0"/>
              <w:spacing w:before="0" w:after="0"/>
              <w:jc w:val="center"/>
              <w:rPr>
                <w:rFonts w:ascii="Times New Roman" w:hAnsi="Times New Roman"/>
                <w:b/>
                <w:sz w:val="20"/>
              </w:rPr>
            </w:pPr>
            <w:r>
              <w:rPr>
                <w:rFonts w:ascii="Times New Roman" w:hAnsi="Times New Roman"/>
                <w:b/>
                <w:sz w:val="20"/>
              </w:rPr>
              <w:t>June 30,</w:t>
            </w:r>
          </w:p>
        </w:tc>
        <w:tc>
          <w:tcPr>
            <w:tcW w:w="75" w:type="dxa"/>
            <w:tcBorders/>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2022</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29,683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15,883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38,927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30,161</w:t>
            </w:r>
          </w:p>
        </w:tc>
        <w:tc>
          <w:tcPr>
            <w:tcW w:w="75" w:type="dxa"/>
            <w:tcBorders/>
            <w:shd w:fill="CCEEFF" w:val="clear"/>
            <w:vAlign w:val="bottom"/>
          </w:tcPr>
          <w:p>
            <w:pPr>
              <w:pStyle w:val="TableContents"/>
              <w:bidi w:val="0"/>
              <w:spacing w:before="0" w:after="283"/>
              <w:ind w:left="180" w:right="0" w:hanging="180"/>
              <w:jc w:val="left"/>
              <w:rPr/>
            </w:pPr>
            <w:r>
              <w:rPr/>
              <w:t> </w:t>
            </w:r>
          </w:p>
        </w:tc>
      </w:tr>
      <w:tr>
        <w:trPr/>
        <w:tc>
          <w:tcPr>
            <w:tcW w:w="45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Weighted average common shares outstanding - basic</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17,048,432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17,490,706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17,047,578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17,602,798</w:t>
            </w:r>
          </w:p>
        </w:tc>
        <w:tc>
          <w:tcPr>
            <w:tcW w:w="75"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Effect of dilutive securities: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Stock-based compensation awards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338,083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529,842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390,779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609,638</w:t>
            </w:r>
          </w:p>
        </w:tc>
        <w:tc>
          <w:tcPr>
            <w:tcW w:w="75"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Weighted average common shares outstanding - diluted</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17,386,515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18,020,548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17,438,357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95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18,212,436</w:t>
            </w:r>
          </w:p>
        </w:tc>
        <w:tc>
          <w:tcPr>
            <w:tcW w:w="75" w:type="dxa"/>
            <w:tcBorders/>
            <w:vAlign w:val="bottom"/>
          </w:tcPr>
          <w:p>
            <w:pPr>
              <w:pStyle w:val="TableContents"/>
              <w:bidi w:val="0"/>
              <w:spacing w:before="0" w:after="283"/>
              <w:ind w:left="180" w:right="0" w:hanging="180"/>
              <w:jc w:val="left"/>
              <w:rPr/>
            </w:pPr>
            <w:r>
              <w:rPr/>
              <w:t> </w:t>
            </w:r>
          </w:p>
        </w:tc>
      </w:tr>
      <w:tr>
        <w:trPr/>
        <w:tc>
          <w:tcPr>
            <w:tcW w:w="45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Basic earnings per share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1.71</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Diluted earnings per share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1.66</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13.  FAIR VALUE DISCLOSURES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Level 1 Inputs</w:t>
            </w:r>
            <w:r>
              <w:rPr>
                <w:rFonts w:ascii="Times New Roman" w:hAnsi="Times New Roman"/>
                <w:sz w:val="20"/>
              </w:rPr>
              <w:t xml:space="preserve"> - Unadjusted quoted prices in active markets for identical assets or liabilities that the reporting entity has the ability to access at the measurement date.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Level 2 Inputs</w:t>
            </w:r>
            <w:r>
              <w:rPr>
                <w:rFonts w:ascii="Times New Roman" w:hAnsi="Times New Roman"/>
                <w:sz w:val="20"/>
              </w:rPr>
              <w:t xml:space="preserve"> - Inputs other than quoted prices included in Level 1 that are observable for the asset or liability, 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i/>
                <w:sz w:val="20"/>
              </w:rPr>
              <w:t>Level 3 Inputs</w:t>
            </w:r>
            <w:r>
              <w:rPr>
                <w:rFonts w:ascii="Times New Roman" w:hAnsi="Times New Roman"/>
                <w:sz w:val="20"/>
              </w:rPr>
              <w:t xml:space="preserve"> - Significant unobservable inputs for determining the fair values of assets or liabilities that reflect an entity’s own assumptions about the assumptions that market participants would use in pricing the assets or liabilities.</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summarizes fair value measurements at the dates indicated (dollars in thousands):</w:t>
      </w:r>
    </w:p>
    <w:p>
      <w:pPr>
        <w:pStyle w:val="TextBody"/>
        <w:bidi w:val="0"/>
        <w:spacing w:before="0" w:after="0"/>
        <w:jc w:val="left"/>
        <w:rPr/>
      </w:pPr>
      <w:r>
        <w:rPr/>
      </w:r>
    </w:p>
    <w:tbl>
      <w:tblPr>
        <w:tblW w:w="8524" w:type="dxa"/>
        <w:jc w:val="left"/>
        <w:tblInd w:w="0" w:type="dxa"/>
        <w:tblLayout w:type="fixed"/>
        <w:tblCellMar>
          <w:top w:w="0" w:type="dxa"/>
          <w:left w:w="0" w:type="dxa"/>
          <w:bottom w:w="0" w:type="dxa"/>
          <w:right w:w="0" w:type="dxa"/>
        </w:tblCellMar>
      </w:tblPr>
      <w:tblGrid>
        <w:gridCol w:w="4985"/>
        <w:gridCol w:w="60"/>
        <w:gridCol w:w="210"/>
        <w:gridCol w:w="439"/>
        <w:gridCol w:w="60"/>
        <w:gridCol w:w="60"/>
        <w:gridCol w:w="125"/>
        <w:gridCol w:w="695"/>
        <w:gridCol w:w="80"/>
        <w:gridCol w:w="60"/>
        <w:gridCol w:w="125"/>
        <w:gridCol w:w="590"/>
        <w:gridCol w:w="60"/>
        <w:gridCol w:w="60"/>
        <w:gridCol w:w="125"/>
        <w:gridCol w:w="695"/>
        <w:gridCol w:w="95"/>
      </w:tblGrid>
      <w:tr>
        <w:trPr/>
        <w:tc>
          <w:tcPr>
            <w:tcW w:w="49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4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June 30, 2023</w:t>
            </w:r>
          </w:p>
        </w:tc>
        <w:tc>
          <w:tcPr>
            <w:tcW w:w="60" w:type="dxa"/>
            <w:tcBorders/>
            <w:vAlign w:val="bottom"/>
          </w:tcPr>
          <w:p>
            <w:pPr>
              <w:pStyle w:val="TableContents"/>
              <w:bidi w:val="0"/>
              <w:spacing w:before="0" w:after="283"/>
              <w:jc w:val="left"/>
              <w:rPr/>
            </w:pPr>
            <w:r>
              <w:rPr/>
              <w:t> </w:t>
            </w:r>
          </w:p>
        </w:tc>
        <w:tc>
          <w:tcPr>
            <w:tcW w:w="64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Assets (liabilities) measured at fair value on a recurring basis:</w:t>
            </w:r>
          </w:p>
        </w:tc>
        <w:tc>
          <w:tcPr>
            <w:tcW w:w="60" w:type="dxa"/>
            <w:tcBorders/>
            <w:vAlign w:val="bottom"/>
          </w:tcPr>
          <w:p>
            <w:pPr>
              <w:pStyle w:val="TableContents"/>
              <w:bidi w:val="0"/>
              <w:spacing w:before="0" w:after="283"/>
              <w:jc w:val="left"/>
              <w:rPr/>
            </w:pPr>
            <w:r>
              <w:rPr/>
              <w:t> </w:t>
            </w:r>
          </w:p>
        </w:tc>
        <w:tc>
          <w:tcPr>
            <w:tcW w:w="64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Securities available for sale:</w:t>
            </w:r>
          </w:p>
        </w:tc>
        <w:tc>
          <w:tcPr>
            <w:tcW w:w="60" w:type="dxa"/>
            <w:tcBorders/>
            <w:vAlign w:val="bottom"/>
          </w:tcPr>
          <w:p>
            <w:pPr>
              <w:pStyle w:val="TableContents"/>
              <w:bidi w:val="0"/>
              <w:spacing w:before="0" w:after="283"/>
              <w:jc w:val="left"/>
              <w:rPr/>
            </w:pPr>
            <w:r>
              <w:rPr/>
              <w:t> </w:t>
            </w:r>
          </w:p>
        </w:tc>
        <w:tc>
          <w:tcPr>
            <w:tcW w:w="64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State and municipal</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180,395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180,395</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Residential mortgage-backed securities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310,187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310,187</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0"/>
              <w:jc w:val="left"/>
              <w:rPr/>
            </w:pPr>
            <w:r>
              <w:rPr/>
              <w:t>Commercial mortgage-backed securities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41,218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41,218</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Collateralized mortgage obligations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67,595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67,595</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Asset-backed and other amortizing securities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17,785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17,785</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securities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10,913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10,913</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Loans held for sale (mandatory)</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15,516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15,516</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Mortgage servicing rights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26,658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26,658</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Asset derivatives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20,373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20,373</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Liability derivatives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Assets measured at fair value on a non-recurring basis: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Loans held for investment</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18,098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18,098</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Assets (liabilities) measured at fair value on a recurring basis: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Securities available for sale:</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State and municipal</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225,055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225,055</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Residential mortgage-backed securities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328,845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328,845</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0"/>
              <w:jc w:val="left"/>
              <w:rPr/>
            </w:pPr>
            <w:r>
              <w:rPr/>
              <w:t xml:space="preserve">Commercial mortgage-backed securities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41,967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41,967</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Collateralized mortgage obligations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75,638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75,638</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Asset-backed and other amortizing securities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19,094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19,094</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securities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11,112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11,112</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Loans held for sale (mandatory)</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10,038</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Mortgage servicing rights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27,474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27,474</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Asset derivatives</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21,162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21,162</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Liability derivatives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98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Assets measured at fair value on a non-recurring basis:</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9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Loans held for investment</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4,821</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u w:val="single"/>
        </w:rPr>
        <w:t>Securities</w:t>
      </w:r>
      <w:r>
        <w:rPr>
          <w:rFonts w:ascii="Times New Roman" w:hAnsi="Times New Roman"/>
          <w:color w:val="000000"/>
          <w:sz w:val="20"/>
        </w:rPr>
        <w:t xml:space="preserve"> – Fair value is calculated based on market prices of similar securities using matrix pricing. Matrix pricing is a mathematical technique commonly used to price debt securities that are not actively traded.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u w:val="single"/>
        </w:rPr>
        <w:t>Mortgage servicing rights</w:t>
      </w:r>
      <w:r>
        <w:rPr>
          <w:rFonts w:ascii="Times New Roman" w:hAnsi="Times New Roman"/>
          <w:color w:val="000000"/>
          <w:sz w:val="20"/>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speeds, default rates, and discount rates, which are significant unobservable inputs. Mortgage servicing rights are the only Level 3 asset measured at fair value on a recurring basis, see Note 5 for the Level 3 change activity for the three and six months ended June 30, 2023 and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u w:val="single"/>
        </w:rPr>
        <w:t>Derivatives</w:t>
      </w:r>
      <w:r>
        <w:rPr>
          <w:rFonts w:ascii="Times New Roman" w:hAnsi="Times New Roman"/>
          <w:color w:val="000000"/>
          <w:sz w:val="20"/>
        </w:rPr>
        <w:t xml:space="preserve"> – Fair value of derivatives is based on valuation models using observable market data as of the measurement date.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u w:val="single"/>
        </w:rPr>
        <w:t>Loans held for investment</w:t>
      </w:r>
      <w:r>
        <w:rPr>
          <w:rFonts w:ascii="Times New Roman" w:hAnsi="Times New Roman"/>
          <w:color w:val="000000"/>
          <w:sz w:val="20"/>
        </w:rPr>
        <w:t xml:space="preserve"> – Includes certain collateral-dependent loans which are reported at the fair value, for which a specific allocation of the allowance for credit losses is based off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Fair Values of Assets Recorded on a Recurring Basis for which the Fair Value Option has been Elected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u w:val="single"/>
        </w:rPr>
        <w:t>Loans held for sale (mandatory)</w:t>
      </w:r>
      <w:r>
        <w:rPr>
          <w:rFonts w:ascii="Times New Roman" w:hAnsi="Times New Roman"/>
          <w:color w:val="000000"/>
          <w:sz w:val="20"/>
        </w:rPr>
        <w:t xml:space="preserve"> –</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Loans held for sale originated for mandatory delivery are reported at fair value on a recurring basis due to the Company’s election to adopt fair value accounting treatment for these assets. This election allows for a more effective offset of the changes in fair values of the assets and the derivative instruments used to economically hedge them without the burden of complying with the requirements for hedge accounting under ASC Topic 815, Derivatives and Hedging. For assets for which the fair value option has been elected, the earned current contractual interest payment is recognized in interest income, loan origination costs and fees on fair value option loans are recognized in earnings as incurred and not deferred. At June 30, 2023, and December 31, 2022, the Company had no gains or losses recorded attributable to changes in instrument-specific credit risk. Fair value is determined using quoted prices for similar assets, adjusted for specific attributes of that loan. At June 30, 2023 and December 31, 2022 the aggregate fair value of loans held for sale for mandatory delivery was $15.5 million and $10.0 million, respectively. The aggregate unpaid principal balance as of the same dates was $15.1 million and $9.9 million, respectively, representing differences between fair value and unpaid principal balance of $372 thousand and $163 thousand, respectively. The Company had no loans held for sale for mandatory delivery designated as nonaccrual or 90 days or more past due at June 30, 2023 and December 31, 2022.</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total fair value option impact on noninterest income for loans held for sale for mandatory delivery is included in Net gain on sales of loans in the Consolidated Statements of Comprehensive Income (Loss). For the three months ended June 30, 2023 and 2022 the net (gain) loss amount totaled $9 thousand and $(471) thousand, respectively. For the six months ended June 30, 2023 and 2022 the net (gain) loss amount totaled $(252) thousand and $1.7 million,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presents quantitative information about recurring and non-recurring Level 3 fair value measurements at the dates indicated (dollars in thousands):</w:t>
      </w:r>
    </w:p>
    <w:p>
      <w:pPr>
        <w:pStyle w:val="TextBody"/>
        <w:bidi w:val="0"/>
        <w:spacing w:before="0" w:after="0"/>
        <w:jc w:val="left"/>
        <w:rPr/>
      </w:pPr>
      <w:r>
        <w:rPr/>
      </w:r>
    </w:p>
    <w:tbl>
      <w:tblPr>
        <w:tblW w:w="10130" w:type="dxa"/>
        <w:jc w:val="left"/>
        <w:tblInd w:w="0" w:type="dxa"/>
        <w:tblLayout w:type="fixed"/>
        <w:tblCellMar>
          <w:top w:w="0" w:type="dxa"/>
          <w:left w:w="0" w:type="dxa"/>
          <w:bottom w:w="0" w:type="dxa"/>
          <w:right w:w="0" w:type="dxa"/>
        </w:tblCellMar>
      </w:tblPr>
      <w:tblGrid>
        <w:gridCol w:w="2135"/>
        <w:gridCol w:w="60"/>
        <w:gridCol w:w="125"/>
        <w:gridCol w:w="590"/>
        <w:gridCol w:w="60"/>
        <w:gridCol w:w="2975"/>
        <w:gridCol w:w="60"/>
        <w:gridCol w:w="3050"/>
        <w:gridCol w:w="60"/>
        <w:gridCol w:w="60"/>
        <w:gridCol w:w="770"/>
        <w:gridCol w:w="185"/>
      </w:tblGrid>
      <w:tr>
        <w:trPr/>
        <w:tc>
          <w:tcPr>
            <w:tcW w:w="2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297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Valuation</w:t>
            </w:r>
          </w:p>
          <w:p>
            <w:pPr>
              <w:pStyle w:val="TableContents"/>
              <w:bidi w:val="0"/>
              <w:spacing w:before="0" w:after="0"/>
              <w:jc w:val="center"/>
              <w:rPr>
                <w:rFonts w:ascii="Times New Roman" w:hAnsi="Times New Roman"/>
                <w:b/>
                <w:sz w:val="20"/>
              </w:rPr>
            </w:pPr>
            <w:r>
              <w:rPr>
                <w:rFonts w:ascii="Times New Roman" w:hAnsi="Times New Roman"/>
                <w:b/>
                <w:sz w:val="20"/>
              </w:rPr>
              <w:t>Techniques</w:t>
            </w:r>
          </w:p>
        </w:tc>
        <w:tc>
          <w:tcPr>
            <w:tcW w:w="60" w:type="dxa"/>
            <w:tcBorders/>
            <w:vAlign w:val="bottom"/>
          </w:tcPr>
          <w:p>
            <w:pPr>
              <w:pStyle w:val="TableContents"/>
              <w:bidi w:val="0"/>
              <w:spacing w:before="0" w:after="283"/>
              <w:jc w:val="left"/>
              <w:rPr/>
            </w:pPr>
            <w:r>
              <w:rPr/>
              <w:t> </w:t>
            </w:r>
          </w:p>
        </w:tc>
        <w:tc>
          <w:tcPr>
            <w:tcW w:w="305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Unobservable</w:t>
            </w:r>
          </w:p>
          <w:p>
            <w:pPr>
              <w:pStyle w:val="TableContents"/>
              <w:bidi w:val="0"/>
              <w:spacing w:before="0" w:after="0"/>
              <w:jc w:val="center"/>
              <w:rPr>
                <w:rFonts w:ascii="Times New Roman" w:hAnsi="Times New Roman"/>
                <w:b/>
                <w:sz w:val="20"/>
              </w:rPr>
            </w:pPr>
            <w:r>
              <w:rPr>
                <w:rFonts w:ascii="Times New Roman" w:hAnsi="Times New Roman"/>
                <w:b/>
                <w:sz w:val="20"/>
              </w:rPr>
              <w:t>Inputs</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Range of</w:t>
            </w:r>
          </w:p>
          <w:p>
            <w:pPr>
              <w:pStyle w:val="TableContents"/>
              <w:bidi w:val="0"/>
              <w:spacing w:before="0" w:after="0"/>
              <w:jc w:val="center"/>
              <w:rPr>
                <w:rFonts w:ascii="Times New Roman" w:hAnsi="Times New Roman"/>
                <w:b/>
                <w:sz w:val="20"/>
              </w:rPr>
            </w:pPr>
            <w:r>
              <w:rPr>
                <w:rFonts w:ascii="Times New Roman" w:hAnsi="Times New Roman"/>
                <w:b/>
                <w:sz w:val="20"/>
              </w:rPr>
              <w:t>Discounts</w:t>
            </w:r>
          </w:p>
        </w:tc>
        <w:tc>
          <w:tcPr>
            <w:tcW w:w="185" w:type="dxa"/>
            <w:tcBorders/>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0"/>
              <w:jc w:val="left"/>
              <w:rPr>
                <w:rFonts w:ascii="Times New Roman" w:hAnsi="Times New Roman"/>
                <w:sz w:val="20"/>
                <w:u w:val="single"/>
              </w:rPr>
            </w:pPr>
            <w:r>
              <w:rPr>
                <w:rFonts w:ascii="Times New Roman" w:hAnsi="Times New Roman"/>
                <w:sz w:val="20"/>
                <w:u w:val="single"/>
              </w:rPr>
              <w:t>June 30, 2023</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283"/>
              <w:jc w:val="left"/>
              <w:rPr/>
            </w:pPr>
            <w:r>
              <w:rPr/>
              <w:t>Non-recurring:</w:t>
            </w:r>
          </w:p>
        </w:tc>
        <w:tc>
          <w:tcPr>
            <w:tcW w:w="60" w:type="dxa"/>
            <w:tcBorders/>
            <w:vAlign w:val="bottom"/>
          </w:tcPr>
          <w:p>
            <w:pPr>
              <w:pStyle w:val="TableContents"/>
              <w:bidi w:val="0"/>
              <w:spacing w:before="0" w:after="283"/>
              <w:jc w:val="right"/>
              <w:rPr/>
            </w:pPr>
            <w:r>
              <w:rPr/>
              <w:t> </w:t>
            </w:r>
          </w:p>
        </w:tc>
        <w:tc>
          <w:tcPr>
            <w:tcW w:w="715"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30" w:type="dxa"/>
            <w:gridSpan w:val="2"/>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Loans held for investment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18,098</w:t>
            </w:r>
          </w:p>
        </w:tc>
        <w:tc>
          <w:tcPr>
            <w:tcW w:w="60" w:type="dxa"/>
            <w:tcBorders/>
            <w:shd w:fill="CCEEFF" w:val="clear"/>
            <w:vAlign w:val="bottom"/>
          </w:tcPr>
          <w:p>
            <w:pPr>
              <w:pStyle w:val="TableContents"/>
              <w:bidi w:val="0"/>
              <w:spacing w:before="0" w:after="283"/>
              <w:jc w:val="left"/>
              <w:rPr/>
            </w:pPr>
            <w:r>
              <w:rPr/>
              <w:t> </w:t>
            </w:r>
          </w:p>
        </w:tc>
        <w:tc>
          <w:tcPr>
            <w:tcW w:w="297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Third party appraisals or inspections</w:t>
            </w:r>
          </w:p>
        </w:tc>
        <w:tc>
          <w:tcPr>
            <w:tcW w:w="60" w:type="dxa"/>
            <w:tcBorders/>
            <w:shd w:fill="CCEEFF" w:val="clear"/>
            <w:vAlign w:val="bottom"/>
          </w:tcPr>
          <w:p>
            <w:pPr>
              <w:pStyle w:val="TableContents"/>
              <w:bidi w:val="0"/>
              <w:spacing w:before="0" w:after="283"/>
              <w:jc w:val="left"/>
              <w:rPr/>
            </w:pPr>
            <w:r>
              <w:rPr/>
              <w:t> </w:t>
            </w:r>
          </w:p>
        </w:tc>
        <w:tc>
          <w:tcPr>
            <w:tcW w:w="305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Collateral discounts and selling costs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20%-100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35" w:type="dxa"/>
            <w:tcBorders/>
            <w:vAlign w:val="bottom"/>
          </w:tcPr>
          <w:p>
            <w:pPr>
              <w:pStyle w:val="TableContents"/>
              <w:bidi w:val="0"/>
              <w:spacing w:before="0" w:after="283"/>
              <w:jc w:val="left"/>
              <w:rPr/>
            </w:pPr>
            <w:r>
              <w:rPr/>
              <w:t>Recurring:</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Mortgage servicing rights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26,658</w:t>
            </w:r>
          </w:p>
        </w:tc>
        <w:tc>
          <w:tcPr>
            <w:tcW w:w="60" w:type="dxa"/>
            <w:tcBorders/>
            <w:shd w:fill="CCEEFF" w:val="clear"/>
            <w:vAlign w:val="bottom"/>
          </w:tcPr>
          <w:p>
            <w:pPr>
              <w:pStyle w:val="TableContents"/>
              <w:bidi w:val="0"/>
              <w:spacing w:before="0" w:after="283"/>
              <w:jc w:val="left"/>
              <w:rPr/>
            </w:pPr>
            <w:r>
              <w:rPr/>
              <w:t> </w:t>
            </w:r>
          </w:p>
        </w:tc>
        <w:tc>
          <w:tcPr>
            <w:tcW w:w="297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Discounted cash flows</w:t>
            </w:r>
          </w:p>
        </w:tc>
        <w:tc>
          <w:tcPr>
            <w:tcW w:w="60" w:type="dxa"/>
            <w:tcBorders/>
            <w:shd w:fill="CCEEFF" w:val="clear"/>
            <w:vAlign w:val="bottom"/>
          </w:tcPr>
          <w:p>
            <w:pPr>
              <w:pStyle w:val="TableContents"/>
              <w:bidi w:val="0"/>
              <w:spacing w:before="0" w:after="283"/>
              <w:jc w:val="left"/>
              <w:rPr/>
            </w:pPr>
            <w:r>
              <w:rPr/>
              <w:t> </w:t>
            </w:r>
          </w:p>
        </w:tc>
        <w:tc>
          <w:tcPr>
            <w:tcW w:w="305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Conditional prepayment rate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7.29</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9.65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0"/>
              <w:ind w:left="144"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283"/>
              <w:jc w:val="left"/>
              <w:rPr/>
            </w:pPr>
            <w:r>
              <w:rPr/>
              <w:t>Non-recurring:</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Loans held for investment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4,821</w:t>
            </w:r>
          </w:p>
        </w:tc>
        <w:tc>
          <w:tcPr>
            <w:tcW w:w="60" w:type="dxa"/>
            <w:tcBorders/>
            <w:vAlign w:val="bottom"/>
          </w:tcPr>
          <w:p>
            <w:pPr>
              <w:pStyle w:val="TableContents"/>
              <w:bidi w:val="0"/>
              <w:spacing w:before="0" w:after="283"/>
              <w:jc w:val="left"/>
              <w:rPr/>
            </w:pPr>
            <w:r>
              <w:rPr/>
              <w:t> </w:t>
            </w:r>
          </w:p>
        </w:tc>
        <w:tc>
          <w:tcPr>
            <w:tcW w:w="297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Third party appraisals or inspections</w:t>
            </w:r>
          </w:p>
        </w:tc>
        <w:tc>
          <w:tcPr>
            <w:tcW w:w="60" w:type="dxa"/>
            <w:tcBorders/>
            <w:vAlign w:val="bottom"/>
          </w:tcPr>
          <w:p>
            <w:pPr>
              <w:pStyle w:val="TableContents"/>
              <w:bidi w:val="0"/>
              <w:spacing w:before="0" w:after="283"/>
              <w:jc w:val="left"/>
              <w:rPr/>
            </w:pPr>
            <w:r>
              <w:rPr/>
              <w:t> </w:t>
            </w:r>
          </w:p>
        </w:tc>
        <w:tc>
          <w:tcPr>
            <w:tcW w:w="305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Collateral discounts and selling costs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20%-100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35" w:type="dxa"/>
            <w:tcBorders/>
            <w:shd w:fill="CCEEFF" w:val="clear"/>
            <w:vAlign w:val="bottom"/>
          </w:tcPr>
          <w:p>
            <w:pPr>
              <w:pStyle w:val="TableContents"/>
              <w:bidi w:val="0"/>
              <w:spacing w:before="0" w:after="283"/>
              <w:jc w:val="left"/>
              <w:rPr/>
            </w:pPr>
            <w:r>
              <w:rPr/>
              <w:t>Recurring:</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r>
      <w:tr>
        <w:trPr/>
        <w:tc>
          <w:tcPr>
            <w:tcW w:w="213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Mortgage servicing rights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27,474</w:t>
            </w:r>
          </w:p>
        </w:tc>
        <w:tc>
          <w:tcPr>
            <w:tcW w:w="60" w:type="dxa"/>
            <w:tcBorders/>
            <w:vAlign w:val="bottom"/>
          </w:tcPr>
          <w:p>
            <w:pPr>
              <w:pStyle w:val="TableContents"/>
              <w:bidi w:val="0"/>
              <w:spacing w:before="0" w:after="283"/>
              <w:jc w:val="left"/>
              <w:rPr/>
            </w:pPr>
            <w:r>
              <w:rPr/>
              <w:t> </w:t>
            </w:r>
          </w:p>
        </w:tc>
        <w:tc>
          <w:tcPr>
            <w:tcW w:w="297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Discounted cash flows</w:t>
            </w:r>
          </w:p>
        </w:tc>
        <w:tc>
          <w:tcPr>
            <w:tcW w:w="60" w:type="dxa"/>
            <w:tcBorders/>
            <w:vAlign w:val="bottom"/>
          </w:tcPr>
          <w:p>
            <w:pPr>
              <w:pStyle w:val="TableContents"/>
              <w:bidi w:val="0"/>
              <w:spacing w:before="0" w:after="283"/>
              <w:jc w:val="left"/>
              <w:rPr/>
            </w:pPr>
            <w:r>
              <w:rPr/>
              <w:t> </w:t>
            </w:r>
          </w:p>
        </w:tc>
        <w:tc>
          <w:tcPr>
            <w:tcW w:w="305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Conditional prepayment rate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7.47</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5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Discount rate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estimated fair values, and related carrying amounts, of the Company’s financial instruments that are not previously disclosed in the recurring fair value section are as follows (dollars in thousands):</w:t>
      </w:r>
    </w:p>
    <w:p>
      <w:pPr>
        <w:pStyle w:val="TextBody"/>
        <w:bidi w:val="0"/>
        <w:spacing w:before="0" w:after="0"/>
        <w:jc w:val="left"/>
        <w:rPr/>
      </w:pPr>
      <w:r>
        <w:rPr/>
      </w:r>
    </w:p>
    <w:tbl>
      <w:tblPr>
        <w:tblW w:w="9400" w:type="dxa"/>
        <w:jc w:val="left"/>
        <w:tblInd w:w="0" w:type="dxa"/>
        <w:tblLayout w:type="fixed"/>
        <w:tblCellMar>
          <w:top w:w="0" w:type="dxa"/>
          <w:left w:w="0" w:type="dxa"/>
          <w:bottom w:w="0" w:type="dxa"/>
          <w:right w:w="0" w:type="dxa"/>
        </w:tblCellMar>
      </w:tblPr>
      <w:tblGrid>
        <w:gridCol w:w="4085"/>
        <w:gridCol w:w="60"/>
        <w:gridCol w:w="125"/>
        <w:gridCol w:w="845"/>
        <w:gridCol w:w="60"/>
        <w:gridCol w:w="60"/>
        <w:gridCol w:w="125"/>
        <w:gridCol w:w="695"/>
        <w:gridCol w:w="60"/>
        <w:gridCol w:w="60"/>
        <w:gridCol w:w="125"/>
        <w:gridCol w:w="845"/>
        <w:gridCol w:w="60"/>
        <w:gridCol w:w="60"/>
        <w:gridCol w:w="125"/>
        <w:gridCol w:w="845"/>
        <w:gridCol w:w="60"/>
        <w:gridCol w:w="60"/>
        <w:gridCol w:w="125"/>
        <w:gridCol w:w="845"/>
        <w:gridCol w:w="75"/>
      </w:tblGrid>
      <w:tr>
        <w:trPr/>
        <w:tc>
          <w:tcPr>
            <w:tcW w:w="4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w:t>
            </w:r>
          </w:p>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75"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June 30, 2023</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Financial assets: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295,581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295,581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295,581</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Loans held for investment,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2,935,926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2,868,428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2,868,428</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360" w:right="0" w:hanging="180"/>
              <w:jc w:val="left"/>
              <w:rPr/>
            </w:pPr>
            <w:r>
              <w:rPr/>
              <w:t>Loans held for sale (best efforts)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6,642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6,770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6,770</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Accrued interest receivable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15,917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15,917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15,917</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Financial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Deposits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3,574,522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3,573,886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3,573,886</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Accrued interest payable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3,657</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Junior subordinated deferrable interest debentures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33,042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33,042</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Subordinated debt securities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76,054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66,910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66,910</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9400" w:type="dxa"/>
        <w:jc w:val="left"/>
        <w:tblInd w:w="0" w:type="dxa"/>
        <w:tblLayout w:type="fixed"/>
        <w:tblCellMar>
          <w:top w:w="0" w:type="dxa"/>
          <w:left w:w="0" w:type="dxa"/>
          <w:bottom w:w="0" w:type="dxa"/>
          <w:right w:w="0" w:type="dxa"/>
        </w:tblCellMar>
      </w:tblPr>
      <w:tblGrid>
        <w:gridCol w:w="4085"/>
        <w:gridCol w:w="60"/>
        <w:gridCol w:w="125"/>
        <w:gridCol w:w="845"/>
        <w:gridCol w:w="60"/>
        <w:gridCol w:w="60"/>
        <w:gridCol w:w="125"/>
        <w:gridCol w:w="695"/>
        <w:gridCol w:w="60"/>
        <w:gridCol w:w="60"/>
        <w:gridCol w:w="125"/>
        <w:gridCol w:w="845"/>
        <w:gridCol w:w="60"/>
        <w:gridCol w:w="60"/>
        <w:gridCol w:w="125"/>
        <w:gridCol w:w="845"/>
        <w:gridCol w:w="60"/>
        <w:gridCol w:w="60"/>
        <w:gridCol w:w="125"/>
        <w:gridCol w:w="845"/>
        <w:gridCol w:w="75"/>
      </w:tblGrid>
      <w:tr>
        <w:trPr/>
        <w:tc>
          <w:tcPr>
            <w:tcW w:w="4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w:t>
            </w:r>
          </w:p>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75"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Financial assets: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234,883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234,883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234,883</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Loans held for investment,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2,708,793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2,662,609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2,662,609</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360" w:right="0" w:hanging="180"/>
              <w:jc w:val="left"/>
              <w:rPr/>
            </w:pPr>
            <w:r>
              <w:rPr/>
              <w:t>Loans held for sale (best efforts)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20,365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20,745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20,745</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Accrued interest receivable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16,432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16,432</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Financial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Deposits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3,406,430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3,405,222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3,405,222</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Accrued interest payable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2,836</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Junior subordinated deferrable interest debentures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46,393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34,606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34,606</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Subordinated debt securities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75,961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70,835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70,835</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14.  SUBSEQUENT EVENTS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Dividend Declaration</w:t>
      </w:r>
    </w:p>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July 20, 2023, the Company’s board of directors declared a cash dividend of $0.13 per share of common stock to be paid on August 14, 2023 to all shareholders of record as of July 31, 2023.</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Normal"/>
        <w:bidi w:val="0"/>
        <w:spacing w:before="0" w:after="0"/>
        <w:jc w:val="left"/>
        <w:rPr>
          <w:sz w:val="4"/>
          <w:szCs w:val="4"/>
        </w:rPr>
      </w:pPr>
      <w:r>
        <w:rPr>
          <w:sz w:val="4"/>
          <w:szCs w:val="4"/>
        </w:rPr>
      </w:r>
      <w:bookmarkStart w:id="9" w:name="ManagementsDiscussionandA"/>
      <w:bookmarkStart w:id="10" w:name="ManagementsDiscussionandA"/>
      <w:bookmarkEnd w:id="10"/>
    </w:p>
    <w:tbl>
      <w:tblPr>
        <w:tblW w:w="9790" w:type="dxa"/>
        <w:jc w:val="left"/>
        <w:tblInd w:w="0" w:type="dxa"/>
        <w:tblLayout w:type="fixed"/>
        <w:tblCellMar>
          <w:top w:w="0" w:type="dxa"/>
          <w:left w:w="0" w:type="dxa"/>
          <w:bottom w:w="0" w:type="dxa"/>
          <w:right w:w="0" w:type="dxa"/>
        </w:tblCellMar>
      </w:tblPr>
      <w:tblGrid>
        <w:gridCol w:w="740"/>
        <w:gridCol w:w="9050"/>
      </w:tblGrid>
      <w:tr>
        <w:trPr/>
        <w:tc>
          <w:tcPr>
            <w:tcW w:w="740" w:type="dxa"/>
            <w:tcBorders/>
            <w:vAlign w:val="center"/>
          </w:tcPr>
          <w:p>
            <w:pPr>
              <w:pStyle w:val="TableContents"/>
              <w:bidi w:val="0"/>
              <w:spacing w:before="0" w:after="283"/>
              <w:jc w:val="left"/>
              <w:rPr>
                <w:b/>
                <w:color w:val="000000"/>
              </w:rPr>
            </w:pPr>
            <w:r>
              <w:rPr>
                <w:b/>
                <w:color w:val="000000"/>
              </w:rPr>
              <w:t>Item 2.</w:t>
            </w:r>
          </w:p>
        </w:tc>
        <w:tc>
          <w:tcPr>
            <w:tcW w:w="9050" w:type="dxa"/>
            <w:tcBorders/>
            <w:vAlign w:val="center"/>
          </w:tcPr>
          <w:p>
            <w:pPr>
              <w:pStyle w:val="TableContents"/>
              <w:bidi w:val="0"/>
              <w:spacing w:before="0" w:after="0"/>
              <w:jc w:val="left"/>
              <w:rPr>
                <w:b/>
                <w:color w:val="000000"/>
              </w:rPr>
            </w:pPr>
            <w:r>
              <w:rPr>
                <w:b/>
                <w:color w:val="000000"/>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The following discussion and analysis is intended to assist readers in understanding our financial condition as of and results of operations for the period covered by this Quarterly Report on Form 10-Q (this “Form 10-Q”) and should be read in conjunction with our consolidated financial statements and the accompanying notes thereto included in this Form 10-Q and in our Annual Report on Form 10-K for the year ended December 31, 2022 (the “2022 Annual Report on Form 10-K”) filed with the Securities and Exchange Commission (the “SEC”) pursuant to Rule 424(b) of the Securities Act of 1933, as amended (the “Securities Act”), on March 13, 2023.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r>
        <w:rPr>
          <w:rFonts w:ascii="Times New Roman" w:hAnsi="Times New Roman"/>
          <w:b/>
          <w:color w:val="000000"/>
          <w:sz w:val="20"/>
        </w:rPr>
        <w:t>autionary Notice Regarding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There are or will be important factors that could cause our actual results to differ materially from those indicated in these forward-looking statements, including, but not limited to, the following:</w:t>
      </w:r>
    </w:p>
    <w:p>
      <w:pPr>
        <w:pStyle w:val="TextBody"/>
        <w:bidi w:val="0"/>
        <w:spacing w:before="0" w:after="0"/>
        <w:jc w:val="left"/>
        <w:rPr/>
      </w:pPr>
      <w:r>
        <w:rPr/>
      </w:r>
    </w:p>
    <w:tbl>
      <w:tblPr>
        <w:tblW w:w="5973" w:type="dxa"/>
        <w:jc w:val="left"/>
        <w:tblInd w:w="0" w:type="dxa"/>
        <w:tblLayout w:type="fixed"/>
        <w:tblCellMar>
          <w:top w:w="0" w:type="dxa"/>
          <w:left w:w="0" w:type="dxa"/>
          <w:bottom w:w="0" w:type="dxa"/>
          <w:right w:w="0" w:type="dxa"/>
        </w:tblCellMar>
      </w:tblPr>
      <w:tblGrid>
        <w:gridCol w:w="38"/>
        <w:gridCol w:w="170"/>
        <w:gridCol w:w="576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5765" w:type="dxa"/>
            <w:tcBorders/>
            <w:vAlign w:val="center"/>
          </w:tcPr>
          <w:p>
            <w:pPr>
              <w:pStyle w:val="TableContents"/>
              <w:bidi w:val="0"/>
              <w:spacing w:before="0" w:after="0"/>
              <w:jc w:val="both"/>
              <w:rPr>
                <w:color w:val="000000"/>
              </w:rPr>
            </w:pPr>
            <w:r>
              <w:rPr>
                <w:color w:val="000000"/>
              </w:rPr>
              <w:t>potential recession in the United States and our market areas;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the impacts related to or resulting from recent bank failures and any continuation of the recent uncertainty in the banking industry, including the associated impact to the Company and other financial institutions of any regulatory changes or other mitigation efforts taken by government agencies in response thereto;</w:t>
            </w:r>
          </w:p>
        </w:tc>
      </w:tr>
    </w:tbl>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8000" w:type="dxa"/>
            <w:tcBorders/>
            <w:vAlign w:val="center"/>
          </w:tcPr>
          <w:p>
            <w:pPr>
              <w:pStyle w:val="TableContents"/>
              <w:bidi w:val="0"/>
              <w:spacing w:before="0" w:after="0"/>
              <w:jc w:val="both"/>
              <w:rPr>
                <w:color w:val="000000"/>
              </w:rPr>
            </w:pPr>
            <w:r>
              <w:rPr>
                <w:color w:val="000000"/>
              </w:rPr>
              <w:t>increased competition for deposits and related changes in deposit customer behavior;</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the persistence of the current inflationary environment in the United States and our market areas, and its impact on market interest rates, the economy and credit quality;</w:t>
            </w:r>
          </w:p>
        </w:tc>
      </w:tr>
    </w:tbl>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4490" w:type="dxa"/>
            <w:tcBorders/>
            <w:vAlign w:val="center"/>
          </w:tcPr>
          <w:p>
            <w:pPr>
              <w:pStyle w:val="TableContents"/>
              <w:bidi w:val="0"/>
              <w:spacing w:before="0" w:after="0"/>
              <w:jc w:val="both"/>
              <w:rPr>
                <w:color w:val="000000"/>
              </w:rPr>
            </w:pPr>
            <w:r>
              <w:rPr>
                <w:color w:val="000000"/>
              </w:rPr>
              <w:t>the adequacy of the allowance for credit losses;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our ability to effectively execute our expansion strategy and manage our growth, including identifying and consummating suitable acquisitions;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business and economic conditions, particularly those affecting our market areas, as well as the concentration of our business in such market areas;</w:t>
            </w:r>
          </w:p>
        </w:tc>
      </w:tr>
    </w:tbl>
    <w:tbl>
      <w:tblPr>
        <w:tblW w:w="7623" w:type="dxa"/>
        <w:jc w:val="left"/>
        <w:tblInd w:w="0" w:type="dxa"/>
        <w:tblLayout w:type="fixed"/>
        <w:tblCellMar>
          <w:top w:w="0" w:type="dxa"/>
          <w:left w:w="0" w:type="dxa"/>
          <w:bottom w:w="0" w:type="dxa"/>
          <w:right w:w="0" w:type="dxa"/>
        </w:tblCellMar>
      </w:tblPr>
      <w:tblGrid>
        <w:gridCol w:w="38"/>
        <w:gridCol w:w="170"/>
        <w:gridCol w:w="741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415" w:type="dxa"/>
            <w:tcBorders/>
            <w:vAlign w:val="center"/>
          </w:tcPr>
          <w:p>
            <w:pPr>
              <w:pStyle w:val="TableContents"/>
              <w:bidi w:val="0"/>
              <w:spacing w:before="0" w:after="0"/>
              <w:jc w:val="both"/>
              <w:rPr>
                <w:color w:val="000000"/>
              </w:rPr>
            </w:pPr>
            <w:r>
              <w:rPr>
                <w:color w:val="000000"/>
              </w:rPr>
              <w:t>high concentrations of loans secured by real estate located in our market areas;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risks associated with our commercial loan portfolio, including the risk of declines in commercial real estate prices or deterioration in value of the general business assets that secure such loans;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potential changes in the prices, values and sales volumes of commercial and residential real estate securing our real estate loans;</w:t>
            </w:r>
          </w:p>
        </w:tc>
      </w:tr>
    </w:tbl>
    <w:tbl>
      <w:tblPr>
        <w:tblW w:w="7293" w:type="dxa"/>
        <w:jc w:val="left"/>
        <w:tblInd w:w="0" w:type="dxa"/>
        <w:tblLayout w:type="fixed"/>
        <w:tblCellMar>
          <w:top w:w="0" w:type="dxa"/>
          <w:left w:w="0" w:type="dxa"/>
          <w:bottom w:w="0" w:type="dxa"/>
          <w:right w:w="0" w:type="dxa"/>
        </w:tblCellMar>
      </w:tblPr>
      <w:tblGrid>
        <w:gridCol w:w="38"/>
        <w:gridCol w:w="170"/>
        <w:gridCol w:w="70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085" w:type="dxa"/>
            <w:tcBorders/>
            <w:vAlign w:val="center"/>
          </w:tcPr>
          <w:p>
            <w:pPr>
              <w:pStyle w:val="TableContents"/>
              <w:bidi w:val="0"/>
              <w:spacing w:before="0" w:after="0"/>
              <w:jc w:val="both"/>
              <w:rPr>
                <w:color w:val="000000"/>
              </w:rPr>
            </w:pPr>
            <w:r>
              <w:rPr>
                <w:color w:val="000000"/>
              </w:rPr>
              <w:t>increases in unemployment rates in the United States and our market areas;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risks associated with our agricultural loan portfolio, including the heightened sensitivity to weather conditions, commodity prices, and other factors generally outside the borrowers and our control;</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risks associated with the sale of our insurance subsidiary, Windmark Insurance Agency, Inc. d/b/a Windmark Corp Division (“Windmark”) to Alliant Insurance Services, Inc., a California corporation (“Alliant”) and certain post-closing obligations related to such sale;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risks related to the significant amount of credit that we have extended to a limited number of borrowers and in a limited geographic area;</w:t>
            </w:r>
          </w:p>
        </w:tc>
      </w:tr>
    </w:tbl>
    <w:tbl>
      <w:tblPr>
        <w:tblW w:w="7518" w:type="dxa"/>
        <w:jc w:val="left"/>
        <w:tblInd w:w="0" w:type="dxa"/>
        <w:tblLayout w:type="fixed"/>
        <w:tblCellMar>
          <w:top w:w="0" w:type="dxa"/>
          <w:left w:w="0" w:type="dxa"/>
          <w:bottom w:w="0" w:type="dxa"/>
          <w:right w:w="0" w:type="dxa"/>
        </w:tblCellMar>
      </w:tblPr>
      <w:tblGrid>
        <w:gridCol w:w="38"/>
        <w:gridCol w:w="170"/>
        <w:gridCol w:w="731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310" w:type="dxa"/>
            <w:tcBorders/>
            <w:vAlign w:val="center"/>
          </w:tcPr>
          <w:p>
            <w:pPr>
              <w:pStyle w:val="TableContents"/>
              <w:bidi w:val="0"/>
              <w:spacing w:before="0" w:after="0"/>
              <w:jc w:val="both"/>
              <w:rPr>
                <w:color w:val="000000"/>
              </w:rPr>
            </w:pPr>
            <w:r>
              <w:rPr>
                <w:color w:val="000000"/>
              </w:rPr>
              <w:t>public funds deposits comprising a relatively high percentage of our deposits;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potential impairment on the goodwill we have recorded or may record in connection with business acquisitions;</w:t>
            </w:r>
          </w:p>
        </w:tc>
      </w:tr>
    </w:tbl>
    <w:tbl>
      <w:tblPr>
        <w:tblW w:w="3753" w:type="dxa"/>
        <w:jc w:val="left"/>
        <w:tblInd w:w="0" w:type="dxa"/>
        <w:tblLayout w:type="fixed"/>
        <w:tblCellMar>
          <w:top w:w="0" w:type="dxa"/>
          <w:left w:w="0" w:type="dxa"/>
          <w:bottom w:w="0" w:type="dxa"/>
          <w:right w:w="0" w:type="dxa"/>
        </w:tblCellMar>
      </w:tblPr>
      <w:tblGrid>
        <w:gridCol w:w="38"/>
        <w:gridCol w:w="170"/>
        <w:gridCol w:w="354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3545" w:type="dxa"/>
            <w:tcBorders/>
            <w:vAlign w:val="center"/>
          </w:tcPr>
          <w:p>
            <w:pPr>
              <w:pStyle w:val="TableContents"/>
              <w:bidi w:val="0"/>
              <w:spacing w:before="0" w:after="0"/>
              <w:jc w:val="both"/>
              <w:rPr>
                <w:color w:val="000000"/>
              </w:rPr>
            </w:pPr>
            <w:r>
              <w:rPr>
                <w:color w:val="000000"/>
              </w:rPr>
              <w:t>our ability to maintain our reputation;</w:t>
            </w:r>
          </w:p>
        </w:tc>
      </w:tr>
    </w:tbl>
    <w:tbl>
      <w:tblPr>
        <w:tblW w:w="9888" w:type="dxa"/>
        <w:jc w:val="left"/>
        <w:tblInd w:w="0" w:type="dxa"/>
        <w:tblLayout w:type="fixed"/>
        <w:tblCellMar>
          <w:top w:w="0" w:type="dxa"/>
          <w:left w:w="0" w:type="dxa"/>
          <w:bottom w:w="0" w:type="dxa"/>
          <w:right w:w="0" w:type="dxa"/>
        </w:tblCellMar>
      </w:tblPr>
      <w:tblGrid>
        <w:gridCol w:w="38"/>
        <w:gridCol w:w="170"/>
        <w:gridCol w:w="968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680" w:type="dxa"/>
            <w:tcBorders/>
            <w:vAlign w:val="center"/>
          </w:tcPr>
          <w:p>
            <w:pPr>
              <w:pStyle w:val="TableContents"/>
              <w:bidi w:val="0"/>
              <w:spacing w:before="0" w:after="0"/>
              <w:jc w:val="both"/>
              <w:rPr>
                <w:color w:val="000000"/>
              </w:rPr>
            </w:pPr>
            <w:r>
              <w:rPr>
                <w:color w:val="000000"/>
              </w:rPr>
              <w:t>our ability to successfully manage our credit risk and the sufficiency of our allowance for credit losses;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515" w:type="dxa"/>
            <w:tcBorders/>
            <w:vAlign w:val="center"/>
          </w:tcPr>
          <w:p>
            <w:pPr>
              <w:pStyle w:val="TableContents"/>
              <w:bidi w:val="0"/>
              <w:spacing w:before="0" w:after="0"/>
              <w:jc w:val="both"/>
              <w:rPr>
                <w:color w:val="000000"/>
              </w:rPr>
            </w:pPr>
            <w:r>
              <w:rPr>
                <w:color w:val="000000"/>
              </w:rPr>
              <w:t>our ability to attract, hire and retain qualified management personnel;</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our dependence on our management team, including our ability to retain executive officers and key employees and their customer and community relationships;</w:t>
            </w:r>
          </w:p>
        </w:tc>
      </w:tr>
    </w:tbl>
    <w:tbl>
      <w:tblPr>
        <w:tblW w:w="7818" w:type="dxa"/>
        <w:jc w:val="left"/>
        <w:tblInd w:w="0" w:type="dxa"/>
        <w:tblLayout w:type="fixed"/>
        <w:tblCellMar>
          <w:top w:w="0" w:type="dxa"/>
          <w:left w:w="0" w:type="dxa"/>
          <w:bottom w:w="0" w:type="dxa"/>
          <w:right w:w="0" w:type="dxa"/>
        </w:tblCellMar>
      </w:tblPr>
      <w:tblGrid>
        <w:gridCol w:w="38"/>
        <w:gridCol w:w="170"/>
        <w:gridCol w:w="761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610" w:type="dxa"/>
            <w:tcBorders/>
            <w:vAlign w:val="center"/>
          </w:tcPr>
          <w:p>
            <w:pPr>
              <w:pStyle w:val="TableContents"/>
              <w:bidi w:val="0"/>
              <w:spacing w:before="0" w:after="0"/>
              <w:jc w:val="both"/>
              <w:rPr>
                <w:color w:val="000000"/>
              </w:rPr>
            </w:pPr>
            <w:r>
              <w:rPr>
                <w:color w:val="000000"/>
              </w:rPr>
              <w:t>interest rate fluctuations, which could have an adverse effect on our profitability;</w:t>
            </w:r>
          </w:p>
        </w:tc>
      </w:tr>
    </w:tbl>
    <w:tbl>
      <w:tblPr>
        <w:tblW w:w="7443" w:type="dxa"/>
        <w:jc w:val="left"/>
        <w:tblInd w:w="0" w:type="dxa"/>
        <w:tblLayout w:type="fixed"/>
        <w:tblCellMar>
          <w:top w:w="0" w:type="dxa"/>
          <w:left w:w="0" w:type="dxa"/>
          <w:bottom w:w="0" w:type="dxa"/>
          <w:right w:w="0" w:type="dxa"/>
        </w:tblCellMar>
      </w:tblPr>
      <w:tblGrid>
        <w:gridCol w:w="38"/>
        <w:gridCol w:w="170"/>
        <w:gridCol w:w="723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7235" w:type="dxa"/>
            <w:tcBorders/>
            <w:vAlign w:val="center"/>
          </w:tcPr>
          <w:p>
            <w:pPr>
              <w:pStyle w:val="TableContents"/>
              <w:bidi w:val="0"/>
              <w:spacing w:before="0" w:after="0"/>
              <w:jc w:val="both"/>
              <w:rPr>
                <w:color w:val="000000"/>
              </w:rPr>
            </w:pPr>
            <w:r>
              <w:rPr>
                <w:color w:val="000000"/>
              </w:rPr>
              <w:t>competition from banks, credit unions and other financial services providers;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our ability to keep pace with technological change or difficulties we may experience when implementing new technologies;</w:t>
            </w:r>
          </w:p>
        </w:tc>
      </w:tr>
    </w:tbl>
    <w:tbl>
      <w:tblPr>
        <w:tblW w:w="9468" w:type="dxa"/>
        <w:jc w:val="left"/>
        <w:tblInd w:w="0" w:type="dxa"/>
        <w:tblLayout w:type="fixed"/>
        <w:tblCellMar>
          <w:top w:w="0" w:type="dxa"/>
          <w:left w:w="0" w:type="dxa"/>
          <w:bottom w:w="0" w:type="dxa"/>
          <w:right w:w="0" w:type="dxa"/>
        </w:tblCellMar>
      </w:tblPr>
      <w:tblGrid>
        <w:gridCol w:w="38"/>
        <w:gridCol w:w="170"/>
        <w:gridCol w:w="926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260" w:type="dxa"/>
            <w:tcBorders/>
            <w:vAlign w:val="center"/>
          </w:tcPr>
          <w:p>
            <w:pPr>
              <w:pStyle w:val="TableContents"/>
              <w:bidi w:val="0"/>
              <w:spacing w:before="0" w:after="0"/>
              <w:jc w:val="both"/>
              <w:rPr>
                <w:color w:val="000000"/>
              </w:rPr>
            </w:pPr>
            <w:r>
              <w:rPr>
                <w:color w:val="000000"/>
              </w:rPr>
              <w:t>risks related to system failures, service denials, cyber-attacks, security breaches and data breaches;</w:t>
            </w:r>
          </w:p>
        </w:tc>
      </w:tr>
    </w:tbl>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785" w:type="dxa"/>
            <w:tcBorders/>
            <w:vAlign w:val="center"/>
          </w:tcPr>
          <w:p>
            <w:pPr>
              <w:pStyle w:val="TableContents"/>
              <w:bidi w:val="0"/>
              <w:spacing w:before="0" w:after="0"/>
              <w:jc w:val="both"/>
              <w:rPr>
                <w:color w:val="000000"/>
              </w:rPr>
            </w:pPr>
            <w:r>
              <w:rPr>
                <w:color w:val="000000"/>
              </w:rPr>
              <w:t>our ability to maintain effective internal control over financial reporting;</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employee error, fraudulent activity by employees or customers and inaccurate or incomplete information about our customers and counterparties;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increased capital requirements imposed by banking regulators, which may require us to raise capital at a time when capital is not available on favorable terms or at all;</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our ability to maintain adequate liquidity and to raise necessary capital to fund our acquisition strategy and operations or to meet increased minimum regulatory capital levels;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costs and effects of litigation, investigations or similar matters to which we may be subject, including any effect on our reputation;</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natural disasters, severe weather, acts of god, acts of war or terrorism, outbreaks of hostilities, public health outbreaks (such as the COVID-19 pandemic or any future pandemic), other international or domestic calamities, and other external events or matters beyond our control;</w:t>
            </w:r>
          </w:p>
        </w:tc>
      </w:tr>
    </w:tbl>
    <w:tbl>
      <w:tblPr>
        <w:tblW w:w="6498" w:type="dxa"/>
        <w:jc w:val="left"/>
        <w:tblInd w:w="0" w:type="dxa"/>
        <w:tblLayout w:type="fixed"/>
        <w:tblCellMar>
          <w:top w:w="0" w:type="dxa"/>
          <w:left w:w="0" w:type="dxa"/>
          <w:bottom w:w="0" w:type="dxa"/>
          <w:right w:w="0" w:type="dxa"/>
        </w:tblCellMar>
      </w:tblPr>
      <w:tblGrid>
        <w:gridCol w:w="38"/>
        <w:gridCol w:w="170"/>
        <w:gridCol w:w="629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6290" w:type="dxa"/>
            <w:tcBorders/>
            <w:vAlign w:val="center"/>
          </w:tcPr>
          <w:p>
            <w:pPr>
              <w:pStyle w:val="TableContents"/>
              <w:bidi w:val="0"/>
              <w:spacing w:before="0" w:after="0"/>
              <w:jc w:val="both"/>
              <w:rPr>
                <w:color w:val="000000"/>
              </w:rPr>
            </w:pPr>
            <w:r>
              <w:rPr>
                <w:color w:val="000000"/>
              </w:rPr>
              <w:t>uncertainty regarding United States fiscal debt and budget matters;</w:t>
            </w:r>
          </w:p>
        </w:tc>
      </w:tr>
    </w:tbl>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2330" w:type="dxa"/>
            <w:tcBorders/>
            <w:vAlign w:val="center"/>
          </w:tcPr>
          <w:p>
            <w:pPr>
              <w:pStyle w:val="TableContents"/>
              <w:bidi w:val="0"/>
              <w:spacing w:before="0" w:after="0"/>
              <w:jc w:val="both"/>
              <w:rPr>
                <w:color w:val="000000"/>
              </w:rPr>
            </w:pPr>
            <w:r>
              <w:rPr>
                <w:color w:val="000000"/>
              </w:rPr>
              <w:t>tariffs and trade barriers;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compliance with governmental and regulatory requirements, including the Dodd-Frank Act Wall Street Reform and Consumer Protection Act, the Economic Growth, Regulatory Relief, and Consumer Protection Act (“EGRRCPA”), and others relating to banking, consumer protection, securities and tax matters;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olor w:val="000000"/>
              </w:rPr>
            </w:pPr>
            <w:r>
              <w:rPr>
                <w:color w:val="000000"/>
              </w:rPr>
              <w:t>●</w:t>
            </w:r>
          </w:p>
        </w:tc>
        <w:tc>
          <w:tcPr>
            <w:tcW w:w="9997" w:type="dxa"/>
            <w:tcBorders/>
            <w:vAlign w:val="center"/>
          </w:tcPr>
          <w:p>
            <w:pPr>
              <w:pStyle w:val="TableContents"/>
              <w:bidi w:val="0"/>
              <w:spacing w:before="0" w:after="0"/>
              <w:jc w:val="both"/>
              <w:rPr>
                <w:color w:val="000000"/>
              </w:rPr>
            </w:pPr>
            <w:r>
              <w:rPr>
                <w:color w:val="000000"/>
              </w:rPr>
              <w:t>changes in the laws, rules, regulations, interpretations or policies relating to financial institutions, accounting, tax, trade, current and future governmental monetary and fiscal policies, including the uncertain impacts of ongoing quantitative tightening and current and future policies of the Board of Governors of the Federal Reserve System (“Federal Reserve”) and as a result of initiatives of the Biden administration.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foregoing factors should not be construed as exhaustive and should be read together with the other cautionary statements included in this Form 10-Q and the risk factors set forth in our 2022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maintains an Internet web site at </w:t>
      </w:r>
      <w:r>
        <w:rPr>
          <w:rFonts w:ascii="Times New Roman" w:hAnsi="Times New Roman"/>
          <w:i/>
          <w:color w:val="000000"/>
          <w:sz w:val="20"/>
          <w:u w:val="single"/>
        </w:rPr>
        <w:t>www.spfi.bank</w:t>
      </w:r>
      <w:r>
        <w:rPr>
          <w:rFonts w:ascii="Times New Roman" w:hAnsi="Times New Roman"/>
          <w:color w:val="000000"/>
          <w:sz w:val="20"/>
        </w:rPr>
        <w:t xml:space="preserve">. The Company makes available, free of charge, on its web site (under </w:t>
      </w:r>
      <w:r>
        <w:rPr>
          <w:rFonts w:ascii="Times New Roman" w:hAnsi="Times New Roman"/>
          <w:i/>
          <w:color w:val="000000"/>
          <w:sz w:val="20"/>
          <w:u w:val="single"/>
        </w:rPr>
        <w:t>www.spfi.bank/financials-filings/sec-filings</w:t>
      </w:r>
      <w:r>
        <w:rPr>
          <w:rFonts w:ascii="Times New Roman" w:hAnsi="Times New Roman"/>
          <w:color w:val="000000"/>
          <w:sz w:val="20"/>
        </w:rPr>
        <w:t xml:space="preserve"> ) the Company’s annual reports on Form 10-K,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Times New Roman" w:hAnsi="Times New Roman"/>
          <w:i/>
          <w:color w:val="000000"/>
          <w:sz w:val="20"/>
          <w:u w:val="single"/>
        </w:rPr>
        <w:t>www.spfi.bank/corporate-governance/documents-charters</w:t>
      </w:r>
      <w:r>
        <w:rPr>
          <w:rFonts w:ascii="Times New Roman" w:hAnsi="Times New Roman"/>
          <w:color w:val="000000"/>
          <w:sz w:val="20"/>
        </w:rPr>
        <w:t xml:space="preserve"> ) links to the Company’s Code of Conduct and the charters for its board committees. In addition, the SEC maintains an Internet site (at </w:t>
      </w:r>
      <w:r>
        <w:rPr>
          <w:rFonts w:ascii="Times New Roman" w:hAnsi="Times New Roman"/>
          <w:i/>
          <w:color w:val="000000"/>
          <w:sz w:val="20"/>
          <w:u w:val="single"/>
        </w:rPr>
        <w:t>www.sec.gov</w:t>
      </w:r>
      <w:r>
        <w:rPr>
          <w:rFonts w:ascii="Times New Roman" w:hAnsi="Times New Roman"/>
          <w:color w:val="000000"/>
          <w:sz w:val="20"/>
        </w:rPr>
        <w:t xml:space="preserve"> ) that contains reports, proxy and information statements, and other information regarding issuers that file electronically with the SEC.</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routinely posts important information for investors on its web site (under </w:t>
      </w:r>
      <w:r>
        <w:rPr>
          <w:rFonts w:ascii="Times New Roman" w:hAnsi="Times New Roman"/>
          <w:i/>
          <w:color w:val="000000"/>
          <w:sz w:val="20"/>
          <w:u w:val="single"/>
        </w:rPr>
        <w:t>www.spfi.bank</w:t>
      </w:r>
      <w:r>
        <w:rPr>
          <w:rFonts w:ascii="Times New Roman" w:hAnsi="Times New Roman"/>
          <w:color w:val="000000"/>
          <w:sz w:val="20"/>
        </w:rPr>
        <w:t xml:space="preserve"> and, more specifically, under the News &amp; Events tab at </w:t>
      </w:r>
      <w:r>
        <w:rPr>
          <w:rFonts w:ascii="Times New Roman" w:hAnsi="Times New Roman"/>
          <w:i/>
          <w:color w:val="000000"/>
          <w:sz w:val="20"/>
          <w:u w:val="single"/>
        </w:rPr>
        <w:t>www.spfi.bank/news-events/press-releases</w:t>
      </w:r>
      <w:r>
        <w:rPr>
          <w:rFonts w:ascii="Times New Roman" w:hAnsi="Times New Roman"/>
          <w:color w:val="000000"/>
          <w:sz w:val="20"/>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contained on, or that may be accessed through, the Company’s web site is not incorporated by reference into, and is not a part of, this Form 10-Q.</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Economic Conditions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financial condition at June 30, 2023, as well as the results of operations for the three and six months ended June 30, 2023, have been impacted by significant increases in market interest rates due to the increases in the prime lending rate since March 2022 by the Federal Reserve in response to the persistent inflationary environment in the United States. In addition, recent events in other parts of the banking industry have brought additional focus on investment securities portfolios, interest rate risk, liquidity management and capital. As a result, we are providing additional information on our deposits and liquidity position at June 30, 2023 to help illustrate the more traditional and stable nature of our banking model compared to other financial institutions who have recently experienced liquidity and capital challenges.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Deposits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Total deposits were $3.57 billion at June 30, 2023, an increase of $168.1 million during the six months ended June 30, 2023. Total deposits were comprised of 31% of noninterest-bearing deposits, 9% of time deposits and 60% of interest-bearing nonmaturity deposits. Retail customers accounted for approximately 45% of total deposits, with commercial and public funds accounting for approximately 45% and 10%, respectively. Our average deposit account size was approximately $36 thousand. An estimated 16% of total deposits were uninsured or uncollateralized at June 30, 2023.</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Liquidity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had available borrowing capacity of $1.82 billion through the FHLB, the FRB’s Discount Window, and access to the FRB’s Term Funding Program (“BTFP”) at June 30, 2023. The unused line with the FHLB was $1.01 billion and the unused line with the FRB was $612 thousand at June 30, 2023. No advances were made on these lines during the first two quarters of 2023. We have not pledged any securities for the BTFP but have approximately $200 million of available securities that can be used as collateral. Additionally, we have uncollateralized lines with multiple banks totaling $140 million at June 30, 2023. These lines are not guaranteed and we are not placing reliance on them.</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Divestiture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previously announced, the Company sold City Bank’s wholly-owned subsidiary, Windmark, to Alliant in an all cash transaction on April 1, 2023. The Company received an aggregate purchase price of $35.5 million in exchange for Windmark’s shares, representing a pre-tax gain of $33.5 million, before approximately $4.5 million in transaction and related incentive-based compensation expenses.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had net income of $29.7 million, or $1.71 per diluted common share, for the three months ended June 30, 2023, compared to net income of $15.9 million, or $0.88 per diluted common share for the three months ended June 30, 2022. Return on average equity (annualized) was 31.33% and return on average assets (annualized) was 2.97% for the three months ended June 30, 2023, compared to 16.96% and 1.60%, respectively, for the three months ended June 30,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had net income of $38.9 million, or $2.23 per diluted common share for the six months ended June 30, 2023, compared to net income of $30.2 million, or $1.66 per diluted common share for the six months ended June 30, 2022. Return on average equity (annualized) was 21.14% and return on average assets (annualized) was 1.98% for the six months ended June 30, 2023, compared to 15.74% and 1.54%, respectively, for the six months ended June 30, 2022.</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Net Interest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tables present,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081"/>
        <w:gridCol w:w="60"/>
        <w:gridCol w:w="140"/>
        <w:gridCol w:w="980"/>
        <w:gridCol w:w="60"/>
        <w:gridCol w:w="60"/>
        <w:gridCol w:w="140"/>
        <w:gridCol w:w="680"/>
        <w:gridCol w:w="60"/>
        <w:gridCol w:w="60"/>
        <w:gridCol w:w="72"/>
        <w:gridCol w:w="534"/>
        <w:gridCol w:w="215"/>
        <w:gridCol w:w="60"/>
        <w:gridCol w:w="140"/>
        <w:gridCol w:w="980"/>
        <w:gridCol w:w="60"/>
        <w:gridCol w:w="60"/>
        <w:gridCol w:w="140"/>
        <w:gridCol w:w="680"/>
        <w:gridCol w:w="60"/>
        <w:gridCol w:w="60"/>
        <w:gridCol w:w="72"/>
        <w:gridCol w:w="534"/>
        <w:gridCol w:w="217"/>
      </w:tblGrid>
      <w:tr>
        <w:trPr/>
        <w:tc>
          <w:tcPr>
            <w:tcW w:w="40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7" w:type="dxa"/>
            <w:gridSpan w:val="22"/>
            <w:tcBorders>
              <w:bottom w:val="single" w:sz="12" w:space="0" w:color="000000"/>
            </w:tcBorders>
            <w:tcMar>
              <w:bottom w:w="28" w:type="dxa"/>
            </w:tcMar>
            <w:vAlign w:val="bottom"/>
          </w:tcPr>
          <w:p>
            <w:pPr>
              <w:pStyle w:val="TableContents"/>
              <w:bidi w:val="0"/>
              <w:spacing w:before="0" w:after="0"/>
              <w:jc w:val="center"/>
              <w:rPr>
                <w:b/>
              </w:rPr>
            </w:pPr>
            <w:r>
              <w:rPr>
                <w:b/>
              </w:rPr>
              <w:t>Three Months Ended June 30,</w:t>
            </w:r>
          </w:p>
        </w:tc>
        <w:tc>
          <w:tcPr>
            <w:tcW w:w="217" w:type="dxa"/>
            <w:tcBorders/>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6" w:type="dxa"/>
            <w:gridSpan w:val="10"/>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6" w:type="dxa"/>
            <w:gridSpan w:val="10"/>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217" w:type="dxa"/>
            <w:tcBorders/>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Yield/</w:t>
            </w:r>
          </w:p>
          <w:p>
            <w:pPr>
              <w:pStyle w:val="TableContents"/>
              <w:bidi w:val="0"/>
              <w:spacing w:before="0" w:after="0"/>
              <w:jc w:val="center"/>
              <w:rPr>
                <w:b/>
                <w:color w:val="000000"/>
              </w:rPr>
            </w:pPr>
            <w:r>
              <w:rPr>
                <w:b/>
                <w:color w:val="000000"/>
              </w:rPr>
              <w:t>Rate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Yield/</w:t>
            </w:r>
          </w:p>
          <w:p>
            <w:pPr>
              <w:pStyle w:val="TableContents"/>
              <w:bidi w:val="0"/>
              <w:spacing w:before="0" w:after="0"/>
              <w:jc w:val="center"/>
              <w:rPr>
                <w:b/>
                <w:color w:val="000000"/>
              </w:rPr>
            </w:pPr>
            <w:r>
              <w:rPr>
                <w:b/>
                <w:color w:val="000000"/>
              </w:rPr>
              <w:t>Rate</w:t>
            </w:r>
          </w:p>
        </w:tc>
        <w:tc>
          <w:tcPr>
            <w:tcW w:w="217" w:type="dxa"/>
            <w:tcBorders/>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7" w:type="dxa"/>
            <w:gridSpan w:val="22"/>
            <w:tcBorders/>
            <w:vAlign w:val="bottom"/>
          </w:tcPr>
          <w:p>
            <w:pPr>
              <w:pStyle w:val="TableContents"/>
              <w:bidi w:val="0"/>
              <w:spacing w:before="0" w:after="0"/>
              <w:jc w:val="center"/>
              <w:rPr>
                <w:b/>
                <w:color w:val="000000"/>
              </w:rPr>
            </w:pPr>
            <w:r>
              <w:rPr>
                <w:b/>
                <w:color w:val="000000"/>
              </w:rPr>
              <w:t>(Dollars in thousands)</w:t>
            </w:r>
          </w:p>
        </w:tc>
        <w:tc>
          <w:tcPr>
            <w:tcW w:w="217" w:type="dxa"/>
            <w:tcBorders/>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144" w:right="0" w:hanging="144"/>
              <w:jc w:val="left"/>
              <w:rPr>
                <w:b/>
                <w:color w:val="000000"/>
              </w:rPr>
            </w:pPr>
            <w:r>
              <w:rPr>
                <w:b/>
                <w:color w:val="000000"/>
              </w:rPr>
              <w:t>Assets: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gridSpan w:val="2"/>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144" w:right="0" w:hanging="144"/>
              <w:jc w:val="left"/>
              <w:rPr>
                <w:color w:val="000000"/>
              </w:rPr>
            </w:pPr>
            <w:r>
              <w:rPr>
                <w:color w:val="000000"/>
              </w:rPr>
              <w:t>Interest-earning assets: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gridSpan w:val="2"/>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lineRule="auto" w:line="240" w:before="0" w:after="0"/>
              <w:ind w:left="324" w:right="0" w:hanging="144"/>
              <w:jc w:val="left"/>
              <w:rPr>
                <w:color w:val="000000"/>
              </w:rPr>
            </w:pPr>
            <w:r>
              <w:rPr>
                <w:color w:val="000000"/>
              </w:rPr>
              <w:t>Loans(1)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2,894,087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42,872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5.94</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2,549,264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35,420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5.57</w:t>
            </w:r>
          </w:p>
        </w:tc>
        <w:tc>
          <w:tcPr>
            <w:tcW w:w="217" w:type="dxa"/>
            <w:tcBorders/>
            <w:shd w:fill="CCEEFF" w:val="clear"/>
            <w:vAlign w:val="bottom"/>
          </w:tcPr>
          <w:p>
            <w:pPr>
              <w:pStyle w:val="TableContents"/>
              <w:bidi w:val="0"/>
              <w:spacing w:before="0" w:after="0"/>
              <w:jc w:val="left"/>
              <w:rPr/>
            </w:pPr>
            <w:r>
              <w:rPr/>
              <w:t>%</w:t>
            </w:r>
          </w:p>
        </w:tc>
      </w:tr>
      <w:tr>
        <w:trPr/>
        <w:tc>
          <w:tcPr>
            <w:tcW w:w="4081" w:type="dxa"/>
            <w:tcBorders/>
            <w:vAlign w:val="bottom"/>
          </w:tcPr>
          <w:p>
            <w:pPr>
              <w:pStyle w:val="TableContents"/>
              <w:bidi w:val="0"/>
              <w:spacing w:before="0" w:after="0"/>
              <w:ind w:left="324" w:right="0" w:hanging="144"/>
              <w:jc w:val="left"/>
              <w:rPr>
                <w:color w:val="000000"/>
              </w:rPr>
            </w:pPr>
            <w:r>
              <w:rPr>
                <w:color w:val="000000"/>
              </w:rPr>
              <w:t>Investment securities – taxable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575,983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5,365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0"/>
              <w:jc w:val="right"/>
              <w:rPr/>
            </w:pPr>
            <w:r>
              <w:rPr/>
              <w:t>3.74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637,814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3,538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0"/>
              <w:jc w:val="right"/>
              <w:rPr/>
            </w:pPr>
            <w:r>
              <w:rPr/>
              <w:t>2.22</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324" w:right="0" w:hanging="144"/>
              <w:jc w:val="left"/>
              <w:rPr>
                <w:color w:val="000000"/>
              </w:rPr>
            </w:pPr>
            <w:r>
              <w:rPr>
                <w:color w:val="000000"/>
              </w:rPr>
              <w:t>Investment securities – non-taxable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210,709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1,403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2.67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217,023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1,439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2.66</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lineRule="auto" w:line="240" w:before="0" w:after="0"/>
              <w:ind w:left="324" w:right="0" w:hanging="144"/>
              <w:jc w:val="left"/>
              <w:rPr>
                <w:color w:val="000000"/>
              </w:rPr>
            </w:pPr>
            <w:r>
              <w:rPr>
                <w:color w:val="000000"/>
              </w:rPr>
              <w:t>Other interest-earning assets(2)</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149,996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1,484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34" w:type="dxa"/>
            <w:tcBorders>
              <w:bottom w:val="single" w:sz="12" w:space="0" w:color="000000"/>
            </w:tcBorders>
            <w:tcMar>
              <w:bottom w:w="28" w:type="dxa"/>
            </w:tcMar>
            <w:vAlign w:val="bottom"/>
          </w:tcPr>
          <w:p>
            <w:pPr>
              <w:pStyle w:val="TableContents"/>
              <w:bidi w:val="0"/>
              <w:spacing w:before="0" w:after="0"/>
              <w:jc w:val="right"/>
              <w:rPr/>
            </w:pPr>
            <w:r>
              <w:rPr/>
              <w:t>3.97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329,869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658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34" w:type="dxa"/>
            <w:tcBorders>
              <w:bottom w:val="single" w:sz="12" w:space="0" w:color="000000"/>
            </w:tcBorders>
            <w:tcMar>
              <w:bottom w:w="28" w:type="dxa"/>
            </w:tcMar>
            <w:vAlign w:val="bottom"/>
          </w:tcPr>
          <w:p>
            <w:pPr>
              <w:pStyle w:val="TableContents"/>
              <w:bidi w:val="0"/>
              <w:spacing w:before="0" w:after="0"/>
              <w:jc w:val="right"/>
              <w:rPr/>
            </w:pPr>
            <w:r>
              <w:rPr/>
              <w:t>0.80</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324" w:right="0" w:hanging="144"/>
              <w:jc w:val="left"/>
              <w:rPr>
                <w:color w:val="000000"/>
              </w:rPr>
            </w:pPr>
            <w:r>
              <w:rPr>
                <w:color w:val="000000"/>
              </w:rPr>
              <w:t>Total interest-earning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3,830,775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51,124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5.35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3,733,970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41,055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4.41</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144" w:right="0" w:hanging="144"/>
              <w:jc w:val="left"/>
              <w:rPr>
                <w:color w:val="000000"/>
              </w:rPr>
            </w:pPr>
            <w:r>
              <w:rPr>
                <w:color w:val="000000"/>
              </w:rPr>
              <w:t>Noninterest-earning assets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182,752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238,575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504" w:right="0" w:hanging="144"/>
              <w:jc w:val="left"/>
              <w:rPr>
                <w:color w:val="000000"/>
              </w:rPr>
            </w:pPr>
            <w:r>
              <w:rPr>
                <w:color w:val="000000"/>
              </w:rPr>
              <w:t>Total assets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pPr>
            <w:r>
              <w:rPr/>
              <w:t>4,013,527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pPr>
            <w:r>
              <w:rPr/>
              <w:t>3,972,545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144" w:right="0" w:hanging="144"/>
              <w:jc w:val="left"/>
              <w:rPr>
                <w:b/>
                <w:color w:val="000000"/>
              </w:rPr>
            </w:pPr>
            <w:r>
              <w:rPr>
                <w:b/>
                <w:color w:val="000000"/>
              </w:rPr>
              <w:t>Liabilities and Stockholders’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144" w:right="0" w:hanging="144"/>
              <w:jc w:val="left"/>
              <w:rPr>
                <w:color w:val="000000"/>
              </w:rPr>
            </w:pPr>
            <w:r>
              <w:rPr>
                <w:color w:val="000000"/>
              </w:rPr>
              <w:t>Interest-bearing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324" w:right="0" w:hanging="144"/>
              <w:jc w:val="left"/>
              <w:rPr>
                <w:color w:val="000000"/>
              </w:rPr>
            </w:pPr>
            <w:r>
              <w:rPr>
                <w:color w:val="000000"/>
              </w:rPr>
              <w:t>NOW, savings and money market deposits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2,059,182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12,484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2.43</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1,903,452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1,357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0.29</w:t>
            </w:r>
          </w:p>
        </w:tc>
        <w:tc>
          <w:tcPr>
            <w:tcW w:w="217" w:type="dxa"/>
            <w:tcBorders/>
            <w:shd w:fill="CCEEFF" w:val="clear"/>
            <w:vAlign w:val="bottom"/>
          </w:tcPr>
          <w:p>
            <w:pPr>
              <w:pStyle w:val="TableContents"/>
              <w:bidi w:val="0"/>
              <w:spacing w:before="0" w:after="0"/>
              <w:jc w:val="left"/>
              <w:rPr/>
            </w:pPr>
            <w:r>
              <w:rPr/>
              <w:t>%</w:t>
            </w:r>
          </w:p>
        </w:tc>
      </w:tr>
      <w:tr>
        <w:trPr/>
        <w:tc>
          <w:tcPr>
            <w:tcW w:w="4081" w:type="dxa"/>
            <w:tcBorders/>
            <w:vAlign w:val="bottom"/>
          </w:tcPr>
          <w:p>
            <w:pPr>
              <w:pStyle w:val="TableContents"/>
              <w:bidi w:val="0"/>
              <w:spacing w:before="0" w:after="0"/>
              <w:ind w:left="324" w:right="0" w:hanging="144"/>
              <w:jc w:val="left"/>
              <w:rPr>
                <w:color w:val="000000"/>
              </w:rPr>
            </w:pPr>
            <w:r>
              <w:rPr>
                <w:color w:val="000000"/>
              </w:rPr>
              <w:t>Time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299,358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1,949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0"/>
              <w:jc w:val="right"/>
              <w:rPr/>
            </w:pPr>
            <w:r>
              <w:rPr/>
              <w:t>2.61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334,819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960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0"/>
              <w:jc w:val="right"/>
              <w:rPr/>
            </w:pPr>
            <w:r>
              <w:rPr/>
              <w:t>1.15</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324" w:right="0" w:hanging="144"/>
              <w:jc w:val="left"/>
              <w:rPr>
                <w:color w:val="000000"/>
              </w:rPr>
            </w:pPr>
            <w:r>
              <w:rPr>
                <w:color w:val="000000"/>
              </w:rPr>
              <w:t>Short-term borrowings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325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6.17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0.00</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324" w:right="0" w:hanging="144"/>
              <w:jc w:val="left"/>
              <w:rPr>
                <w:color w:val="000000"/>
              </w:rPr>
            </w:pPr>
            <w:r>
              <w:rPr>
                <w:color w:val="000000"/>
              </w:rPr>
              <w:t>Notes payable &amp; other longer-term borrowings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0"/>
              <w:jc w:val="right"/>
              <w:rPr/>
            </w:pPr>
            <w:r>
              <w:rPr/>
              <w:t>0.00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0"/>
              <w:jc w:val="right"/>
              <w:rPr/>
            </w:pPr>
            <w:r>
              <w:rPr/>
              <w:t>0.00</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324" w:right="0" w:hanging="144"/>
              <w:jc w:val="left"/>
              <w:rPr>
                <w:color w:val="000000"/>
              </w:rPr>
            </w:pPr>
            <w:r>
              <w:rPr>
                <w:color w:val="000000"/>
              </w:rPr>
              <w:t>Subordinated debt securities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76,031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1,013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5.34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75,845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1,013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5.36</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324" w:right="0" w:hanging="144"/>
              <w:jc w:val="left"/>
              <w:rPr>
                <w:color w:val="000000"/>
              </w:rPr>
            </w:pPr>
            <w:r>
              <w:rPr>
                <w:color w:val="000000"/>
              </w:rPr>
              <w:t>Junior subordinated deferrable interest debentures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46,393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789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34" w:type="dxa"/>
            <w:tcBorders>
              <w:bottom w:val="single" w:sz="12" w:space="0" w:color="000000"/>
            </w:tcBorders>
            <w:tcMar>
              <w:bottom w:w="28" w:type="dxa"/>
            </w:tcMar>
            <w:vAlign w:val="bottom"/>
          </w:tcPr>
          <w:p>
            <w:pPr>
              <w:pStyle w:val="TableContents"/>
              <w:bidi w:val="0"/>
              <w:spacing w:before="0" w:after="0"/>
              <w:jc w:val="right"/>
              <w:rPr/>
            </w:pPr>
            <w:r>
              <w:rPr/>
              <w:t>6.82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46,393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317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34" w:type="dxa"/>
            <w:tcBorders>
              <w:bottom w:val="single" w:sz="12" w:space="0" w:color="000000"/>
            </w:tcBorders>
            <w:tcMar>
              <w:bottom w:w="28" w:type="dxa"/>
            </w:tcMar>
            <w:vAlign w:val="bottom"/>
          </w:tcPr>
          <w:p>
            <w:pPr>
              <w:pStyle w:val="TableContents"/>
              <w:bidi w:val="0"/>
              <w:spacing w:before="0" w:after="0"/>
              <w:jc w:val="right"/>
              <w:rPr/>
            </w:pPr>
            <w:r>
              <w:rPr/>
              <w:t>2.74</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504" w:right="0" w:hanging="144"/>
              <w:jc w:val="left"/>
              <w:rPr>
                <w:color w:val="000000"/>
              </w:rPr>
            </w:pPr>
            <w:r>
              <w:rPr>
                <w:color w:val="000000"/>
              </w:rPr>
              <w:t>Total interest-bearing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2,481,289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16,240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34" w:type="dxa"/>
            <w:tcBorders>
              <w:bottom w:val="single" w:sz="12" w:space="0" w:color="000000"/>
            </w:tcBorders>
            <w:shd w:fill="CCEEFF" w:val="clear"/>
            <w:tcMar>
              <w:bottom w:w="28" w:type="dxa"/>
            </w:tcMar>
            <w:vAlign w:val="bottom"/>
          </w:tcPr>
          <w:p>
            <w:pPr>
              <w:pStyle w:val="TableContents"/>
              <w:bidi w:val="0"/>
              <w:spacing w:before="0" w:after="0"/>
              <w:jc w:val="right"/>
              <w:rPr/>
            </w:pPr>
            <w:r>
              <w:rPr/>
              <w:t>2.63</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2,360,513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3,647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34" w:type="dxa"/>
            <w:tcBorders>
              <w:bottom w:val="single" w:sz="12" w:space="0" w:color="000000"/>
            </w:tcBorders>
            <w:shd w:fill="CCEEFF" w:val="clear"/>
            <w:tcMar>
              <w:bottom w:w="28" w:type="dxa"/>
            </w:tcMar>
            <w:vAlign w:val="bottom"/>
          </w:tcPr>
          <w:p>
            <w:pPr>
              <w:pStyle w:val="TableContents"/>
              <w:bidi w:val="0"/>
              <w:spacing w:before="0" w:after="0"/>
              <w:jc w:val="right"/>
              <w:rPr/>
            </w:pPr>
            <w:r>
              <w:rPr/>
              <w:t>0.62</w:t>
            </w:r>
          </w:p>
        </w:tc>
        <w:tc>
          <w:tcPr>
            <w:tcW w:w="217" w:type="dxa"/>
            <w:tcBorders/>
            <w:shd w:fill="CCEEFF" w:val="clear"/>
            <w:vAlign w:val="bottom"/>
          </w:tcPr>
          <w:p>
            <w:pPr>
              <w:pStyle w:val="TableContents"/>
              <w:bidi w:val="0"/>
              <w:spacing w:before="0" w:after="0"/>
              <w:jc w:val="left"/>
              <w:rPr/>
            </w:pPr>
            <w:r>
              <w:rPr/>
              <w:t>%</w:t>
            </w:r>
          </w:p>
        </w:tc>
      </w:tr>
      <w:tr>
        <w:trPr/>
        <w:tc>
          <w:tcPr>
            <w:tcW w:w="40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144" w:right="0" w:hanging="144"/>
              <w:jc w:val="left"/>
              <w:rPr>
                <w:color w:val="000000"/>
              </w:rPr>
            </w:pPr>
            <w:r>
              <w:rPr>
                <w:color w:val="000000"/>
              </w:rPr>
              <w:t>Noninterest-bearing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324" w:right="0" w:hanging="144"/>
              <w:jc w:val="left"/>
              <w:rPr>
                <w:color w:val="000000"/>
              </w:rPr>
            </w:pPr>
            <w:r>
              <w:rPr>
                <w:color w:val="000000"/>
              </w:rPr>
              <w:t>Noninterest-bearing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1,075,514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1,171,454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324" w:right="0" w:hanging="144"/>
              <w:jc w:val="left"/>
              <w:rPr>
                <w:color w:val="000000"/>
              </w:rPr>
            </w:pPr>
            <w:r>
              <w:rPr>
                <w:color w:val="000000"/>
              </w:rPr>
              <w:t>Other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76,727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64,933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504" w:right="0" w:hanging="144"/>
              <w:jc w:val="left"/>
              <w:rPr>
                <w:color w:val="000000"/>
              </w:rPr>
            </w:pPr>
            <w:r>
              <w:rPr>
                <w:color w:val="000000"/>
              </w:rPr>
              <w:t>Total noninterest-bearing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1,152,241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1,236,387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504" w:right="0" w:hanging="144"/>
              <w:jc w:val="left"/>
              <w:rPr>
                <w:color w:val="000000"/>
              </w:rPr>
            </w:pPr>
            <w:r>
              <w:rPr>
                <w:color w:val="000000"/>
              </w:rPr>
              <w:t>Stockholders’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379,997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375,645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684" w:right="0" w:hanging="144"/>
              <w:jc w:val="left"/>
              <w:rPr>
                <w:color w:val="000000"/>
              </w:rPr>
            </w:pPr>
            <w:r>
              <w:rPr>
                <w:color w:val="000000"/>
              </w:rPr>
              <w:t>Total liabilities and stockholders’ equity</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4,013,527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3,972,545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144" w:right="0" w:hanging="144"/>
              <w:jc w:val="left"/>
              <w:rPr>
                <w:color w:val="000000"/>
              </w:rPr>
            </w:pPr>
            <w:r>
              <w:rPr>
                <w:color w:val="000000"/>
              </w:rPr>
              <w:t>Net interest income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680" w:type="dxa"/>
            <w:tcBorders>
              <w:bottom w:val="double" w:sz="8" w:space="0" w:color="000000"/>
            </w:tcBorders>
            <w:tcMar>
              <w:bottom w:w="28" w:type="dxa"/>
            </w:tcMar>
            <w:vAlign w:val="bottom"/>
          </w:tcPr>
          <w:p>
            <w:pPr>
              <w:pStyle w:val="TableContents"/>
              <w:bidi w:val="0"/>
              <w:spacing w:before="0" w:after="0"/>
              <w:jc w:val="right"/>
              <w:rPr/>
            </w:pPr>
            <w:r>
              <w:rPr/>
              <w:t>34,884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680" w:type="dxa"/>
            <w:tcBorders>
              <w:bottom w:val="double" w:sz="8" w:space="0" w:color="000000"/>
            </w:tcBorders>
            <w:tcMar>
              <w:bottom w:w="28" w:type="dxa"/>
            </w:tcMar>
            <w:vAlign w:val="bottom"/>
          </w:tcPr>
          <w:p>
            <w:pPr>
              <w:pStyle w:val="TableContents"/>
              <w:bidi w:val="0"/>
              <w:spacing w:before="0" w:after="0"/>
              <w:jc w:val="right"/>
              <w:rPr/>
            </w:pPr>
            <w:r>
              <w:rPr/>
              <w:t>37,408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144" w:right="0" w:hanging="144"/>
              <w:jc w:val="left"/>
              <w:rPr>
                <w:color w:val="000000"/>
              </w:rPr>
            </w:pPr>
            <w:r>
              <w:rPr>
                <w:color w:val="000000"/>
              </w:rPr>
              <w:t>Net interest spread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34" w:type="dxa"/>
            <w:tcBorders>
              <w:bottom w:val="double" w:sz="8" w:space="0" w:color="000000"/>
            </w:tcBorders>
            <w:shd w:fill="CCEEFF" w:val="clear"/>
            <w:tcMar>
              <w:bottom w:w="28" w:type="dxa"/>
            </w:tcMar>
            <w:vAlign w:val="bottom"/>
          </w:tcPr>
          <w:p>
            <w:pPr>
              <w:pStyle w:val="TableContents"/>
              <w:bidi w:val="0"/>
              <w:spacing w:before="0" w:after="0"/>
              <w:jc w:val="right"/>
              <w:rPr/>
            </w:pPr>
            <w:r>
              <w:rPr/>
              <w:t>2.73</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34" w:type="dxa"/>
            <w:tcBorders>
              <w:bottom w:val="double" w:sz="8" w:space="0" w:color="000000"/>
            </w:tcBorders>
            <w:shd w:fill="CCEEFF" w:val="clear"/>
            <w:tcMar>
              <w:bottom w:w="28" w:type="dxa"/>
            </w:tcMar>
            <w:vAlign w:val="bottom"/>
          </w:tcPr>
          <w:p>
            <w:pPr>
              <w:pStyle w:val="TableContents"/>
              <w:bidi w:val="0"/>
              <w:spacing w:before="0" w:after="0"/>
              <w:jc w:val="right"/>
              <w:rPr/>
            </w:pPr>
            <w:r>
              <w:rPr/>
              <w:t>3.79</w:t>
            </w:r>
          </w:p>
        </w:tc>
        <w:tc>
          <w:tcPr>
            <w:tcW w:w="217" w:type="dxa"/>
            <w:tcBorders/>
            <w:shd w:fill="CCEEFF" w:val="clear"/>
            <w:vAlign w:val="bottom"/>
          </w:tcPr>
          <w:p>
            <w:pPr>
              <w:pStyle w:val="TableContents"/>
              <w:bidi w:val="0"/>
              <w:spacing w:before="0" w:after="0"/>
              <w:jc w:val="left"/>
              <w:rPr/>
            </w:pPr>
            <w:r>
              <w:rPr/>
              <w:t>%</w:t>
            </w:r>
          </w:p>
        </w:tc>
      </w:tr>
      <w:tr>
        <w:trPr/>
        <w:tc>
          <w:tcPr>
            <w:tcW w:w="4081" w:type="dxa"/>
            <w:tcBorders/>
            <w:vAlign w:val="bottom"/>
          </w:tcPr>
          <w:p>
            <w:pPr>
              <w:pStyle w:val="TableContents"/>
              <w:bidi w:val="0"/>
              <w:spacing w:lineRule="auto" w:line="240" w:before="0" w:after="0"/>
              <w:ind w:left="144" w:right="0" w:hanging="144"/>
              <w:jc w:val="left"/>
              <w:rPr>
                <w:color w:val="000000"/>
              </w:rPr>
            </w:pPr>
            <w:r>
              <w:rPr>
                <w:color w:val="000000"/>
              </w:rPr>
              <w:t>Net interest margin(3)</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bottom w:val="double" w:sz="8" w:space="0" w:color="000000"/>
            </w:tcBorders>
            <w:tcMar>
              <w:bottom w:w="28" w:type="dxa"/>
            </w:tcMar>
            <w:vAlign w:val="bottom"/>
          </w:tcPr>
          <w:p>
            <w:pPr>
              <w:pStyle w:val="TableContents"/>
              <w:bidi w:val="0"/>
              <w:spacing w:before="0" w:after="283"/>
              <w:jc w:val="left"/>
              <w:rPr/>
            </w:pPr>
            <w:r>
              <w:rPr/>
              <w:t> </w:t>
            </w:r>
          </w:p>
        </w:tc>
        <w:tc>
          <w:tcPr>
            <w:tcW w:w="534" w:type="dxa"/>
            <w:tcBorders>
              <w:bottom w:val="double" w:sz="8" w:space="0" w:color="000000"/>
            </w:tcBorders>
            <w:tcMar>
              <w:bottom w:w="28" w:type="dxa"/>
            </w:tcMar>
            <w:vAlign w:val="bottom"/>
          </w:tcPr>
          <w:p>
            <w:pPr>
              <w:pStyle w:val="TableContents"/>
              <w:bidi w:val="0"/>
              <w:spacing w:before="0" w:after="0"/>
              <w:jc w:val="right"/>
              <w:rPr/>
            </w:pPr>
            <w:r>
              <w:rPr/>
              <w:t>3.65</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bottom w:val="double" w:sz="8" w:space="0" w:color="000000"/>
            </w:tcBorders>
            <w:tcMar>
              <w:bottom w:w="28" w:type="dxa"/>
            </w:tcMar>
            <w:vAlign w:val="bottom"/>
          </w:tcPr>
          <w:p>
            <w:pPr>
              <w:pStyle w:val="TableContents"/>
              <w:bidi w:val="0"/>
              <w:spacing w:before="0" w:after="283"/>
              <w:jc w:val="left"/>
              <w:rPr/>
            </w:pPr>
            <w:r>
              <w:rPr/>
              <w:t> </w:t>
            </w:r>
          </w:p>
        </w:tc>
        <w:tc>
          <w:tcPr>
            <w:tcW w:w="534" w:type="dxa"/>
            <w:tcBorders>
              <w:bottom w:val="double" w:sz="8" w:space="0" w:color="000000"/>
            </w:tcBorders>
            <w:tcMar>
              <w:bottom w:w="28" w:type="dxa"/>
            </w:tcMar>
            <w:vAlign w:val="bottom"/>
          </w:tcPr>
          <w:p>
            <w:pPr>
              <w:pStyle w:val="TableContents"/>
              <w:bidi w:val="0"/>
              <w:spacing w:before="0" w:after="0"/>
              <w:jc w:val="right"/>
              <w:rPr/>
            </w:pPr>
            <w:r>
              <w:rPr/>
              <w:t>4.02</w:t>
            </w:r>
          </w:p>
        </w:tc>
        <w:tc>
          <w:tcPr>
            <w:tcW w:w="217"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4081"/>
        <w:gridCol w:w="60"/>
        <w:gridCol w:w="140"/>
        <w:gridCol w:w="980"/>
        <w:gridCol w:w="60"/>
        <w:gridCol w:w="60"/>
        <w:gridCol w:w="140"/>
        <w:gridCol w:w="680"/>
        <w:gridCol w:w="60"/>
        <w:gridCol w:w="60"/>
        <w:gridCol w:w="72"/>
        <w:gridCol w:w="534"/>
        <w:gridCol w:w="215"/>
        <w:gridCol w:w="60"/>
        <w:gridCol w:w="140"/>
        <w:gridCol w:w="980"/>
        <w:gridCol w:w="60"/>
        <w:gridCol w:w="60"/>
        <w:gridCol w:w="140"/>
        <w:gridCol w:w="680"/>
        <w:gridCol w:w="60"/>
        <w:gridCol w:w="60"/>
        <w:gridCol w:w="72"/>
        <w:gridCol w:w="534"/>
        <w:gridCol w:w="217"/>
      </w:tblGrid>
      <w:tr>
        <w:trPr/>
        <w:tc>
          <w:tcPr>
            <w:tcW w:w="40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7"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217" w:type="dxa"/>
            <w:tcBorders/>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6" w:type="dxa"/>
            <w:gridSpan w:val="10"/>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86" w:type="dxa"/>
            <w:gridSpan w:val="10"/>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217" w:type="dxa"/>
            <w:tcBorders/>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Yield/</w:t>
            </w:r>
          </w:p>
          <w:p>
            <w:pPr>
              <w:pStyle w:val="TableContents"/>
              <w:bidi w:val="0"/>
              <w:spacing w:before="0" w:after="0"/>
              <w:jc w:val="center"/>
              <w:rPr>
                <w:b/>
                <w:color w:val="000000"/>
              </w:rPr>
            </w:pPr>
            <w:r>
              <w:rPr>
                <w:b/>
                <w:color w:val="000000"/>
              </w:rPr>
              <w:t>Rate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Interest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Yield/</w:t>
            </w:r>
          </w:p>
          <w:p>
            <w:pPr>
              <w:pStyle w:val="TableContents"/>
              <w:bidi w:val="0"/>
              <w:spacing w:before="0" w:after="0"/>
              <w:jc w:val="center"/>
              <w:rPr>
                <w:b/>
                <w:color w:val="000000"/>
              </w:rPr>
            </w:pPr>
            <w:r>
              <w:rPr>
                <w:b/>
                <w:color w:val="000000"/>
              </w:rPr>
              <w:t>Rate</w:t>
            </w:r>
          </w:p>
        </w:tc>
        <w:tc>
          <w:tcPr>
            <w:tcW w:w="217" w:type="dxa"/>
            <w:tcBorders/>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47" w:type="dxa"/>
            <w:gridSpan w:val="22"/>
            <w:tcBorders/>
            <w:vAlign w:val="bottom"/>
          </w:tcPr>
          <w:p>
            <w:pPr>
              <w:pStyle w:val="TableContents"/>
              <w:bidi w:val="0"/>
              <w:spacing w:before="0" w:after="0"/>
              <w:jc w:val="center"/>
              <w:rPr>
                <w:b/>
                <w:color w:val="000000"/>
              </w:rPr>
            </w:pPr>
            <w:r>
              <w:rPr>
                <w:b/>
                <w:color w:val="000000"/>
              </w:rPr>
              <w:t>(Dollars in thousands)</w:t>
            </w:r>
          </w:p>
        </w:tc>
        <w:tc>
          <w:tcPr>
            <w:tcW w:w="217" w:type="dxa"/>
            <w:tcBorders/>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144" w:right="0" w:hanging="144"/>
              <w:jc w:val="left"/>
              <w:rPr>
                <w:b/>
                <w:color w:val="000000"/>
              </w:rPr>
            </w:pPr>
            <w:r>
              <w:rPr>
                <w:b/>
                <w:color w:val="000000"/>
              </w:rPr>
              <w:t>Assets: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gridSpan w:val="2"/>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144" w:right="0" w:hanging="144"/>
              <w:jc w:val="left"/>
              <w:rPr>
                <w:color w:val="000000"/>
              </w:rPr>
            </w:pPr>
            <w:r>
              <w:rPr>
                <w:color w:val="000000"/>
              </w:rPr>
              <w:t>Interest-earning assets: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gridSpan w:val="2"/>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lineRule="auto" w:line="240" w:before="0" w:after="0"/>
              <w:ind w:left="324" w:right="0" w:hanging="144"/>
              <w:jc w:val="left"/>
              <w:rPr>
                <w:color w:val="000000"/>
              </w:rPr>
            </w:pPr>
            <w:r>
              <w:rPr>
                <w:color w:val="000000"/>
              </w:rPr>
              <w:t>Loans(1)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2,836,482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82,474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5.86</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2,515,934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64,799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5.19</w:t>
            </w:r>
          </w:p>
        </w:tc>
        <w:tc>
          <w:tcPr>
            <w:tcW w:w="217" w:type="dxa"/>
            <w:tcBorders/>
            <w:shd w:fill="CCEEFF" w:val="clear"/>
            <w:vAlign w:val="bottom"/>
          </w:tcPr>
          <w:p>
            <w:pPr>
              <w:pStyle w:val="TableContents"/>
              <w:bidi w:val="0"/>
              <w:spacing w:before="0" w:after="0"/>
              <w:jc w:val="left"/>
              <w:rPr/>
            </w:pPr>
            <w:r>
              <w:rPr/>
              <w:t>%</w:t>
            </w:r>
          </w:p>
        </w:tc>
      </w:tr>
      <w:tr>
        <w:trPr/>
        <w:tc>
          <w:tcPr>
            <w:tcW w:w="4081" w:type="dxa"/>
            <w:tcBorders/>
            <w:vAlign w:val="bottom"/>
          </w:tcPr>
          <w:p>
            <w:pPr>
              <w:pStyle w:val="TableContents"/>
              <w:bidi w:val="0"/>
              <w:spacing w:before="0" w:after="0"/>
              <w:ind w:left="324" w:right="0" w:hanging="144"/>
              <w:jc w:val="left"/>
              <w:rPr>
                <w:color w:val="000000"/>
              </w:rPr>
            </w:pPr>
            <w:r>
              <w:rPr>
                <w:color w:val="000000"/>
              </w:rPr>
              <w:t>Investment securities – taxable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580,705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10,605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0"/>
              <w:jc w:val="right"/>
              <w:rPr/>
            </w:pPr>
            <w:r>
              <w:rPr/>
              <w:t>3.68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579,243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5,892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0"/>
              <w:jc w:val="right"/>
              <w:rPr/>
            </w:pPr>
            <w:r>
              <w:rPr/>
              <w:t>2.05</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324" w:right="0" w:hanging="144"/>
              <w:jc w:val="left"/>
              <w:rPr>
                <w:color w:val="000000"/>
              </w:rPr>
            </w:pPr>
            <w:r>
              <w:rPr>
                <w:color w:val="000000"/>
              </w:rPr>
              <w:t>Investment securities – non-taxable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211,950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2,815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2.68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217,672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2,887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2.67</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lineRule="auto" w:line="240" w:before="0" w:after="0"/>
              <w:ind w:left="324" w:right="0" w:hanging="144"/>
              <w:jc w:val="left"/>
              <w:rPr>
                <w:color w:val="000000"/>
              </w:rPr>
            </w:pPr>
            <w:r>
              <w:rPr>
                <w:color w:val="000000"/>
              </w:rPr>
              <w:t>Other interest-earning assets(2)</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155,976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2,979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34" w:type="dxa"/>
            <w:tcBorders>
              <w:bottom w:val="single" w:sz="12" w:space="0" w:color="000000"/>
            </w:tcBorders>
            <w:tcMar>
              <w:bottom w:w="28" w:type="dxa"/>
            </w:tcMar>
            <w:vAlign w:val="bottom"/>
          </w:tcPr>
          <w:p>
            <w:pPr>
              <w:pStyle w:val="TableContents"/>
              <w:bidi w:val="0"/>
              <w:spacing w:before="0" w:after="0"/>
              <w:jc w:val="right"/>
              <w:rPr/>
            </w:pPr>
            <w:r>
              <w:rPr/>
              <w:t>3.85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398,670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862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34" w:type="dxa"/>
            <w:tcBorders>
              <w:bottom w:val="single" w:sz="12" w:space="0" w:color="000000"/>
            </w:tcBorders>
            <w:tcMar>
              <w:bottom w:w="28" w:type="dxa"/>
            </w:tcMar>
            <w:vAlign w:val="bottom"/>
          </w:tcPr>
          <w:p>
            <w:pPr>
              <w:pStyle w:val="TableContents"/>
              <w:bidi w:val="0"/>
              <w:spacing w:before="0" w:after="0"/>
              <w:jc w:val="right"/>
              <w:rPr/>
            </w:pPr>
            <w:r>
              <w:rPr/>
              <w:t>0.44</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144" w:right="0" w:hanging="144"/>
              <w:jc w:val="left"/>
              <w:rPr>
                <w:color w:val="000000"/>
              </w:rPr>
            </w:pPr>
            <w:r>
              <w:rPr>
                <w:color w:val="000000"/>
              </w:rPr>
              <w:t>Total interest-earning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3,785,113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98,873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5.27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3,711,519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74,440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4.04</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144" w:right="0" w:hanging="144"/>
              <w:jc w:val="left"/>
              <w:rPr>
                <w:color w:val="000000"/>
              </w:rPr>
            </w:pPr>
            <w:r>
              <w:rPr>
                <w:color w:val="000000"/>
              </w:rPr>
              <w:t>Noninterest-earning assets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186,114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250,376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504" w:right="0" w:hanging="144"/>
              <w:jc w:val="left"/>
              <w:rPr>
                <w:color w:val="000000"/>
              </w:rPr>
            </w:pPr>
            <w:r>
              <w:rPr>
                <w:color w:val="000000"/>
              </w:rPr>
              <w:t>Total assets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pPr>
            <w:r>
              <w:rPr/>
              <w:t>3,971,227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pPr>
            <w:r>
              <w:rPr/>
              <w:t>3,961,895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144" w:right="0" w:hanging="144"/>
              <w:jc w:val="left"/>
              <w:rPr>
                <w:b/>
                <w:color w:val="000000"/>
              </w:rPr>
            </w:pPr>
            <w:r>
              <w:rPr>
                <w:b/>
                <w:color w:val="000000"/>
              </w:rPr>
              <w:t>Liabilities and Shareholders’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144" w:right="0" w:hanging="144"/>
              <w:jc w:val="left"/>
              <w:rPr>
                <w:color w:val="000000"/>
              </w:rPr>
            </w:pPr>
            <w:r>
              <w:rPr>
                <w:color w:val="000000"/>
              </w:rPr>
              <w:t>Interest-bearing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324" w:right="0" w:hanging="144"/>
              <w:jc w:val="left"/>
              <w:rPr>
                <w:color w:val="000000"/>
              </w:rPr>
            </w:pPr>
            <w:r>
              <w:rPr>
                <w:color w:val="000000"/>
              </w:rPr>
              <w:t>NOW, savings and money market deposits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2,023,869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22,468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2.24</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1,920,609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2,268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0.24</w:t>
            </w:r>
          </w:p>
        </w:tc>
        <w:tc>
          <w:tcPr>
            <w:tcW w:w="217" w:type="dxa"/>
            <w:tcBorders/>
            <w:shd w:fill="CCEEFF" w:val="clear"/>
            <w:vAlign w:val="bottom"/>
          </w:tcPr>
          <w:p>
            <w:pPr>
              <w:pStyle w:val="TableContents"/>
              <w:bidi w:val="0"/>
              <w:spacing w:before="0" w:after="0"/>
              <w:jc w:val="left"/>
              <w:rPr/>
            </w:pPr>
            <w:r>
              <w:rPr/>
              <w:t>%</w:t>
            </w:r>
          </w:p>
        </w:tc>
      </w:tr>
      <w:tr>
        <w:trPr/>
        <w:tc>
          <w:tcPr>
            <w:tcW w:w="4081" w:type="dxa"/>
            <w:tcBorders/>
            <w:vAlign w:val="bottom"/>
          </w:tcPr>
          <w:p>
            <w:pPr>
              <w:pStyle w:val="TableContents"/>
              <w:bidi w:val="0"/>
              <w:spacing w:before="0" w:after="0"/>
              <w:ind w:left="324" w:right="0" w:hanging="144"/>
              <w:jc w:val="left"/>
              <w:rPr>
                <w:color w:val="000000"/>
              </w:rPr>
            </w:pPr>
            <w:r>
              <w:rPr>
                <w:color w:val="000000"/>
              </w:rPr>
              <w:t>Time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291,677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3,335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0"/>
              <w:jc w:val="right"/>
              <w:rPr/>
            </w:pPr>
            <w:r>
              <w:rPr/>
              <w:t>2.31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336,962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1,939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0"/>
              <w:jc w:val="right"/>
              <w:rPr/>
            </w:pPr>
            <w:r>
              <w:rPr/>
              <w:t>1.16</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324" w:right="0" w:hanging="144"/>
              <w:jc w:val="left"/>
              <w:rPr>
                <w:color w:val="000000"/>
              </w:rPr>
            </w:pPr>
            <w:r>
              <w:rPr>
                <w:color w:val="000000"/>
              </w:rPr>
              <w:t>Short-term borrowings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6.11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0.00</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324" w:right="0" w:hanging="144"/>
              <w:jc w:val="left"/>
              <w:rPr>
                <w:color w:val="000000"/>
              </w:rPr>
            </w:pPr>
            <w:r>
              <w:rPr>
                <w:color w:val="000000"/>
              </w:rPr>
              <w:t>Notes payable &amp; other longer-term borrowings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0"/>
              <w:jc w:val="right"/>
              <w:rPr/>
            </w:pPr>
            <w:r>
              <w:rPr/>
              <w:t>0.00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0"/>
              <w:jc w:val="right"/>
              <w:rPr/>
            </w:pPr>
            <w:r>
              <w:rPr/>
              <w:t>0.00</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324" w:right="0" w:hanging="144"/>
              <w:jc w:val="left"/>
              <w:rPr>
                <w:color w:val="000000"/>
              </w:rPr>
            </w:pPr>
            <w:r>
              <w:rPr>
                <w:color w:val="000000"/>
              </w:rPr>
              <w:t>Subordinated debt securities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76,008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5.37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75,822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0"/>
              <w:jc w:val="right"/>
              <w:rPr/>
            </w:pPr>
            <w:r>
              <w:rPr/>
              <w:t>5.39</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324" w:right="0" w:hanging="144"/>
              <w:jc w:val="left"/>
              <w:rPr>
                <w:color w:val="000000"/>
              </w:rPr>
            </w:pPr>
            <w:r>
              <w:rPr>
                <w:color w:val="000000"/>
              </w:rPr>
              <w:t>Junior subordinated deferrable interest debentures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46,393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1,540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34" w:type="dxa"/>
            <w:tcBorders>
              <w:bottom w:val="single" w:sz="12" w:space="0" w:color="000000"/>
            </w:tcBorders>
            <w:tcMar>
              <w:bottom w:w="28" w:type="dxa"/>
            </w:tcMar>
            <w:vAlign w:val="bottom"/>
          </w:tcPr>
          <w:p>
            <w:pPr>
              <w:pStyle w:val="TableContents"/>
              <w:bidi w:val="0"/>
              <w:spacing w:before="0" w:after="0"/>
              <w:jc w:val="right"/>
              <w:rPr/>
            </w:pPr>
            <w:r>
              <w:rPr/>
              <w:t>6.69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46,393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548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534" w:type="dxa"/>
            <w:tcBorders>
              <w:bottom w:val="single" w:sz="12" w:space="0" w:color="000000"/>
            </w:tcBorders>
            <w:tcMar>
              <w:bottom w:w="28" w:type="dxa"/>
            </w:tcMar>
            <w:vAlign w:val="bottom"/>
          </w:tcPr>
          <w:p>
            <w:pPr>
              <w:pStyle w:val="TableContents"/>
              <w:bidi w:val="0"/>
              <w:spacing w:before="0" w:after="0"/>
              <w:jc w:val="right"/>
              <w:rPr/>
            </w:pPr>
            <w:r>
              <w:rPr/>
              <w:t>2.38</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504" w:right="0" w:hanging="144"/>
              <w:jc w:val="left"/>
              <w:rPr>
                <w:color w:val="000000"/>
              </w:rPr>
            </w:pPr>
            <w:r>
              <w:rPr>
                <w:color w:val="000000"/>
              </w:rPr>
              <w:t>Total interest-bearing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2,438,112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29,373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34" w:type="dxa"/>
            <w:tcBorders>
              <w:bottom w:val="single" w:sz="12" w:space="0" w:color="000000"/>
            </w:tcBorders>
            <w:shd w:fill="CCEEFF" w:val="clear"/>
            <w:tcMar>
              <w:bottom w:w="28" w:type="dxa"/>
            </w:tcMar>
            <w:vAlign w:val="bottom"/>
          </w:tcPr>
          <w:p>
            <w:pPr>
              <w:pStyle w:val="TableContents"/>
              <w:bidi w:val="0"/>
              <w:spacing w:before="0" w:after="0"/>
              <w:jc w:val="right"/>
              <w:rPr/>
            </w:pPr>
            <w:r>
              <w:rPr/>
              <w:t>2.43</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2,379,790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6,780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34" w:type="dxa"/>
            <w:tcBorders>
              <w:bottom w:val="single" w:sz="12" w:space="0" w:color="000000"/>
            </w:tcBorders>
            <w:shd w:fill="CCEEFF" w:val="clear"/>
            <w:tcMar>
              <w:bottom w:w="28" w:type="dxa"/>
            </w:tcMar>
            <w:vAlign w:val="bottom"/>
          </w:tcPr>
          <w:p>
            <w:pPr>
              <w:pStyle w:val="TableContents"/>
              <w:bidi w:val="0"/>
              <w:spacing w:before="0" w:after="0"/>
              <w:jc w:val="right"/>
              <w:rPr/>
            </w:pPr>
            <w:r>
              <w:rPr/>
              <w:t>0.57</w:t>
            </w:r>
          </w:p>
        </w:tc>
        <w:tc>
          <w:tcPr>
            <w:tcW w:w="217" w:type="dxa"/>
            <w:tcBorders/>
            <w:shd w:fill="CCEEFF" w:val="clear"/>
            <w:vAlign w:val="bottom"/>
          </w:tcPr>
          <w:p>
            <w:pPr>
              <w:pStyle w:val="TableContents"/>
              <w:bidi w:val="0"/>
              <w:spacing w:before="0" w:after="0"/>
              <w:jc w:val="left"/>
              <w:rPr/>
            </w:pPr>
            <w:r>
              <w:rPr/>
              <w:t>%</w:t>
            </w:r>
          </w:p>
        </w:tc>
      </w:tr>
      <w:tr>
        <w:trPr/>
        <w:tc>
          <w:tcPr>
            <w:tcW w:w="408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144" w:right="0" w:hanging="144"/>
              <w:jc w:val="left"/>
              <w:rPr>
                <w:color w:val="000000"/>
              </w:rPr>
            </w:pPr>
            <w:r>
              <w:rPr>
                <w:color w:val="000000"/>
              </w:rPr>
              <w:t>Noninterest-bearing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324" w:right="0" w:hanging="144"/>
              <w:jc w:val="left"/>
              <w:rPr>
                <w:color w:val="000000"/>
              </w:rPr>
            </w:pPr>
            <w:r>
              <w:rPr>
                <w:color w:val="000000"/>
              </w:rPr>
              <w:t>Noninterest-bearing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1,092,429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1,137,771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324" w:right="0" w:hanging="144"/>
              <w:jc w:val="left"/>
              <w:rPr>
                <w:color w:val="000000"/>
              </w:rPr>
            </w:pPr>
            <w:r>
              <w:rPr>
                <w:color w:val="000000"/>
              </w:rPr>
              <w:t>Other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69,443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57,887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504" w:right="0" w:hanging="144"/>
              <w:jc w:val="left"/>
              <w:rPr>
                <w:color w:val="000000"/>
              </w:rPr>
            </w:pPr>
            <w:r>
              <w:rPr>
                <w:color w:val="000000"/>
              </w:rPr>
              <w:t>Total noninterest-bearing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1,161,872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1,195,658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504" w:right="0" w:hanging="144"/>
              <w:jc w:val="left"/>
              <w:rPr>
                <w:color w:val="000000"/>
              </w:rPr>
            </w:pPr>
            <w:r>
              <w:rPr>
                <w:color w:val="000000"/>
              </w:rPr>
              <w:t>Shareholders’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371,243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pPr>
            <w:r>
              <w:rPr/>
              <w:t>386,447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684" w:right="0" w:hanging="144"/>
              <w:jc w:val="left"/>
              <w:rPr>
                <w:color w:val="000000"/>
              </w:rPr>
            </w:pPr>
            <w:r>
              <w:rPr>
                <w:color w:val="000000"/>
              </w:rPr>
              <w:t>Total liabilities and shareholders’ equity</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3,971,227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980" w:type="dxa"/>
            <w:tcBorders>
              <w:bottom w:val="double" w:sz="8" w:space="0" w:color="000000"/>
            </w:tcBorders>
            <w:tcMar>
              <w:bottom w:w="28" w:type="dxa"/>
            </w:tcMar>
            <w:vAlign w:val="bottom"/>
          </w:tcPr>
          <w:p>
            <w:pPr>
              <w:pStyle w:val="TableContents"/>
              <w:bidi w:val="0"/>
              <w:spacing w:before="0" w:after="0"/>
              <w:jc w:val="right"/>
              <w:rPr/>
            </w:pPr>
            <w:r>
              <w:rPr/>
              <w:t>3,961,895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34"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r>
      <w:tr>
        <w:trPr/>
        <w:tc>
          <w:tcPr>
            <w:tcW w:w="4081" w:type="dxa"/>
            <w:tcBorders/>
            <w:vAlign w:val="bottom"/>
          </w:tcPr>
          <w:p>
            <w:pPr>
              <w:pStyle w:val="TableContents"/>
              <w:bidi w:val="0"/>
              <w:spacing w:before="0" w:after="0"/>
              <w:ind w:left="144" w:right="0" w:hanging="144"/>
              <w:jc w:val="left"/>
              <w:rPr>
                <w:color w:val="000000"/>
              </w:rPr>
            </w:pPr>
            <w:r>
              <w:rPr>
                <w:color w:val="000000"/>
              </w:rPr>
              <w:t>Net interest income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680" w:type="dxa"/>
            <w:tcBorders>
              <w:bottom w:val="double" w:sz="8" w:space="0" w:color="000000"/>
            </w:tcBorders>
            <w:tcMar>
              <w:bottom w:w="28" w:type="dxa"/>
            </w:tcMar>
            <w:vAlign w:val="bottom"/>
          </w:tcPr>
          <w:p>
            <w:pPr>
              <w:pStyle w:val="TableContents"/>
              <w:bidi w:val="0"/>
              <w:spacing w:before="0" w:after="0"/>
              <w:jc w:val="right"/>
              <w:rPr/>
            </w:pPr>
            <w:r>
              <w:rPr/>
              <w:t>69,500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680" w:type="dxa"/>
            <w:tcBorders>
              <w:bottom w:val="double" w:sz="8" w:space="0" w:color="000000"/>
            </w:tcBorders>
            <w:tcMar>
              <w:bottom w:w="28" w:type="dxa"/>
            </w:tcMar>
            <w:vAlign w:val="bottom"/>
          </w:tcPr>
          <w:p>
            <w:pPr>
              <w:pStyle w:val="TableContents"/>
              <w:bidi w:val="0"/>
              <w:spacing w:before="0" w:after="0"/>
              <w:jc w:val="right"/>
              <w:rPr/>
            </w:pPr>
            <w:r>
              <w:rPr/>
              <w:t>67,660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34"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r>
      <w:tr>
        <w:trPr/>
        <w:tc>
          <w:tcPr>
            <w:tcW w:w="4081" w:type="dxa"/>
            <w:tcBorders/>
            <w:shd w:fill="CCEEFF" w:val="clear"/>
            <w:vAlign w:val="bottom"/>
          </w:tcPr>
          <w:p>
            <w:pPr>
              <w:pStyle w:val="TableContents"/>
              <w:bidi w:val="0"/>
              <w:spacing w:before="0" w:after="0"/>
              <w:ind w:left="144" w:right="0" w:hanging="144"/>
              <w:jc w:val="left"/>
              <w:rPr>
                <w:color w:val="000000"/>
              </w:rPr>
            </w:pPr>
            <w:r>
              <w:rPr>
                <w:color w:val="000000"/>
              </w:rPr>
              <w:t>Net interest spread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34" w:type="dxa"/>
            <w:tcBorders>
              <w:bottom w:val="double" w:sz="8" w:space="0" w:color="000000"/>
            </w:tcBorders>
            <w:shd w:fill="CCEEFF" w:val="clear"/>
            <w:tcMar>
              <w:bottom w:w="28" w:type="dxa"/>
            </w:tcMar>
            <w:vAlign w:val="bottom"/>
          </w:tcPr>
          <w:p>
            <w:pPr>
              <w:pStyle w:val="TableContents"/>
              <w:bidi w:val="0"/>
              <w:spacing w:before="0" w:after="0"/>
              <w:jc w:val="right"/>
              <w:rPr/>
            </w:pPr>
            <w:r>
              <w:rPr/>
              <w:t>2.84</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34" w:type="dxa"/>
            <w:tcBorders>
              <w:bottom w:val="double" w:sz="8" w:space="0" w:color="000000"/>
            </w:tcBorders>
            <w:shd w:fill="CCEEFF" w:val="clear"/>
            <w:tcMar>
              <w:bottom w:w="28" w:type="dxa"/>
            </w:tcMar>
            <w:vAlign w:val="bottom"/>
          </w:tcPr>
          <w:p>
            <w:pPr>
              <w:pStyle w:val="TableContents"/>
              <w:bidi w:val="0"/>
              <w:spacing w:before="0" w:after="0"/>
              <w:jc w:val="right"/>
              <w:rPr/>
            </w:pPr>
            <w:r>
              <w:rPr/>
              <w:t>3.47</w:t>
            </w:r>
          </w:p>
        </w:tc>
        <w:tc>
          <w:tcPr>
            <w:tcW w:w="217" w:type="dxa"/>
            <w:tcBorders/>
            <w:shd w:fill="CCEEFF" w:val="clear"/>
            <w:vAlign w:val="bottom"/>
          </w:tcPr>
          <w:p>
            <w:pPr>
              <w:pStyle w:val="TableContents"/>
              <w:bidi w:val="0"/>
              <w:spacing w:before="0" w:after="0"/>
              <w:jc w:val="left"/>
              <w:rPr/>
            </w:pPr>
            <w:r>
              <w:rPr/>
              <w:t>%</w:t>
            </w:r>
          </w:p>
        </w:tc>
      </w:tr>
      <w:tr>
        <w:trPr/>
        <w:tc>
          <w:tcPr>
            <w:tcW w:w="4081" w:type="dxa"/>
            <w:tcBorders/>
            <w:vAlign w:val="bottom"/>
          </w:tcPr>
          <w:p>
            <w:pPr>
              <w:pStyle w:val="TableContents"/>
              <w:bidi w:val="0"/>
              <w:spacing w:lineRule="auto" w:line="240" w:before="0" w:after="0"/>
              <w:ind w:left="144" w:right="0" w:hanging="144"/>
              <w:jc w:val="left"/>
              <w:rPr>
                <w:color w:val="000000"/>
              </w:rPr>
            </w:pPr>
            <w:r>
              <w:rPr>
                <w:color w:val="000000"/>
              </w:rPr>
              <w:t>Net interest margin(3)</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bottom w:val="double" w:sz="8" w:space="0" w:color="000000"/>
            </w:tcBorders>
            <w:tcMar>
              <w:bottom w:w="28" w:type="dxa"/>
            </w:tcMar>
            <w:vAlign w:val="bottom"/>
          </w:tcPr>
          <w:p>
            <w:pPr>
              <w:pStyle w:val="TableContents"/>
              <w:bidi w:val="0"/>
              <w:spacing w:before="0" w:after="283"/>
              <w:jc w:val="left"/>
              <w:rPr/>
            </w:pPr>
            <w:r>
              <w:rPr/>
              <w:t> </w:t>
            </w:r>
          </w:p>
        </w:tc>
        <w:tc>
          <w:tcPr>
            <w:tcW w:w="534" w:type="dxa"/>
            <w:tcBorders>
              <w:bottom w:val="double" w:sz="8" w:space="0" w:color="000000"/>
            </w:tcBorders>
            <w:tcMar>
              <w:bottom w:w="28" w:type="dxa"/>
            </w:tcMar>
            <w:vAlign w:val="bottom"/>
          </w:tcPr>
          <w:p>
            <w:pPr>
              <w:pStyle w:val="TableContents"/>
              <w:bidi w:val="0"/>
              <w:spacing w:before="0" w:after="0"/>
              <w:jc w:val="right"/>
              <w:rPr/>
            </w:pPr>
            <w:r>
              <w:rPr/>
              <w:t>3.70</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bottom w:val="double" w:sz="8" w:space="0" w:color="000000"/>
            </w:tcBorders>
            <w:tcMar>
              <w:bottom w:w="28" w:type="dxa"/>
            </w:tcMar>
            <w:vAlign w:val="bottom"/>
          </w:tcPr>
          <w:p>
            <w:pPr>
              <w:pStyle w:val="TableContents"/>
              <w:bidi w:val="0"/>
              <w:spacing w:before="0" w:after="283"/>
              <w:jc w:val="left"/>
              <w:rPr/>
            </w:pPr>
            <w:r>
              <w:rPr/>
              <w:t> </w:t>
            </w:r>
          </w:p>
        </w:tc>
        <w:tc>
          <w:tcPr>
            <w:tcW w:w="534" w:type="dxa"/>
            <w:tcBorders>
              <w:bottom w:val="double" w:sz="8" w:space="0" w:color="000000"/>
            </w:tcBorders>
            <w:tcMar>
              <w:bottom w:w="28" w:type="dxa"/>
            </w:tcMar>
            <w:vAlign w:val="bottom"/>
          </w:tcPr>
          <w:p>
            <w:pPr>
              <w:pStyle w:val="TableContents"/>
              <w:bidi w:val="0"/>
              <w:spacing w:before="0" w:after="0"/>
              <w:jc w:val="right"/>
              <w:rPr/>
            </w:pPr>
            <w:r>
              <w:rPr/>
              <w:t>3.68</w:t>
            </w:r>
          </w:p>
        </w:tc>
        <w:tc>
          <w:tcPr>
            <w:tcW w:w="217" w:type="dxa"/>
            <w:tcBorders/>
            <w:vAlign w:val="bottom"/>
          </w:tcPr>
          <w:p>
            <w:pPr>
              <w:pStyle w:val="TableContents"/>
              <w:bidi w:val="0"/>
              <w:spacing w:before="0" w:after="0"/>
              <w:jc w:val="left"/>
              <w:rPr/>
            </w:pPr>
            <w:r>
              <w:rPr/>
              <w:t>%</w:t>
            </w:r>
          </w:p>
        </w:tc>
      </w:tr>
    </w:tbl>
    <w:p>
      <w:pPr>
        <w:pStyle w:val="TextBody"/>
        <w:bidi w:val="0"/>
        <w:spacing w:before="0" w:after="0"/>
        <w:jc w:val="left"/>
        <w:rPr/>
      </w:pPr>
      <w:r>
        <w:rPr/>
      </w:r>
    </w:p>
    <w:tbl>
      <w:tblPr>
        <w:tblW w:w="7120" w:type="dxa"/>
        <w:jc w:val="left"/>
        <w:tblInd w:w="0" w:type="dxa"/>
        <w:tblLayout w:type="fixed"/>
        <w:tblCellMar>
          <w:top w:w="0" w:type="dxa"/>
          <w:left w:w="0" w:type="dxa"/>
          <w:bottom w:w="0" w:type="dxa"/>
          <w:right w:w="0" w:type="dxa"/>
        </w:tblCellMar>
      </w:tblPr>
      <w:tblGrid>
        <w:gridCol w:w="305"/>
        <w:gridCol w:w="6815"/>
      </w:tblGrid>
      <w:tr>
        <w:trPr/>
        <w:tc>
          <w:tcPr>
            <w:tcW w:w="305" w:type="dxa"/>
            <w:tcBorders/>
            <w:vAlign w:val="center"/>
          </w:tcPr>
          <w:p>
            <w:pPr>
              <w:pStyle w:val="TableContents"/>
              <w:bidi w:val="0"/>
              <w:spacing w:before="0" w:after="283"/>
              <w:jc w:val="left"/>
              <w:rPr>
                <w:color w:val="000000"/>
              </w:rPr>
            </w:pPr>
            <w:r>
              <w:rPr>
                <w:color w:val="000000"/>
              </w:rPr>
              <w:t>(1)</w:t>
            </w:r>
          </w:p>
        </w:tc>
        <w:tc>
          <w:tcPr>
            <w:tcW w:w="6815" w:type="dxa"/>
            <w:tcBorders/>
            <w:vAlign w:val="center"/>
          </w:tcPr>
          <w:p>
            <w:pPr>
              <w:pStyle w:val="TableContents"/>
              <w:bidi w:val="0"/>
              <w:spacing w:before="0" w:after="0"/>
              <w:jc w:val="both"/>
              <w:rPr>
                <w:color w:val="000000"/>
              </w:rPr>
            </w:pPr>
            <w:r>
              <w:rPr>
                <w:color w:val="000000"/>
              </w:rPr>
              <w:t>Average loan balances include nonaccrual loans and loans held for sale.</w:t>
            </w:r>
          </w:p>
        </w:tc>
      </w:tr>
    </w:tbl>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color w:val="000000"/>
              </w:rPr>
            </w:pPr>
            <w:r>
              <w:rPr>
                <w:color w:val="000000"/>
              </w:rPr>
              <w:t>(2)</w:t>
            </w:r>
          </w:p>
        </w:tc>
        <w:tc>
          <w:tcPr>
            <w:tcW w:w="9925" w:type="dxa"/>
            <w:tcBorders/>
            <w:vAlign w:val="center"/>
          </w:tcPr>
          <w:p>
            <w:pPr>
              <w:pStyle w:val="TableContents"/>
              <w:bidi w:val="0"/>
              <w:spacing w:before="0" w:after="0"/>
              <w:jc w:val="both"/>
              <w:rPr>
                <w:color w:val="000000"/>
              </w:rPr>
            </w:pPr>
            <w:r>
              <w:rPr>
                <w:color w:val="000000"/>
              </w:rPr>
              <w:t>Includes income and average balances for interest-earning deposits at other banks, federal funds sold and other miscellaneous interest-earning assets.</w:t>
            </w:r>
          </w:p>
        </w:tc>
      </w:tr>
    </w:tbl>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color w:val="000000"/>
              </w:rPr>
            </w:pPr>
            <w:r>
              <w:rPr>
                <w:color w:val="000000"/>
              </w:rPr>
              <w:t>(3)</w:t>
            </w:r>
          </w:p>
        </w:tc>
        <w:tc>
          <w:tcPr>
            <w:tcW w:w="9923" w:type="dxa"/>
            <w:tcBorders/>
            <w:vAlign w:val="center"/>
          </w:tcPr>
          <w:p>
            <w:pPr>
              <w:pStyle w:val="TableContents"/>
              <w:bidi w:val="0"/>
              <w:spacing w:before="0" w:after="0"/>
              <w:jc w:val="both"/>
              <w:rPr>
                <w:color w:val="000000"/>
              </w:rPr>
            </w:pPr>
            <w:r>
              <w:rPr>
                <w:color w:val="000000"/>
              </w:rPr>
              <w:t>Net interest margin is calculated as the annualized net interest income, on a fully tax-equivalent basis, divided by average interest-earning assets.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pStyle w:val="TextBody"/>
        <w:bidi w:val="0"/>
        <w:spacing w:before="0" w:after="0"/>
        <w:jc w:val="left"/>
        <w:rPr/>
      </w:pPr>
      <w:r>
        <w:rPr/>
      </w:r>
    </w:p>
    <w:tbl>
      <w:tblPr>
        <w:tblW w:w="7976" w:type="dxa"/>
        <w:jc w:val="left"/>
        <w:tblInd w:w="0" w:type="dxa"/>
        <w:tblLayout w:type="fixed"/>
        <w:tblCellMar>
          <w:top w:w="0" w:type="dxa"/>
          <w:left w:w="0" w:type="dxa"/>
          <w:bottom w:w="0" w:type="dxa"/>
          <w:right w:w="0" w:type="dxa"/>
        </w:tblCellMar>
      </w:tblPr>
      <w:tblGrid>
        <w:gridCol w:w="4700"/>
        <w:gridCol w:w="60"/>
        <w:gridCol w:w="165"/>
        <w:gridCol w:w="660"/>
        <w:gridCol w:w="112"/>
        <w:gridCol w:w="70"/>
        <w:gridCol w:w="165"/>
        <w:gridCol w:w="801"/>
        <w:gridCol w:w="112"/>
        <w:gridCol w:w="70"/>
        <w:gridCol w:w="165"/>
        <w:gridCol w:w="801"/>
        <w:gridCol w:w="95"/>
      </w:tblGrid>
      <w:tr>
        <w:trPr/>
        <w:tc>
          <w:tcPr>
            <w:tcW w:w="4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21"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w:t>
            </w:r>
          </w:p>
        </w:tc>
        <w:tc>
          <w:tcPr>
            <w:tcW w:w="95" w:type="dxa"/>
            <w:tcBorders/>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21"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 over 2022</w:t>
            </w:r>
          </w:p>
        </w:tc>
        <w:tc>
          <w:tcPr>
            <w:tcW w:w="95" w:type="dxa"/>
            <w:tcBorders/>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3"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 due to:</w:t>
            </w:r>
          </w:p>
        </w:tc>
        <w:tc>
          <w:tcPr>
            <w:tcW w:w="1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66" w:type="dxa"/>
            <w:gridSpan w:val="2"/>
            <w:tcBorders/>
            <w:vAlign w:val="bottom"/>
          </w:tcPr>
          <w:p>
            <w:pPr>
              <w:pStyle w:val="TableContents"/>
              <w:bidi w:val="0"/>
              <w:spacing w:before="0" w:after="0"/>
              <w:jc w:val="center"/>
              <w:rPr>
                <w:b/>
                <w:color w:val="000000"/>
              </w:rPr>
            </w:pPr>
            <w:r>
              <w:rPr>
                <w:b/>
                <w:color w:val="000000"/>
              </w:rPr>
              <w:t>Total</w:t>
            </w:r>
          </w:p>
        </w:tc>
        <w:tc>
          <w:tcPr>
            <w:tcW w:w="95" w:type="dxa"/>
            <w:tcBorders/>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Volume</w:t>
            </w:r>
          </w:p>
        </w:tc>
        <w:tc>
          <w:tcPr>
            <w:tcW w:w="1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6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Rate</w:t>
            </w:r>
          </w:p>
        </w:tc>
        <w:tc>
          <w:tcPr>
            <w:tcW w:w="1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6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Variance</w:t>
            </w:r>
          </w:p>
        </w:tc>
        <w:tc>
          <w:tcPr>
            <w:tcW w:w="95" w:type="dxa"/>
            <w:tcBorders/>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21" w:type="dxa"/>
            <w:gridSpan w:val="10"/>
            <w:tcBorders/>
            <w:vAlign w:val="bottom"/>
          </w:tcPr>
          <w:p>
            <w:pPr>
              <w:pStyle w:val="TableContents"/>
              <w:bidi w:val="0"/>
              <w:spacing w:before="0" w:after="0"/>
              <w:jc w:val="center"/>
              <w:rPr>
                <w:b/>
                <w:color w:val="000000"/>
              </w:rPr>
            </w:pPr>
            <w:r>
              <w:rPr>
                <w:b/>
                <w:color w:val="000000"/>
              </w:rPr>
              <w:t>(Dollars in thousands)</w:t>
            </w:r>
          </w:p>
        </w:tc>
        <w:tc>
          <w:tcPr>
            <w:tcW w:w="95" w:type="dxa"/>
            <w:tcBorders/>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144" w:right="0" w:hanging="144"/>
              <w:jc w:val="left"/>
              <w:rPr>
                <w:b/>
                <w:color w:val="000000"/>
              </w:rPr>
            </w:pPr>
            <w:r>
              <w:rPr>
                <w:b/>
                <w:color w:val="000000"/>
              </w:rPr>
              <w:t>Interest-earning assets:</w:t>
            </w:r>
          </w:p>
        </w:tc>
        <w:tc>
          <w:tcPr>
            <w:tcW w:w="60"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66" w:type="dxa"/>
            <w:gridSpan w:val="2"/>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66"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324" w:right="0" w:hanging="144"/>
              <w:jc w:val="left"/>
              <w:rPr>
                <w:color w:val="000000"/>
              </w:rPr>
            </w:pPr>
            <w:r>
              <w:rPr>
                <w:color w:val="000000"/>
              </w:rPr>
              <w:t>Loans</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0"/>
              <w:jc w:val="left"/>
              <w:rPr/>
            </w:pPr>
            <w:r>
              <w:rPr/>
              <w:t>$</w:t>
            </w:r>
          </w:p>
        </w:tc>
        <w:tc>
          <w:tcPr>
            <w:tcW w:w="660" w:type="dxa"/>
            <w:tcBorders/>
            <w:shd w:fill="CCEEFF" w:val="clear"/>
            <w:vAlign w:val="bottom"/>
          </w:tcPr>
          <w:p>
            <w:pPr>
              <w:pStyle w:val="TableContents"/>
              <w:bidi w:val="0"/>
              <w:spacing w:before="0" w:after="0"/>
              <w:jc w:val="right"/>
              <w:rPr/>
            </w:pPr>
            <w:r>
              <w:rPr/>
              <w:t>4,791</w:t>
            </w:r>
          </w:p>
        </w:tc>
        <w:tc>
          <w:tcPr>
            <w:tcW w:w="11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0"/>
              <w:jc w:val="left"/>
              <w:rPr/>
            </w:pPr>
            <w:r>
              <w:rPr/>
              <w:t>$</w:t>
            </w:r>
          </w:p>
        </w:tc>
        <w:tc>
          <w:tcPr>
            <w:tcW w:w="801" w:type="dxa"/>
            <w:tcBorders/>
            <w:shd w:fill="CCEEFF" w:val="clear"/>
            <w:vAlign w:val="bottom"/>
          </w:tcPr>
          <w:p>
            <w:pPr>
              <w:pStyle w:val="TableContents"/>
              <w:bidi w:val="0"/>
              <w:spacing w:before="0" w:after="0"/>
              <w:jc w:val="right"/>
              <w:rPr/>
            </w:pPr>
            <w:r>
              <w:rPr/>
              <w:t>2,661</w:t>
            </w:r>
          </w:p>
        </w:tc>
        <w:tc>
          <w:tcPr>
            <w:tcW w:w="11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0"/>
              <w:jc w:val="left"/>
              <w:rPr/>
            </w:pPr>
            <w:r>
              <w:rPr/>
              <w:t>$</w:t>
            </w:r>
          </w:p>
        </w:tc>
        <w:tc>
          <w:tcPr>
            <w:tcW w:w="801" w:type="dxa"/>
            <w:tcBorders/>
            <w:shd w:fill="CCEEFF" w:val="clear"/>
            <w:vAlign w:val="bottom"/>
          </w:tcPr>
          <w:p>
            <w:pPr>
              <w:pStyle w:val="TableContents"/>
              <w:bidi w:val="0"/>
              <w:spacing w:before="0" w:after="0"/>
              <w:jc w:val="right"/>
              <w:rPr/>
            </w:pPr>
            <w:r>
              <w:rPr/>
              <w:t>7,452</w:t>
            </w:r>
          </w:p>
        </w:tc>
        <w:tc>
          <w:tcPr>
            <w:tcW w:w="95"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324" w:right="0" w:hanging="144"/>
              <w:jc w:val="left"/>
              <w:rPr>
                <w:color w:val="000000"/>
              </w:rPr>
            </w:pPr>
            <w:r>
              <w:rPr>
                <w:color w:val="000000"/>
              </w:rPr>
              <w:t>Investment securities – taxable</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pPr>
            <w:r>
              <w:rPr/>
              <w:t>(343</w:t>
            </w:r>
          </w:p>
        </w:tc>
        <w:tc>
          <w:tcPr>
            <w:tcW w:w="112" w:type="dxa"/>
            <w:tcBorders/>
            <w:vAlign w:val="bottom"/>
          </w:tcPr>
          <w:p>
            <w:pPr>
              <w:pStyle w:val="TableContents"/>
              <w:bidi w:val="0"/>
              <w:spacing w:before="0" w:after="0"/>
              <w:jc w:val="left"/>
              <w:rPr/>
            </w:pPr>
            <w:r>
              <w:rPr/>
              <w:t>)</w:t>
            </w:r>
          </w:p>
        </w:tc>
        <w:tc>
          <w:tcPr>
            <w:tcW w:w="7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0"/>
              <w:jc w:val="right"/>
              <w:rPr/>
            </w:pPr>
            <w:r>
              <w:rPr/>
              <w:t>2,170</w:t>
            </w:r>
          </w:p>
        </w:tc>
        <w:tc>
          <w:tcPr>
            <w:tcW w:w="1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0"/>
              <w:jc w:val="right"/>
              <w:rPr/>
            </w:pPr>
            <w:r>
              <w:rPr/>
              <w:t>1,827</w:t>
            </w:r>
          </w:p>
        </w:tc>
        <w:tc>
          <w:tcPr>
            <w:tcW w:w="95"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324" w:right="0" w:hanging="144"/>
              <w:jc w:val="left"/>
              <w:rPr>
                <w:color w:val="000000"/>
              </w:rPr>
            </w:pPr>
            <w:r>
              <w:rPr>
                <w:color w:val="000000"/>
              </w:rPr>
              <w:t>Investment securities – non-taxable</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pPr>
            <w:r>
              <w:rPr/>
              <w:t>(42</w:t>
            </w:r>
          </w:p>
        </w:tc>
        <w:tc>
          <w:tcPr>
            <w:tcW w:w="112" w:type="dxa"/>
            <w:tcBorders/>
            <w:shd w:fill="CCEEFF" w:val="clear"/>
            <w:vAlign w:val="bottom"/>
          </w:tcPr>
          <w:p>
            <w:pPr>
              <w:pStyle w:val="TableContents"/>
              <w:bidi w:val="0"/>
              <w:spacing w:before="0" w:after="0"/>
              <w:jc w:val="left"/>
              <w:rPr/>
            </w:pPr>
            <w:r>
              <w:rPr/>
              <w:t>)</w:t>
            </w:r>
          </w:p>
        </w:tc>
        <w:tc>
          <w:tcPr>
            <w:tcW w:w="7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0"/>
              <w:jc w:val="right"/>
              <w:rPr/>
            </w:pPr>
            <w:r>
              <w:rPr/>
              <w:t>6</w:t>
            </w:r>
          </w:p>
        </w:tc>
        <w:tc>
          <w:tcPr>
            <w:tcW w:w="11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0"/>
              <w:jc w:val="right"/>
              <w:rPr/>
            </w:pPr>
            <w:r>
              <w:rPr/>
              <w:t>(36</w:t>
            </w:r>
          </w:p>
        </w:tc>
        <w:tc>
          <w:tcPr>
            <w:tcW w:w="95" w:type="dxa"/>
            <w:tcBorders/>
            <w:shd w:fill="CCEEFF" w:val="clear"/>
            <w:vAlign w:val="bottom"/>
          </w:tcPr>
          <w:p>
            <w:pPr>
              <w:pStyle w:val="TableContents"/>
              <w:bidi w:val="0"/>
              <w:spacing w:before="0" w:after="0"/>
              <w:jc w:val="left"/>
              <w:rPr/>
            </w:pPr>
            <w:r>
              <w:rPr/>
              <w:t>)</w:t>
            </w:r>
          </w:p>
        </w:tc>
      </w:tr>
      <w:tr>
        <w:trPr/>
        <w:tc>
          <w:tcPr>
            <w:tcW w:w="4700" w:type="dxa"/>
            <w:tcBorders/>
            <w:vAlign w:val="bottom"/>
          </w:tcPr>
          <w:p>
            <w:pPr>
              <w:pStyle w:val="TableContents"/>
              <w:bidi w:val="0"/>
              <w:spacing w:before="0" w:after="0"/>
              <w:ind w:left="324" w:right="0" w:hanging="144"/>
              <w:jc w:val="left"/>
              <w:rPr>
                <w:color w:val="000000"/>
              </w:rPr>
            </w:pPr>
            <w:r>
              <w:rPr>
                <w:color w:val="000000"/>
              </w:rPr>
              <w:t>Other interest-earning assets</w:t>
            </w:r>
          </w:p>
        </w:tc>
        <w:tc>
          <w:tcPr>
            <w:tcW w:w="60" w:type="dxa"/>
            <w:tcBorders/>
            <w:vAlign w:val="bottom"/>
          </w:tcPr>
          <w:p>
            <w:pPr>
              <w:pStyle w:val="TableContents"/>
              <w:bidi w:val="0"/>
              <w:spacing w:before="0" w:after="283"/>
              <w:jc w:val="lef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60" w:type="dxa"/>
            <w:tcBorders>
              <w:bottom w:val="single" w:sz="12" w:space="0" w:color="000000"/>
            </w:tcBorders>
            <w:tcMar>
              <w:bottom w:w="28" w:type="dxa"/>
            </w:tcMar>
            <w:vAlign w:val="bottom"/>
          </w:tcPr>
          <w:p>
            <w:pPr>
              <w:pStyle w:val="TableContents"/>
              <w:bidi w:val="0"/>
              <w:spacing w:before="0" w:after="0"/>
              <w:jc w:val="right"/>
              <w:rPr/>
            </w:pPr>
            <w:r>
              <w:rPr/>
              <w:t>(359</w:t>
            </w:r>
          </w:p>
        </w:tc>
        <w:tc>
          <w:tcPr>
            <w:tcW w:w="112" w:type="dxa"/>
            <w:tcBorders/>
            <w:vAlign w:val="bottom"/>
          </w:tcPr>
          <w:p>
            <w:pPr>
              <w:pStyle w:val="TableContents"/>
              <w:bidi w:val="0"/>
              <w:spacing w:before="0" w:after="0"/>
              <w:jc w:val="left"/>
              <w:rPr/>
            </w:pPr>
            <w:r>
              <w:rPr/>
              <w:t>)</w:t>
            </w:r>
          </w:p>
        </w:tc>
        <w:tc>
          <w:tcPr>
            <w:tcW w:w="70" w:type="dxa"/>
            <w:tcBorders/>
            <w:vAlign w:val="bottom"/>
          </w:tcPr>
          <w:p>
            <w:pPr>
              <w:pStyle w:val="TableContents"/>
              <w:bidi w:val="0"/>
              <w:spacing w:before="0" w:after="283"/>
              <w:jc w:val="lef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1" w:type="dxa"/>
            <w:tcBorders>
              <w:bottom w:val="single" w:sz="12" w:space="0" w:color="000000"/>
            </w:tcBorders>
            <w:tcMar>
              <w:bottom w:w="28" w:type="dxa"/>
            </w:tcMar>
            <w:vAlign w:val="bottom"/>
          </w:tcPr>
          <w:p>
            <w:pPr>
              <w:pStyle w:val="TableContents"/>
              <w:bidi w:val="0"/>
              <w:spacing w:before="0" w:after="0"/>
              <w:jc w:val="right"/>
              <w:rPr/>
            </w:pPr>
            <w:r>
              <w:rPr/>
              <w:t>1,185</w:t>
            </w:r>
          </w:p>
        </w:tc>
        <w:tc>
          <w:tcPr>
            <w:tcW w:w="1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1" w:type="dxa"/>
            <w:tcBorders>
              <w:bottom w:val="single" w:sz="12" w:space="0" w:color="000000"/>
            </w:tcBorders>
            <w:tcMar>
              <w:bottom w:w="28" w:type="dxa"/>
            </w:tcMar>
            <w:vAlign w:val="bottom"/>
          </w:tcPr>
          <w:p>
            <w:pPr>
              <w:pStyle w:val="TableContents"/>
              <w:bidi w:val="0"/>
              <w:spacing w:before="0" w:after="0"/>
              <w:jc w:val="right"/>
              <w:rPr/>
            </w:pPr>
            <w:r>
              <w:rPr/>
              <w:t>826</w:t>
            </w:r>
          </w:p>
        </w:tc>
        <w:tc>
          <w:tcPr>
            <w:tcW w:w="95"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504" w:right="0" w:hanging="144"/>
              <w:jc w:val="left"/>
              <w:rPr>
                <w:color w:val="000000"/>
              </w:rPr>
            </w:pPr>
            <w:r>
              <w:rPr>
                <w:color w:val="000000"/>
              </w:rPr>
              <w:t>Total increase (decrease) in interest income</w:t>
            </w:r>
          </w:p>
        </w:tc>
        <w:tc>
          <w:tcPr>
            <w:tcW w:w="60" w:type="dxa"/>
            <w:tcBorders/>
            <w:shd w:fill="CCEEFF" w:val="clear"/>
            <w:vAlign w:val="bottom"/>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0" w:type="dxa"/>
            <w:tcBorders>
              <w:bottom w:val="single" w:sz="12" w:space="0" w:color="000000"/>
            </w:tcBorders>
            <w:shd w:fill="CCEEFF" w:val="clear"/>
            <w:tcMar>
              <w:bottom w:w="28" w:type="dxa"/>
            </w:tcMar>
            <w:vAlign w:val="bottom"/>
          </w:tcPr>
          <w:p>
            <w:pPr>
              <w:pStyle w:val="TableContents"/>
              <w:bidi w:val="0"/>
              <w:spacing w:before="0" w:after="0"/>
              <w:jc w:val="right"/>
              <w:rPr/>
            </w:pPr>
            <w:r>
              <w:rPr/>
              <w:t>4,047</w:t>
            </w:r>
          </w:p>
        </w:tc>
        <w:tc>
          <w:tcPr>
            <w:tcW w:w="11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bottom"/>
          </w:tcPr>
          <w:p>
            <w:pPr>
              <w:pStyle w:val="TableContents"/>
              <w:bidi w:val="0"/>
              <w:spacing w:before="0" w:after="0"/>
              <w:jc w:val="right"/>
              <w:rPr/>
            </w:pPr>
            <w:r>
              <w:rPr/>
              <w:t>6,022</w:t>
            </w:r>
          </w:p>
        </w:tc>
        <w:tc>
          <w:tcPr>
            <w:tcW w:w="11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bottom"/>
          </w:tcPr>
          <w:p>
            <w:pPr>
              <w:pStyle w:val="TableContents"/>
              <w:bidi w:val="0"/>
              <w:spacing w:before="0" w:after="0"/>
              <w:jc w:val="right"/>
              <w:rPr/>
            </w:pPr>
            <w:r>
              <w:rPr/>
              <w:t>10,069</w:t>
            </w:r>
          </w:p>
        </w:tc>
        <w:tc>
          <w:tcPr>
            <w:tcW w:w="95"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144" w:right="0" w:hanging="144"/>
              <w:jc w:val="left"/>
              <w:rPr>
                <w:b/>
                <w:color w:val="000000"/>
              </w:rPr>
            </w:pPr>
            <w:r>
              <w:rPr>
                <w:b/>
                <w:color w:val="000000"/>
              </w:rPr>
              <w:t>Interest-bearing liabilities:</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324" w:right="0" w:hanging="144"/>
              <w:jc w:val="left"/>
              <w:rPr>
                <w:color w:val="000000"/>
              </w:rPr>
            </w:pPr>
            <w:r>
              <w:rPr>
                <w:color w:val="000000"/>
              </w:rPr>
              <w:t>NOW, Savings, MMDAs</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pPr>
            <w:r>
              <w:rPr/>
              <w:t>111</w:t>
            </w:r>
          </w:p>
        </w:tc>
        <w:tc>
          <w:tcPr>
            <w:tcW w:w="1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0"/>
              <w:jc w:val="right"/>
              <w:rPr/>
            </w:pPr>
            <w:r>
              <w:rPr/>
              <w:t>11,016</w:t>
            </w:r>
          </w:p>
        </w:tc>
        <w:tc>
          <w:tcPr>
            <w:tcW w:w="1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0"/>
              <w:jc w:val="right"/>
              <w:rPr/>
            </w:pPr>
            <w:r>
              <w:rPr/>
              <w:t>11,127</w:t>
            </w:r>
          </w:p>
        </w:tc>
        <w:tc>
          <w:tcPr>
            <w:tcW w:w="95"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324" w:right="0" w:hanging="144"/>
              <w:jc w:val="left"/>
              <w:rPr>
                <w:color w:val="000000"/>
              </w:rPr>
            </w:pPr>
            <w:r>
              <w:rPr>
                <w:color w:val="000000"/>
              </w:rPr>
              <w:t>Time deposits</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pPr>
            <w:r>
              <w:rPr/>
              <w:t>(102</w:t>
            </w:r>
          </w:p>
        </w:tc>
        <w:tc>
          <w:tcPr>
            <w:tcW w:w="112" w:type="dxa"/>
            <w:tcBorders/>
            <w:shd w:fill="CCEEFF" w:val="clear"/>
            <w:vAlign w:val="bottom"/>
          </w:tcPr>
          <w:p>
            <w:pPr>
              <w:pStyle w:val="TableContents"/>
              <w:bidi w:val="0"/>
              <w:spacing w:before="0" w:after="0"/>
              <w:jc w:val="left"/>
              <w:rPr/>
            </w:pPr>
            <w:r>
              <w:rPr/>
              <w:t>)</w:t>
            </w:r>
          </w:p>
        </w:tc>
        <w:tc>
          <w:tcPr>
            <w:tcW w:w="7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0"/>
              <w:jc w:val="right"/>
              <w:rPr/>
            </w:pPr>
            <w:r>
              <w:rPr/>
              <w:t>1,091</w:t>
            </w:r>
          </w:p>
        </w:tc>
        <w:tc>
          <w:tcPr>
            <w:tcW w:w="11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0"/>
              <w:jc w:val="right"/>
              <w:rPr/>
            </w:pPr>
            <w:r>
              <w:rPr/>
              <w:t>989</w:t>
            </w:r>
          </w:p>
        </w:tc>
        <w:tc>
          <w:tcPr>
            <w:tcW w:w="95"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324" w:right="0" w:hanging="144"/>
              <w:jc w:val="left"/>
              <w:rPr>
                <w:color w:val="000000"/>
              </w:rPr>
            </w:pPr>
            <w:r>
              <w:rPr>
                <w:color w:val="000000"/>
              </w:rPr>
              <w:t>Short-term borrowings</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pPr>
            <w:r>
              <w:rPr/>
              <w:t>—</w:t>
            </w:r>
          </w:p>
        </w:tc>
        <w:tc>
          <w:tcPr>
            <w:tcW w:w="1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0"/>
              <w:jc w:val="right"/>
              <w:rPr/>
            </w:pPr>
            <w:r>
              <w:rPr/>
              <w:t>5</w:t>
            </w:r>
          </w:p>
        </w:tc>
        <w:tc>
          <w:tcPr>
            <w:tcW w:w="1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0"/>
              <w:jc w:val="right"/>
              <w:rPr/>
            </w:pPr>
            <w:r>
              <w:rPr/>
              <w:t>5</w:t>
            </w:r>
          </w:p>
        </w:tc>
        <w:tc>
          <w:tcPr>
            <w:tcW w:w="95"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324" w:right="0" w:hanging="144"/>
              <w:jc w:val="left"/>
              <w:rPr>
                <w:color w:val="000000"/>
              </w:rPr>
            </w:pPr>
            <w:r>
              <w:rPr>
                <w:color w:val="000000"/>
              </w:rPr>
              <w:t>Notes payable &amp; other borrowings</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0"/>
              <w:jc w:val="right"/>
              <w:rPr/>
            </w:pPr>
            <w:r>
              <w:rPr/>
              <w:t>—</w:t>
            </w:r>
          </w:p>
        </w:tc>
        <w:tc>
          <w:tcPr>
            <w:tcW w:w="11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0"/>
              <w:jc w:val="right"/>
              <w:rPr/>
            </w:pPr>
            <w:r>
              <w:rPr/>
              <w:t>—</w:t>
            </w:r>
          </w:p>
        </w:tc>
        <w:tc>
          <w:tcPr>
            <w:tcW w:w="11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324" w:right="0" w:hanging="144"/>
              <w:jc w:val="left"/>
              <w:rPr>
                <w:color w:val="000000"/>
              </w:rPr>
            </w:pPr>
            <w:r>
              <w:rPr>
                <w:color w:val="000000"/>
              </w:rPr>
              <w:t>Subordinated debt securities</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0"/>
              <w:jc w:val="right"/>
              <w:rPr/>
            </w:pPr>
            <w:r>
              <w:rPr/>
              <w:t>2</w:t>
            </w:r>
          </w:p>
        </w:tc>
        <w:tc>
          <w:tcPr>
            <w:tcW w:w="1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0"/>
              <w:jc w:val="right"/>
              <w:rPr/>
            </w:pPr>
            <w:r>
              <w:rPr/>
              <w:t>(2</w:t>
            </w:r>
          </w:p>
        </w:tc>
        <w:tc>
          <w:tcPr>
            <w:tcW w:w="112" w:type="dxa"/>
            <w:tcBorders/>
            <w:vAlign w:val="bottom"/>
          </w:tcPr>
          <w:p>
            <w:pPr>
              <w:pStyle w:val="TableContents"/>
              <w:bidi w:val="0"/>
              <w:spacing w:before="0" w:after="0"/>
              <w:jc w:val="left"/>
              <w:rPr/>
            </w:pPr>
            <w:r>
              <w:rPr/>
              <w:t>)</w:t>
            </w:r>
          </w:p>
        </w:tc>
        <w:tc>
          <w:tcPr>
            <w:tcW w:w="7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324" w:right="0" w:hanging="144"/>
              <w:jc w:val="left"/>
              <w:rPr>
                <w:color w:val="000000"/>
              </w:rPr>
            </w:pPr>
            <w:r>
              <w:rPr>
                <w:color w:val="000000"/>
              </w:rPr>
              <w:t>Junior subordinated deferrable interest debentures</w:t>
            </w:r>
          </w:p>
        </w:tc>
        <w:tc>
          <w:tcPr>
            <w:tcW w:w="60" w:type="dxa"/>
            <w:tcBorders/>
            <w:shd w:fill="CCEEFF" w:val="clear"/>
            <w:vAlign w:val="bottom"/>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1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bottom"/>
          </w:tcPr>
          <w:p>
            <w:pPr>
              <w:pStyle w:val="TableContents"/>
              <w:bidi w:val="0"/>
              <w:spacing w:before="0" w:after="0"/>
              <w:jc w:val="right"/>
              <w:rPr/>
            </w:pPr>
            <w:r>
              <w:rPr/>
              <w:t>472</w:t>
            </w:r>
          </w:p>
        </w:tc>
        <w:tc>
          <w:tcPr>
            <w:tcW w:w="11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1" w:type="dxa"/>
            <w:tcBorders>
              <w:bottom w:val="single" w:sz="12" w:space="0" w:color="000000"/>
            </w:tcBorders>
            <w:shd w:fill="CCEEFF" w:val="clear"/>
            <w:tcMar>
              <w:bottom w:w="28" w:type="dxa"/>
            </w:tcMar>
            <w:vAlign w:val="bottom"/>
          </w:tcPr>
          <w:p>
            <w:pPr>
              <w:pStyle w:val="TableContents"/>
              <w:bidi w:val="0"/>
              <w:spacing w:before="0" w:after="0"/>
              <w:jc w:val="right"/>
              <w:rPr/>
            </w:pPr>
            <w:r>
              <w:rPr/>
              <w:t>472</w:t>
            </w:r>
          </w:p>
        </w:tc>
        <w:tc>
          <w:tcPr>
            <w:tcW w:w="95"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504" w:right="0" w:hanging="144"/>
              <w:jc w:val="left"/>
              <w:rPr>
                <w:color w:val="000000"/>
              </w:rPr>
            </w:pPr>
            <w:r>
              <w:rPr>
                <w:color w:val="000000"/>
              </w:rPr>
              <w:t>Total increase (decrease) interest expense:</w:t>
            </w:r>
          </w:p>
        </w:tc>
        <w:tc>
          <w:tcPr>
            <w:tcW w:w="60" w:type="dxa"/>
            <w:tcBorders/>
            <w:vAlign w:val="bottom"/>
          </w:tcPr>
          <w:p>
            <w:pPr>
              <w:pStyle w:val="TableContents"/>
              <w:bidi w:val="0"/>
              <w:spacing w:before="0" w:after="283"/>
              <w:jc w:val="lef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60" w:type="dxa"/>
            <w:tcBorders>
              <w:bottom w:val="single" w:sz="12" w:space="0" w:color="000000"/>
            </w:tcBorders>
            <w:tcMar>
              <w:bottom w:w="28" w:type="dxa"/>
            </w:tcMar>
            <w:vAlign w:val="bottom"/>
          </w:tcPr>
          <w:p>
            <w:pPr>
              <w:pStyle w:val="TableContents"/>
              <w:bidi w:val="0"/>
              <w:spacing w:before="0" w:after="0"/>
              <w:jc w:val="right"/>
              <w:rPr/>
            </w:pPr>
            <w:r>
              <w:rPr/>
              <w:t>11</w:t>
            </w:r>
          </w:p>
        </w:tc>
        <w:tc>
          <w:tcPr>
            <w:tcW w:w="1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1" w:type="dxa"/>
            <w:tcBorders>
              <w:bottom w:val="single" w:sz="12" w:space="0" w:color="000000"/>
            </w:tcBorders>
            <w:tcMar>
              <w:bottom w:w="28" w:type="dxa"/>
            </w:tcMar>
            <w:vAlign w:val="bottom"/>
          </w:tcPr>
          <w:p>
            <w:pPr>
              <w:pStyle w:val="TableContents"/>
              <w:bidi w:val="0"/>
              <w:spacing w:before="0" w:after="0"/>
              <w:jc w:val="right"/>
              <w:rPr/>
            </w:pPr>
            <w:r>
              <w:rPr/>
              <w:t>12,582</w:t>
            </w:r>
          </w:p>
        </w:tc>
        <w:tc>
          <w:tcPr>
            <w:tcW w:w="1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1" w:type="dxa"/>
            <w:tcBorders>
              <w:bottom w:val="single" w:sz="12" w:space="0" w:color="000000"/>
            </w:tcBorders>
            <w:tcMar>
              <w:bottom w:w="28" w:type="dxa"/>
            </w:tcMar>
            <w:vAlign w:val="bottom"/>
          </w:tcPr>
          <w:p>
            <w:pPr>
              <w:pStyle w:val="TableContents"/>
              <w:bidi w:val="0"/>
              <w:spacing w:before="0" w:after="0"/>
              <w:jc w:val="right"/>
              <w:rPr/>
            </w:pPr>
            <w:r>
              <w:rPr/>
              <w:t>12,593</w:t>
            </w:r>
          </w:p>
        </w:tc>
        <w:tc>
          <w:tcPr>
            <w:tcW w:w="95"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11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144" w:right="0" w:hanging="144"/>
              <w:jc w:val="left"/>
              <w:rPr>
                <w:color w:val="000000"/>
              </w:rPr>
            </w:pPr>
            <w:r>
              <w:rPr>
                <w:color w:val="000000"/>
              </w:rPr>
              <w:t>Increase (decrease) in net interest income</w:t>
            </w:r>
          </w:p>
        </w:tc>
        <w:tc>
          <w:tcPr>
            <w:tcW w:w="60" w:type="dxa"/>
            <w:tcBorders/>
            <w:vAlign w:val="bottom"/>
          </w:tcPr>
          <w:p>
            <w:pPr>
              <w:pStyle w:val="TableContents"/>
              <w:bidi w:val="0"/>
              <w:spacing w:before="0" w:after="283"/>
              <w:jc w:val="left"/>
              <w:rPr/>
            </w:pPr>
            <w:r>
              <w:rPr/>
              <w:t> </w:t>
            </w:r>
          </w:p>
        </w:tc>
        <w:tc>
          <w:tcPr>
            <w:tcW w:w="165" w:type="dxa"/>
            <w:tcBorders>
              <w:bottom w:val="double" w:sz="8" w:space="0" w:color="000000"/>
            </w:tcBorders>
            <w:tcMar>
              <w:bottom w:w="28" w:type="dxa"/>
            </w:tcMar>
            <w:vAlign w:val="bottom"/>
          </w:tcPr>
          <w:p>
            <w:pPr>
              <w:pStyle w:val="TableContents"/>
              <w:bidi w:val="0"/>
              <w:spacing w:before="0" w:after="0"/>
              <w:jc w:val="left"/>
              <w:rPr/>
            </w:pPr>
            <w:r>
              <w:rPr/>
              <w:t>$</w:t>
            </w:r>
          </w:p>
        </w:tc>
        <w:tc>
          <w:tcPr>
            <w:tcW w:w="660" w:type="dxa"/>
            <w:tcBorders>
              <w:bottom w:val="double" w:sz="8" w:space="0" w:color="000000"/>
            </w:tcBorders>
            <w:tcMar>
              <w:bottom w:w="28" w:type="dxa"/>
            </w:tcMar>
            <w:vAlign w:val="bottom"/>
          </w:tcPr>
          <w:p>
            <w:pPr>
              <w:pStyle w:val="TableContents"/>
              <w:bidi w:val="0"/>
              <w:spacing w:before="0" w:after="0"/>
              <w:jc w:val="right"/>
              <w:rPr/>
            </w:pPr>
            <w:r>
              <w:rPr/>
              <w:t>4,036</w:t>
            </w:r>
          </w:p>
        </w:tc>
        <w:tc>
          <w:tcPr>
            <w:tcW w:w="1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65" w:type="dxa"/>
            <w:tcBorders>
              <w:bottom w:val="double" w:sz="8" w:space="0" w:color="000000"/>
            </w:tcBorders>
            <w:tcMar>
              <w:bottom w:w="28" w:type="dxa"/>
            </w:tcMar>
            <w:vAlign w:val="bottom"/>
          </w:tcPr>
          <w:p>
            <w:pPr>
              <w:pStyle w:val="TableContents"/>
              <w:bidi w:val="0"/>
              <w:spacing w:before="0" w:after="0"/>
              <w:jc w:val="left"/>
              <w:rPr/>
            </w:pPr>
            <w:r>
              <w:rPr/>
              <w:t>$</w:t>
            </w:r>
          </w:p>
        </w:tc>
        <w:tc>
          <w:tcPr>
            <w:tcW w:w="801" w:type="dxa"/>
            <w:tcBorders>
              <w:bottom w:val="double" w:sz="8" w:space="0" w:color="000000"/>
            </w:tcBorders>
            <w:tcMar>
              <w:bottom w:w="28" w:type="dxa"/>
            </w:tcMar>
            <w:vAlign w:val="bottom"/>
          </w:tcPr>
          <w:p>
            <w:pPr>
              <w:pStyle w:val="TableContents"/>
              <w:bidi w:val="0"/>
              <w:spacing w:before="0" w:after="0"/>
              <w:jc w:val="right"/>
              <w:rPr/>
            </w:pPr>
            <w:r>
              <w:rPr/>
              <w:t>(6,560</w:t>
            </w:r>
          </w:p>
        </w:tc>
        <w:tc>
          <w:tcPr>
            <w:tcW w:w="112" w:type="dxa"/>
            <w:tcBorders/>
            <w:vAlign w:val="bottom"/>
          </w:tcPr>
          <w:p>
            <w:pPr>
              <w:pStyle w:val="TableContents"/>
              <w:bidi w:val="0"/>
              <w:spacing w:before="0" w:after="0"/>
              <w:jc w:val="left"/>
              <w:rPr/>
            </w:pPr>
            <w:r>
              <w:rPr/>
              <w:t>)</w:t>
            </w:r>
          </w:p>
        </w:tc>
        <w:tc>
          <w:tcPr>
            <w:tcW w:w="70" w:type="dxa"/>
            <w:tcBorders/>
            <w:vAlign w:val="bottom"/>
          </w:tcPr>
          <w:p>
            <w:pPr>
              <w:pStyle w:val="TableContents"/>
              <w:bidi w:val="0"/>
              <w:spacing w:before="0" w:after="283"/>
              <w:jc w:val="left"/>
              <w:rPr/>
            </w:pPr>
            <w:r>
              <w:rPr/>
              <w:t> </w:t>
            </w:r>
          </w:p>
        </w:tc>
        <w:tc>
          <w:tcPr>
            <w:tcW w:w="165" w:type="dxa"/>
            <w:tcBorders>
              <w:bottom w:val="double" w:sz="8" w:space="0" w:color="000000"/>
            </w:tcBorders>
            <w:tcMar>
              <w:bottom w:w="28" w:type="dxa"/>
            </w:tcMar>
            <w:vAlign w:val="bottom"/>
          </w:tcPr>
          <w:p>
            <w:pPr>
              <w:pStyle w:val="TableContents"/>
              <w:bidi w:val="0"/>
              <w:spacing w:before="0" w:after="0"/>
              <w:jc w:val="left"/>
              <w:rPr/>
            </w:pPr>
            <w:r>
              <w:rPr/>
              <w:t>$</w:t>
            </w:r>
          </w:p>
        </w:tc>
        <w:tc>
          <w:tcPr>
            <w:tcW w:w="801" w:type="dxa"/>
            <w:tcBorders>
              <w:bottom w:val="double" w:sz="8" w:space="0" w:color="000000"/>
            </w:tcBorders>
            <w:tcMar>
              <w:bottom w:w="28" w:type="dxa"/>
            </w:tcMar>
            <w:vAlign w:val="bottom"/>
          </w:tcPr>
          <w:p>
            <w:pPr>
              <w:pStyle w:val="TableContents"/>
              <w:bidi w:val="0"/>
              <w:spacing w:before="0" w:after="0"/>
              <w:jc w:val="right"/>
              <w:rPr/>
            </w:pPr>
            <w:r>
              <w:rPr/>
              <w:t>(2,524</w:t>
            </w:r>
          </w:p>
        </w:tc>
        <w:tc>
          <w:tcPr>
            <w:tcW w:w="95"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tbl>
      <w:tblPr>
        <w:tblW w:w="7821" w:type="dxa"/>
        <w:jc w:val="left"/>
        <w:tblInd w:w="0" w:type="dxa"/>
        <w:tblLayout w:type="fixed"/>
        <w:tblCellMar>
          <w:top w:w="0" w:type="dxa"/>
          <w:left w:w="0" w:type="dxa"/>
          <w:bottom w:w="0" w:type="dxa"/>
          <w:right w:w="0" w:type="dxa"/>
        </w:tblCellMar>
      </w:tblPr>
      <w:tblGrid>
        <w:gridCol w:w="4700"/>
        <w:gridCol w:w="60"/>
        <w:gridCol w:w="163"/>
        <w:gridCol w:w="652"/>
        <w:gridCol w:w="101"/>
        <w:gridCol w:w="63"/>
        <w:gridCol w:w="149"/>
        <w:gridCol w:w="724"/>
        <w:gridCol w:w="101"/>
        <w:gridCol w:w="63"/>
        <w:gridCol w:w="162"/>
        <w:gridCol w:w="788"/>
        <w:gridCol w:w="95"/>
      </w:tblGrid>
      <w:tr>
        <w:trPr/>
        <w:tc>
          <w:tcPr>
            <w:tcW w:w="4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6"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w:t>
            </w:r>
          </w:p>
        </w:tc>
        <w:tc>
          <w:tcPr>
            <w:tcW w:w="95" w:type="dxa"/>
            <w:tcBorders/>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6"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 over 2022</w:t>
            </w:r>
          </w:p>
        </w:tc>
        <w:tc>
          <w:tcPr>
            <w:tcW w:w="95" w:type="dxa"/>
            <w:tcBorders/>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2"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Change due to:</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0"/>
              <w:jc w:val="center"/>
              <w:rPr>
                <w:b/>
                <w:color w:val="000000"/>
              </w:rPr>
            </w:pPr>
            <w:r>
              <w:rPr>
                <w:b/>
                <w:color w:val="000000"/>
              </w:rPr>
              <w:t>Total</w:t>
            </w:r>
          </w:p>
        </w:tc>
        <w:tc>
          <w:tcPr>
            <w:tcW w:w="95" w:type="dxa"/>
            <w:tcBorders/>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Volume</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7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Rate</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Variance</w:t>
            </w:r>
          </w:p>
        </w:tc>
        <w:tc>
          <w:tcPr>
            <w:tcW w:w="95" w:type="dxa"/>
            <w:tcBorders/>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6" w:type="dxa"/>
            <w:gridSpan w:val="10"/>
            <w:tcBorders/>
            <w:vAlign w:val="bottom"/>
          </w:tcPr>
          <w:p>
            <w:pPr>
              <w:pStyle w:val="TableContents"/>
              <w:bidi w:val="0"/>
              <w:spacing w:before="0" w:after="0"/>
              <w:jc w:val="center"/>
              <w:rPr>
                <w:b/>
                <w:color w:val="000000"/>
              </w:rPr>
            </w:pPr>
            <w:r>
              <w:rPr>
                <w:b/>
                <w:color w:val="000000"/>
              </w:rPr>
              <w:t>(Dollars in thousands)</w:t>
            </w:r>
          </w:p>
        </w:tc>
        <w:tc>
          <w:tcPr>
            <w:tcW w:w="95" w:type="dxa"/>
            <w:tcBorders/>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144" w:right="0" w:hanging="144"/>
              <w:jc w:val="left"/>
              <w:rPr>
                <w:b/>
                <w:color w:val="000000"/>
              </w:rPr>
            </w:pPr>
            <w:r>
              <w:rPr>
                <w:b/>
                <w:color w:val="000000"/>
              </w:rPr>
              <w:t>Interest-earning assets:</w:t>
            </w:r>
          </w:p>
        </w:tc>
        <w:tc>
          <w:tcPr>
            <w:tcW w:w="6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73" w:type="dxa"/>
            <w:gridSpan w:val="2"/>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324" w:right="0" w:hanging="144"/>
              <w:jc w:val="left"/>
              <w:rPr>
                <w:color w:val="000000"/>
              </w:rPr>
            </w:pPr>
            <w:r>
              <w:rPr>
                <w:color w:val="000000"/>
              </w:rPr>
              <w:t>Loan</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pPr>
            <w:r>
              <w:rPr/>
              <w:t>$</w:t>
            </w:r>
          </w:p>
        </w:tc>
        <w:tc>
          <w:tcPr>
            <w:tcW w:w="652" w:type="dxa"/>
            <w:tcBorders/>
            <w:shd w:fill="CCEEFF" w:val="clear"/>
            <w:vAlign w:val="bottom"/>
          </w:tcPr>
          <w:p>
            <w:pPr>
              <w:pStyle w:val="TableContents"/>
              <w:bidi w:val="0"/>
              <w:spacing w:before="0" w:after="0"/>
              <w:jc w:val="right"/>
              <w:rPr/>
            </w:pPr>
            <w:r>
              <w:rPr/>
              <w:t>8,256</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0"/>
              <w:jc w:val="left"/>
              <w:rPr/>
            </w:pPr>
            <w:r>
              <w:rPr/>
              <w:t>$</w:t>
            </w:r>
          </w:p>
        </w:tc>
        <w:tc>
          <w:tcPr>
            <w:tcW w:w="724" w:type="dxa"/>
            <w:tcBorders/>
            <w:shd w:fill="CCEEFF" w:val="clear"/>
            <w:vAlign w:val="bottom"/>
          </w:tcPr>
          <w:p>
            <w:pPr>
              <w:pStyle w:val="TableContents"/>
              <w:bidi w:val="0"/>
              <w:spacing w:before="0" w:after="0"/>
              <w:jc w:val="right"/>
              <w:rPr/>
            </w:pPr>
            <w:r>
              <w:rPr/>
              <w:t>9,419</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0"/>
              <w:jc w:val="left"/>
              <w:rPr/>
            </w:pPr>
            <w:r>
              <w:rPr/>
              <w:t>$</w:t>
            </w:r>
          </w:p>
        </w:tc>
        <w:tc>
          <w:tcPr>
            <w:tcW w:w="788" w:type="dxa"/>
            <w:tcBorders/>
            <w:shd w:fill="CCEEFF" w:val="clear"/>
            <w:vAlign w:val="bottom"/>
          </w:tcPr>
          <w:p>
            <w:pPr>
              <w:pStyle w:val="TableContents"/>
              <w:bidi w:val="0"/>
              <w:spacing w:before="0" w:after="0"/>
              <w:jc w:val="right"/>
              <w:rPr/>
            </w:pPr>
            <w:r>
              <w:rPr/>
              <w:t>17,675</w:t>
            </w:r>
          </w:p>
        </w:tc>
        <w:tc>
          <w:tcPr>
            <w:tcW w:w="95"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324" w:right="0" w:hanging="144"/>
              <w:jc w:val="left"/>
              <w:rPr>
                <w:color w:val="000000"/>
              </w:rPr>
            </w:pPr>
            <w:r>
              <w:rPr>
                <w:color w:val="000000"/>
              </w:rPr>
              <w:t>Investment securities – taxable</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0"/>
              <w:jc w:val="right"/>
              <w:rPr/>
            </w:pPr>
            <w:r>
              <w:rPr/>
              <w:t>15</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0"/>
              <w:jc w:val="right"/>
              <w:rPr/>
            </w:pPr>
            <w:r>
              <w:rPr/>
              <w:t>4,698</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pPr>
            <w:r>
              <w:rPr/>
              <w:t>4,713</w:t>
            </w:r>
          </w:p>
        </w:tc>
        <w:tc>
          <w:tcPr>
            <w:tcW w:w="95"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324" w:right="0" w:hanging="144"/>
              <w:jc w:val="left"/>
              <w:rPr>
                <w:color w:val="000000"/>
              </w:rPr>
            </w:pPr>
            <w:r>
              <w:rPr>
                <w:color w:val="000000"/>
              </w:rPr>
              <w:t>Investment securities – non-taxable</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0"/>
              <w:jc w:val="right"/>
              <w:rPr/>
            </w:pPr>
            <w:r>
              <w:rPr/>
              <w:t>(76</w:t>
            </w:r>
          </w:p>
        </w:tc>
        <w:tc>
          <w:tcPr>
            <w:tcW w:w="101" w:type="dxa"/>
            <w:tcBorders/>
            <w:shd w:fill="CCEEFF" w:val="clear"/>
            <w:vAlign w:val="bottom"/>
          </w:tcPr>
          <w:p>
            <w:pPr>
              <w:pStyle w:val="TableContents"/>
              <w:bidi w:val="0"/>
              <w:spacing w:before="0" w:after="0"/>
              <w:jc w:val="left"/>
              <w:rPr/>
            </w:pPr>
            <w:r>
              <w:rPr/>
              <w:t>)</w:t>
            </w:r>
          </w:p>
        </w:tc>
        <w:tc>
          <w:tcPr>
            <w:tcW w:w="6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0"/>
              <w:jc w:val="right"/>
              <w:rPr/>
            </w:pPr>
            <w:r>
              <w:rPr/>
              <w:t>4</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pPr>
            <w:r>
              <w:rPr/>
              <w:t>(72</w:t>
            </w:r>
          </w:p>
        </w:tc>
        <w:tc>
          <w:tcPr>
            <w:tcW w:w="95" w:type="dxa"/>
            <w:tcBorders/>
            <w:shd w:fill="CCEEFF" w:val="clear"/>
            <w:vAlign w:val="bottom"/>
          </w:tcPr>
          <w:p>
            <w:pPr>
              <w:pStyle w:val="TableContents"/>
              <w:bidi w:val="0"/>
              <w:spacing w:before="0" w:after="0"/>
              <w:jc w:val="left"/>
              <w:rPr/>
            </w:pPr>
            <w:r>
              <w:rPr/>
              <w:t>)</w:t>
            </w:r>
          </w:p>
        </w:tc>
      </w:tr>
      <w:tr>
        <w:trPr/>
        <w:tc>
          <w:tcPr>
            <w:tcW w:w="4700" w:type="dxa"/>
            <w:tcBorders/>
            <w:vAlign w:val="bottom"/>
          </w:tcPr>
          <w:p>
            <w:pPr>
              <w:pStyle w:val="TableContents"/>
              <w:bidi w:val="0"/>
              <w:spacing w:before="0" w:after="0"/>
              <w:ind w:left="324" w:right="0" w:hanging="144"/>
              <w:jc w:val="left"/>
              <w:rPr>
                <w:color w:val="000000"/>
              </w:rPr>
            </w:pPr>
            <w:r>
              <w:rPr>
                <w:color w:val="000000"/>
              </w:rPr>
              <w:t>Other interest-earning assets</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652" w:type="dxa"/>
            <w:tcBorders>
              <w:bottom w:val="single" w:sz="12" w:space="0" w:color="000000"/>
            </w:tcBorders>
            <w:tcMar>
              <w:bottom w:w="28" w:type="dxa"/>
            </w:tcMar>
            <w:vAlign w:val="bottom"/>
          </w:tcPr>
          <w:p>
            <w:pPr>
              <w:pStyle w:val="TableContents"/>
              <w:bidi w:val="0"/>
              <w:spacing w:before="0" w:after="0"/>
              <w:jc w:val="right"/>
              <w:rPr/>
            </w:pPr>
            <w:r>
              <w:rPr/>
              <w:t>(525</w:t>
            </w:r>
          </w:p>
        </w:tc>
        <w:tc>
          <w:tcPr>
            <w:tcW w:w="101" w:type="dxa"/>
            <w:tcBorders/>
            <w:vAlign w:val="bottom"/>
          </w:tcPr>
          <w:p>
            <w:pPr>
              <w:pStyle w:val="TableContents"/>
              <w:bidi w:val="0"/>
              <w:spacing w:before="0" w:after="0"/>
              <w:jc w:val="left"/>
              <w:rPr/>
            </w:pPr>
            <w:r>
              <w:rPr/>
              <w:t>)</w:t>
            </w:r>
          </w:p>
        </w:tc>
        <w:tc>
          <w:tcPr>
            <w:tcW w:w="63" w:type="dxa"/>
            <w:tcBorders/>
            <w:vAlign w:val="bottom"/>
          </w:tcPr>
          <w:p>
            <w:pPr>
              <w:pStyle w:val="TableContents"/>
              <w:bidi w:val="0"/>
              <w:spacing w:before="0" w:after="283"/>
              <w:jc w:val="lef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724" w:type="dxa"/>
            <w:tcBorders>
              <w:bottom w:val="single" w:sz="12" w:space="0" w:color="000000"/>
            </w:tcBorders>
            <w:tcMar>
              <w:bottom w:w="28" w:type="dxa"/>
            </w:tcMar>
            <w:vAlign w:val="bottom"/>
          </w:tcPr>
          <w:p>
            <w:pPr>
              <w:pStyle w:val="TableContents"/>
              <w:bidi w:val="0"/>
              <w:spacing w:before="0" w:after="0"/>
              <w:jc w:val="right"/>
              <w:rPr/>
            </w:pPr>
            <w:r>
              <w:rPr/>
              <w:t>2,642</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788" w:type="dxa"/>
            <w:tcBorders>
              <w:bottom w:val="single" w:sz="12" w:space="0" w:color="000000"/>
            </w:tcBorders>
            <w:tcMar>
              <w:bottom w:w="28" w:type="dxa"/>
            </w:tcMar>
            <w:vAlign w:val="bottom"/>
          </w:tcPr>
          <w:p>
            <w:pPr>
              <w:pStyle w:val="TableContents"/>
              <w:bidi w:val="0"/>
              <w:spacing w:before="0" w:after="0"/>
              <w:jc w:val="right"/>
              <w:rPr/>
            </w:pPr>
            <w:r>
              <w:rPr/>
              <w:t>2,117</w:t>
            </w:r>
          </w:p>
        </w:tc>
        <w:tc>
          <w:tcPr>
            <w:tcW w:w="95"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504" w:right="0" w:hanging="144"/>
              <w:jc w:val="left"/>
              <w:rPr>
                <w:color w:val="000000"/>
              </w:rPr>
            </w:pPr>
            <w:r>
              <w:rPr>
                <w:color w:val="000000"/>
              </w:rPr>
              <w:t>Total increase (decrease) in interest income</w:t>
            </w:r>
          </w:p>
        </w:tc>
        <w:tc>
          <w:tcPr>
            <w:tcW w:w="60" w:type="dxa"/>
            <w:tcBorders/>
            <w:shd w:fill="CCEEFF" w:val="clear"/>
            <w:vAlign w:val="bottom"/>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2" w:type="dxa"/>
            <w:tcBorders>
              <w:bottom w:val="single" w:sz="12" w:space="0" w:color="000000"/>
            </w:tcBorders>
            <w:shd w:fill="CCEEFF" w:val="clear"/>
            <w:tcMar>
              <w:bottom w:w="28" w:type="dxa"/>
            </w:tcMar>
            <w:vAlign w:val="bottom"/>
          </w:tcPr>
          <w:p>
            <w:pPr>
              <w:pStyle w:val="TableContents"/>
              <w:bidi w:val="0"/>
              <w:spacing w:before="0" w:after="0"/>
              <w:jc w:val="right"/>
              <w:rPr/>
            </w:pPr>
            <w:r>
              <w:rPr/>
              <w:t>7,670</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bottom"/>
          </w:tcPr>
          <w:p>
            <w:pPr>
              <w:pStyle w:val="TableContents"/>
              <w:bidi w:val="0"/>
              <w:spacing w:before="0" w:after="0"/>
              <w:jc w:val="right"/>
              <w:rPr/>
            </w:pPr>
            <w:r>
              <w:rPr/>
              <w:t>16,763</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bottom"/>
          </w:tcPr>
          <w:p>
            <w:pPr>
              <w:pStyle w:val="TableContents"/>
              <w:bidi w:val="0"/>
              <w:spacing w:before="0" w:after="0"/>
              <w:jc w:val="right"/>
              <w:rPr/>
            </w:pPr>
            <w:r>
              <w:rPr/>
              <w:t>24,433</w:t>
            </w:r>
          </w:p>
        </w:tc>
        <w:tc>
          <w:tcPr>
            <w:tcW w:w="95"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144" w:right="0" w:hanging="144"/>
              <w:jc w:val="left"/>
              <w:rPr>
                <w:b/>
                <w:color w:val="000000"/>
              </w:rPr>
            </w:pPr>
            <w:r>
              <w:rPr>
                <w:b/>
                <w:color w:val="000000"/>
              </w:rPr>
              <w:t>Interest-bearing liabilities:</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324" w:right="0" w:hanging="144"/>
              <w:jc w:val="left"/>
              <w:rPr>
                <w:color w:val="000000"/>
              </w:rPr>
            </w:pPr>
            <w:r>
              <w:rPr>
                <w:color w:val="000000"/>
              </w:rPr>
              <w:t>NOW, Savings, MMDAs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0"/>
              <w:jc w:val="right"/>
              <w:rPr/>
            </w:pPr>
            <w:r>
              <w:rPr/>
              <w:t>122</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0"/>
              <w:jc w:val="right"/>
              <w:rPr/>
            </w:pPr>
            <w:r>
              <w:rPr/>
              <w:t>20,078</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pPr>
            <w:r>
              <w:rPr/>
              <w:t>20,200</w:t>
            </w:r>
          </w:p>
        </w:tc>
        <w:tc>
          <w:tcPr>
            <w:tcW w:w="95"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324" w:right="0" w:hanging="144"/>
              <w:jc w:val="left"/>
              <w:rPr>
                <w:color w:val="000000"/>
              </w:rPr>
            </w:pPr>
            <w:r>
              <w:rPr>
                <w:color w:val="000000"/>
              </w:rPr>
              <w:t>Time deposits</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0"/>
              <w:jc w:val="right"/>
              <w:rPr/>
            </w:pPr>
            <w:r>
              <w:rPr/>
              <w:t>(261</w:t>
            </w:r>
          </w:p>
        </w:tc>
        <w:tc>
          <w:tcPr>
            <w:tcW w:w="101" w:type="dxa"/>
            <w:tcBorders/>
            <w:shd w:fill="CCEEFF" w:val="clear"/>
            <w:vAlign w:val="bottom"/>
          </w:tcPr>
          <w:p>
            <w:pPr>
              <w:pStyle w:val="TableContents"/>
              <w:bidi w:val="0"/>
              <w:spacing w:before="0" w:after="0"/>
              <w:jc w:val="left"/>
              <w:rPr/>
            </w:pPr>
            <w:r>
              <w:rPr/>
              <w:t>)</w:t>
            </w:r>
          </w:p>
        </w:tc>
        <w:tc>
          <w:tcPr>
            <w:tcW w:w="6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0"/>
              <w:jc w:val="right"/>
              <w:rPr/>
            </w:pPr>
            <w:r>
              <w:rPr/>
              <w:t>1,657</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pPr>
            <w:r>
              <w:rPr/>
              <w:t>1,396</w:t>
            </w:r>
          </w:p>
        </w:tc>
        <w:tc>
          <w:tcPr>
            <w:tcW w:w="95"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324" w:right="0" w:hanging="144"/>
              <w:jc w:val="left"/>
              <w:rPr>
                <w:color w:val="000000"/>
              </w:rPr>
            </w:pPr>
            <w:r>
              <w:rPr>
                <w:color w:val="000000"/>
              </w:rPr>
              <w:t>Short-term borrowings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0"/>
              <w:jc w:val="right"/>
              <w:rPr/>
            </w:pPr>
            <w:r>
              <w:rPr/>
              <w:t>—</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0"/>
              <w:jc w:val="right"/>
              <w:rPr/>
            </w:pPr>
            <w:r>
              <w:rPr/>
              <w:t>5</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pPr>
            <w:r>
              <w:rPr/>
              <w:t>5</w:t>
            </w:r>
          </w:p>
        </w:tc>
        <w:tc>
          <w:tcPr>
            <w:tcW w:w="95"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324" w:right="0" w:hanging="144"/>
              <w:jc w:val="left"/>
              <w:rPr>
                <w:color w:val="000000"/>
              </w:rPr>
            </w:pPr>
            <w:r>
              <w:rPr>
                <w:color w:val="000000"/>
              </w:rPr>
              <w:t>Notes payable &amp; other borrowings</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0"/>
              <w:jc w:val="right"/>
              <w:rPr/>
            </w:pPr>
            <w:r>
              <w:rPr/>
              <w:t>—</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0"/>
              <w:jc w:val="right"/>
              <w:rPr/>
            </w:pPr>
            <w:r>
              <w:rPr/>
              <w:t>—</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324" w:right="0" w:hanging="144"/>
              <w:jc w:val="left"/>
              <w:rPr>
                <w:color w:val="000000"/>
              </w:rPr>
            </w:pPr>
            <w:r>
              <w:rPr>
                <w:color w:val="000000"/>
              </w:rPr>
              <w:t>Subordinated debt securities</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652" w:type="dxa"/>
            <w:tcBorders/>
            <w:vAlign w:val="bottom"/>
          </w:tcPr>
          <w:p>
            <w:pPr>
              <w:pStyle w:val="TableContents"/>
              <w:bidi w:val="0"/>
              <w:spacing w:before="0" w:after="0"/>
              <w:jc w:val="right"/>
              <w:rPr/>
            </w:pPr>
            <w:r>
              <w:rPr/>
              <w:t>5</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0"/>
              <w:jc w:val="right"/>
              <w:rPr/>
            </w:pPr>
            <w:r>
              <w:rPr/>
              <w:t>(5</w:t>
            </w:r>
          </w:p>
        </w:tc>
        <w:tc>
          <w:tcPr>
            <w:tcW w:w="101" w:type="dxa"/>
            <w:tcBorders/>
            <w:vAlign w:val="bottom"/>
          </w:tcPr>
          <w:p>
            <w:pPr>
              <w:pStyle w:val="TableContents"/>
              <w:bidi w:val="0"/>
              <w:spacing w:before="0" w:after="0"/>
              <w:jc w:val="left"/>
              <w:rPr/>
            </w:pPr>
            <w:r>
              <w:rPr/>
              <w:t>)</w:t>
            </w:r>
          </w:p>
        </w:tc>
        <w:tc>
          <w:tcPr>
            <w:tcW w:w="63"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0"/>
              <w:ind w:left="324" w:right="0" w:hanging="144"/>
              <w:jc w:val="left"/>
              <w:rPr>
                <w:color w:val="000000"/>
              </w:rPr>
            </w:pPr>
            <w:r>
              <w:rPr>
                <w:color w:val="000000"/>
              </w:rPr>
              <w:t>Junior subordinated deferrable interest debentures</w:t>
            </w:r>
          </w:p>
        </w:tc>
        <w:tc>
          <w:tcPr>
            <w:tcW w:w="60" w:type="dxa"/>
            <w:tcBorders/>
            <w:shd w:fill="CCEEFF" w:val="clear"/>
            <w:vAlign w:val="bottom"/>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4" w:type="dxa"/>
            <w:tcBorders>
              <w:bottom w:val="single" w:sz="12" w:space="0" w:color="000000"/>
            </w:tcBorders>
            <w:shd w:fill="CCEEFF" w:val="clear"/>
            <w:tcMar>
              <w:bottom w:w="28" w:type="dxa"/>
            </w:tcMar>
            <w:vAlign w:val="bottom"/>
          </w:tcPr>
          <w:p>
            <w:pPr>
              <w:pStyle w:val="TableContents"/>
              <w:bidi w:val="0"/>
              <w:spacing w:before="0" w:after="0"/>
              <w:jc w:val="right"/>
              <w:rPr/>
            </w:pPr>
            <w:r>
              <w:rPr/>
              <w:t>992</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8" w:type="dxa"/>
            <w:tcBorders>
              <w:bottom w:val="single" w:sz="12" w:space="0" w:color="000000"/>
            </w:tcBorders>
            <w:shd w:fill="CCEEFF" w:val="clear"/>
            <w:tcMar>
              <w:bottom w:w="28" w:type="dxa"/>
            </w:tcMar>
            <w:vAlign w:val="bottom"/>
          </w:tcPr>
          <w:p>
            <w:pPr>
              <w:pStyle w:val="TableContents"/>
              <w:bidi w:val="0"/>
              <w:spacing w:before="0" w:after="0"/>
              <w:jc w:val="right"/>
              <w:rPr/>
            </w:pPr>
            <w:r>
              <w:rPr/>
              <w:t>992</w:t>
            </w:r>
          </w:p>
        </w:tc>
        <w:tc>
          <w:tcPr>
            <w:tcW w:w="95"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504" w:right="0" w:hanging="144"/>
              <w:jc w:val="left"/>
              <w:rPr>
                <w:color w:val="000000"/>
              </w:rPr>
            </w:pPr>
            <w:r>
              <w:rPr>
                <w:color w:val="000000"/>
              </w:rPr>
              <w:t>Total increase (decrease) interest expense:</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652" w:type="dxa"/>
            <w:tcBorders>
              <w:bottom w:val="single" w:sz="12" w:space="0" w:color="000000"/>
            </w:tcBorders>
            <w:tcMar>
              <w:bottom w:w="28" w:type="dxa"/>
            </w:tcMar>
            <w:vAlign w:val="bottom"/>
          </w:tcPr>
          <w:p>
            <w:pPr>
              <w:pStyle w:val="TableContents"/>
              <w:bidi w:val="0"/>
              <w:spacing w:before="0" w:after="0"/>
              <w:jc w:val="right"/>
              <w:rPr/>
            </w:pPr>
            <w:r>
              <w:rPr/>
              <w:t>(134</w:t>
            </w:r>
          </w:p>
        </w:tc>
        <w:tc>
          <w:tcPr>
            <w:tcW w:w="101" w:type="dxa"/>
            <w:tcBorders/>
            <w:vAlign w:val="bottom"/>
          </w:tcPr>
          <w:p>
            <w:pPr>
              <w:pStyle w:val="TableContents"/>
              <w:bidi w:val="0"/>
              <w:spacing w:before="0" w:after="0"/>
              <w:jc w:val="left"/>
              <w:rPr/>
            </w:pPr>
            <w:r>
              <w:rPr/>
              <w:t>)</w:t>
            </w:r>
          </w:p>
        </w:tc>
        <w:tc>
          <w:tcPr>
            <w:tcW w:w="63" w:type="dxa"/>
            <w:tcBorders/>
            <w:vAlign w:val="bottom"/>
          </w:tcPr>
          <w:p>
            <w:pPr>
              <w:pStyle w:val="TableContents"/>
              <w:bidi w:val="0"/>
              <w:spacing w:before="0" w:after="283"/>
              <w:jc w:val="lef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724" w:type="dxa"/>
            <w:tcBorders>
              <w:bottom w:val="single" w:sz="12" w:space="0" w:color="000000"/>
            </w:tcBorders>
            <w:tcMar>
              <w:bottom w:w="28" w:type="dxa"/>
            </w:tcMar>
            <w:vAlign w:val="bottom"/>
          </w:tcPr>
          <w:p>
            <w:pPr>
              <w:pStyle w:val="TableContents"/>
              <w:bidi w:val="0"/>
              <w:spacing w:before="0" w:after="0"/>
              <w:jc w:val="right"/>
              <w:rPr/>
            </w:pPr>
            <w:r>
              <w:rPr/>
              <w:t>22,727</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788" w:type="dxa"/>
            <w:tcBorders>
              <w:bottom w:val="single" w:sz="12" w:space="0" w:color="000000"/>
            </w:tcBorders>
            <w:tcMar>
              <w:bottom w:w="28" w:type="dxa"/>
            </w:tcMar>
            <w:vAlign w:val="bottom"/>
          </w:tcPr>
          <w:p>
            <w:pPr>
              <w:pStyle w:val="TableContents"/>
              <w:bidi w:val="0"/>
              <w:spacing w:before="0" w:after="0"/>
              <w:jc w:val="right"/>
              <w:rPr/>
            </w:pPr>
            <w:r>
              <w:rPr/>
              <w:t>22,593</w:t>
            </w:r>
          </w:p>
        </w:tc>
        <w:tc>
          <w:tcPr>
            <w:tcW w:w="95" w:type="dxa"/>
            <w:tcBorders/>
            <w:vAlign w:val="bottom"/>
          </w:tcPr>
          <w:p>
            <w:pPr>
              <w:pStyle w:val="TableContents"/>
              <w:bidi w:val="0"/>
              <w:spacing w:before="0" w:after="283"/>
              <w:jc w:val="left"/>
              <w:rPr/>
            </w:pPr>
            <w:r>
              <w:rPr/>
              <w:t> </w:t>
            </w:r>
          </w:p>
        </w:tc>
      </w:tr>
      <w:tr>
        <w:trPr/>
        <w:tc>
          <w:tcPr>
            <w:tcW w:w="470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652"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700" w:type="dxa"/>
            <w:tcBorders/>
            <w:vAlign w:val="bottom"/>
          </w:tcPr>
          <w:p>
            <w:pPr>
              <w:pStyle w:val="TableContents"/>
              <w:bidi w:val="0"/>
              <w:spacing w:before="0" w:after="0"/>
              <w:ind w:left="144" w:right="0" w:hanging="144"/>
              <w:jc w:val="left"/>
              <w:rPr>
                <w:color w:val="000000"/>
              </w:rPr>
            </w:pPr>
            <w:r>
              <w:rPr>
                <w:color w:val="000000"/>
              </w:rPr>
              <w:t>Increase (decrease) in net interest income</w:t>
            </w:r>
          </w:p>
        </w:tc>
        <w:tc>
          <w:tcPr>
            <w:tcW w:w="60" w:type="dxa"/>
            <w:tcBorders/>
            <w:vAlign w:val="bottom"/>
          </w:tcPr>
          <w:p>
            <w:pPr>
              <w:pStyle w:val="TableContents"/>
              <w:bidi w:val="0"/>
              <w:spacing w:before="0" w:after="283"/>
              <w:jc w:val="left"/>
              <w:rPr/>
            </w:pPr>
            <w:r>
              <w:rPr/>
              <w:t> </w:t>
            </w:r>
          </w:p>
        </w:tc>
        <w:tc>
          <w:tcPr>
            <w:tcW w:w="163" w:type="dxa"/>
            <w:tcBorders>
              <w:bottom w:val="double" w:sz="8" w:space="0" w:color="000000"/>
            </w:tcBorders>
            <w:tcMar>
              <w:bottom w:w="28" w:type="dxa"/>
            </w:tcMar>
            <w:vAlign w:val="bottom"/>
          </w:tcPr>
          <w:p>
            <w:pPr>
              <w:pStyle w:val="TableContents"/>
              <w:bidi w:val="0"/>
              <w:spacing w:before="0" w:after="0"/>
              <w:jc w:val="left"/>
              <w:rPr/>
            </w:pPr>
            <w:r>
              <w:rPr/>
              <w:t>$</w:t>
            </w:r>
          </w:p>
        </w:tc>
        <w:tc>
          <w:tcPr>
            <w:tcW w:w="652" w:type="dxa"/>
            <w:tcBorders>
              <w:bottom w:val="double" w:sz="8" w:space="0" w:color="000000"/>
            </w:tcBorders>
            <w:tcMar>
              <w:bottom w:w="28" w:type="dxa"/>
            </w:tcMar>
            <w:vAlign w:val="bottom"/>
          </w:tcPr>
          <w:p>
            <w:pPr>
              <w:pStyle w:val="TableContents"/>
              <w:bidi w:val="0"/>
              <w:spacing w:before="0" w:after="0"/>
              <w:jc w:val="right"/>
              <w:rPr/>
            </w:pPr>
            <w:r>
              <w:rPr/>
              <w:t>7,804</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9" w:type="dxa"/>
            <w:tcBorders>
              <w:bottom w:val="double" w:sz="8" w:space="0" w:color="000000"/>
            </w:tcBorders>
            <w:tcMar>
              <w:bottom w:w="28" w:type="dxa"/>
            </w:tcMar>
            <w:vAlign w:val="bottom"/>
          </w:tcPr>
          <w:p>
            <w:pPr>
              <w:pStyle w:val="TableContents"/>
              <w:bidi w:val="0"/>
              <w:spacing w:before="0" w:after="0"/>
              <w:jc w:val="left"/>
              <w:rPr/>
            </w:pPr>
            <w:r>
              <w:rPr/>
              <w:t>$</w:t>
            </w:r>
          </w:p>
        </w:tc>
        <w:tc>
          <w:tcPr>
            <w:tcW w:w="724" w:type="dxa"/>
            <w:tcBorders>
              <w:bottom w:val="double" w:sz="8" w:space="0" w:color="000000"/>
            </w:tcBorders>
            <w:tcMar>
              <w:bottom w:w="28" w:type="dxa"/>
            </w:tcMar>
            <w:vAlign w:val="bottom"/>
          </w:tcPr>
          <w:p>
            <w:pPr>
              <w:pStyle w:val="TableContents"/>
              <w:bidi w:val="0"/>
              <w:spacing w:before="0" w:after="0"/>
              <w:jc w:val="right"/>
              <w:rPr/>
            </w:pPr>
            <w:r>
              <w:rPr/>
              <w:t>(5,964</w:t>
            </w:r>
          </w:p>
        </w:tc>
        <w:tc>
          <w:tcPr>
            <w:tcW w:w="101" w:type="dxa"/>
            <w:tcBorders/>
            <w:vAlign w:val="bottom"/>
          </w:tcPr>
          <w:p>
            <w:pPr>
              <w:pStyle w:val="TableContents"/>
              <w:bidi w:val="0"/>
              <w:spacing w:before="0" w:after="0"/>
              <w:jc w:val="left"/>
              <w:rPr/>
            </w:pPr>
            <w:r>
              <w:rPr/>
              <w:t>)</w:t>
            </w:r>
          </w:p>
        </w:tc>
        <w:tc>
          <w:tcPr>
            <w:tcW w:w="63" w:type="dxa"/>
            <w:tcBorders/>
            <w:vAlign w:val="bottom"/>
          </w:tcPr>
          <w:p>
            <w:pPr>
              <w:pStyle w:val="TableContents"/>
              <w:bidi w:val="0"/>
              <w:spacing w:before="0" w:after="283"/>
              <w:jc w:val="left"/>
              <w:rPr/>
            </w:pPr>
            <w:r>
              <w:rPr/>
              <w:t> </w:t>
            </w:r>
          </w:p>
        </w:tc>
        <w:tc>
          <w:tcPr>
            <w:tcW w:w="162" w:type="dxa"/>
            <w:tcBorders>
              <w:bottom w:val="double" w:sz="8" w:space="0" w:color="000000"/>
            </w:tcBorders>
            <w:tcMar>
              <w:bottom w:w="28" w:type="dxa"/>
            </w:tcMar>
            <w:vAlign w:val="bottom"/>
          </w:tcPr>
          <w:p>
            <w:pPr>
              <w:pStyle w:val="TableContents"/>
              <w:bidi w:val="0"/>
              <w:spacing w:before="0" w:after="0"/>
              <w:jc w:val="left"/>
              <w:rPr/>
            </w:pPr>
            <w:r>
              <w:rPr/>
              <w:t>$</w:t>
            </w:r>
          </w:p>
        </w:tc>
        <w:tc>
          <w:tcPr>
            <w:tcW w:w="788" w:type="dxa"/>
            <w:tcBorders>
              <w:bottom w:val="double" w:sz="8" w:space="0" w:color="000000"/>
            </w:tcBorders>
            <w:tcMar>
              <w:bottom w:w="28" w:type="dxa"/>
            </w:tcMar>
            <w:vAlign w:val="bottom"/>
          </w:tcPr>
          <w:p>
            <w:pPr>
              <w:pStyle w:val="TableContents"/>
              <w:bidi w:val="0"/>
              <w:spacing w:before="0" w:after="0"/>
              <w:jc w:val="right"/>
              <w:rPr/>
            </w:pPr>
            <w:r>
              <w:rPr/>
              <w:t>1,840</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interest income for the three months ended June 30, 2023 was $34.6 million, compared to $37.1 million for the three months ended June 30, 2022, a decrease of $2.5 million, or 6.8%. The decrease in net interest income was primarily due to $4.4 million of interest income received related to four credits for the recovery of interest on previously charged-off credits, purchase discount principal recovery, and prepayment penalties during the second quarter of 2022. The decrease was partially offset by increased income on interest-earning assets, primarily loans and securities, net of increased funding costs on deposits, as market interest rates continued to rise during the period. This rise in rates is attributed to the Federal Open Market Committee (“FOMC”) of the Federal Reserve repeatedly raising their target benchmark interest rate since March 2022 in response to the ongoing inflationary environment in the United States. Average interest-earning assets increased $96.8 million, or 2.6%, to $3.83 billion for the three months ended June 30, 2023 compared to $3.73 billion for the three months ended June 30, 2022. The increase is primarily due to growth in average loans outstanding of $344.8 million, partially offset by a decrease in average interest-bearing cash balances of $179.9 million. The yield on average interest-earning assets, excluding the $4.4 million recoveries noted above, increased 141 basis points from 3.94% for the three months ended June 30, 2022 to 5.35% for the three months ended June 30, 2023. The increase in asset yield from the prior year is primarily a result of increased market interest rates and from deploying excess liquidity from lower yielding interest-earning cash to higher yielding loans. Average interest-bearing liabilities increased $120.8 million, or 5.1%, to $2.48 billion for the three months ended June 30, 2023 compared to $2.36 billion for the three months ended June 30, 2022. The increase is primarily growth in average interest-bearing deposits of $120.3 million due to increased focus on deposits and liquidity. The average cost of interest-bearing liabilities increased 201 basis points to 2.63% for the three months ended June 30, 2023 compared to 0.62% for the three months ended June 30, 2022. The increase is primarily a result of higher deposit funding costs as market interest rates have risen significantly since the start of the second quarter of 2022. These changes caused net interest margin to decline 37 basis points to 3.65% for the three months ended June 30, 2023 from 4.02% for the same three-month period in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interest income for the six months ended June 30, 2023 was $68.9 million, compared to $67.1 million for the six months ended June 30, 2022, an increase of $1.8 million, or 2.8%. The increase in net interest income was primarily due to increased income on interest-earning assets, primarily loans and securities, net of increased funding costs on deposits, as market interest rates continued to rise during the period, which is attributed to the FOMC repeatedly raising their target benchmark interest rate since March 2022. The increase was partially offset by the $4.4 million of interest income received related to four credits for the recovery of interest on previously charged-off credits, purchase discount principal recovery, and prepayment penalties during the second quarter of 2022. Average interest-earning assets increased $73.6 million or 2.0%, to $3.79 billion for the six months ended June 30, 2023 compared to $3.71 billion for the six months ended June 30, 2022. The increase is primarily due to growth in average loans outstanding of $320.5 million, partially offset by a decrease in average interest-bearing cash balances of $242.7 million. The yield on average interest-earning assets, excluding the $4.4 million recoveries noted above, increased 146 basis points from 3.81% for the six months ended June 30, 2022 to 5.27% for the six months ended June 30, 2023. The increase in asset yield from the prior year is a primarily a result of increased market interest rates and from deploying excess liquidity from lower yielding interest-earning cash to higher yielding loans. Average interest-bearing liabilities increased $58.3 million, or 2.5%, to $2.44 billion for the six months ended June 30, 2023 compared to $2.38 billion for the six months ended June 30, 2022. The increase is primarily growth in average interest-bearing deposits of $58.0 million due to increased focus on deposits and liquidity, given recent events in the banking industry. The average cost of interest-bearing liabilities increased 186 basis points to 2.43% for the six months ended June 30, 2023 compared to 0.57% for the six months ended June 30, 2022. The increase is primarily a result of higher deposit funding costs as market rates have risen significantly since the start of the second quarter of 2022. These changes caused net interest margin to increase 2 basis points to 3.70% for the six months ended June 30, 2023 from 3.68% for the same six-month period in 2022.</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Provision for Credit Losses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Credit risk is inherent in the business of making loans. We establish an allowance for credit losses (“ACL”) through charges to earnings, which are shown in the statements of comprehensive income (loss) as the provision for credit losses. Credit losses on loans are charged against the allowance when management believes the uncollectibility of a loan balance is confirmed. The provision for credit losses is determined by conducting a quarterly evaluation of the adequacy of our ACL and charging the shortfall or excess, if any, to the current quarter’s expense. This has the effect of creating variability in the amount and frequency of charges to our earnings. The provision for credit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recorded provision for credit losses of $3.7 million for the three months ended June 30, 2023, compared to no provision being recorded for the three months ended June 30, 2022. The provision during the second quarter of 2023 was largely attributable to growth of $190.4 million in loans held for investment and an increase of $1.3 million in specific reserves. The change in specific reserves was primarily related to a previously-classified relationship totaling $13.3 million that was placed on nonaccrual in May 2023. No provision for credit losses were recorded in the second quarter of 2022 based on improved credit metrics in the loan portfolio, specifically in the hotel segment, offset by the organic loan growth experienced during the period.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recorded a provision for credit losses for the six months ended June 30, 2023 of $4.7 million, compared to a negative provision of $2.1 million for the six months ended June 30, 2022. The provision during the six months ended June 30, 2023 was largely attributable to growth of $231.0 million in loans held for investment and the increase of $1.3 million in specific reserves noted above. The negative provision for credit losses in the same period of 2022 was based on improved credit metrics in the loan portfolio, specifically in the hotel segment, direct energy segment, and other Permian Basin-related credits during the period, as well as a decline in the amount of loans that were actively under a pandemic-related modification experienced during the period.</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Noninterest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table sets forth the major components of our noninterest income for the periods indicated:</w:t>
      </w:r>
    </w:p>
    <w:p>
      <w:pPr>
        <w:pStyle w:val="TextBody"/>
        <w:bidi w:val="0"/>
        <w:spacing w:before="0" w:after="0"/>
        <w:jc w:val="left"/>
        <w:rPr/>
      </w:pPr>
      <w:r>
        <w:rPr/>
      </w:r>
    </w:p>
    <w:tbl>
      <w:tblPr>
        <w:tblW w:w="10038" w:type="dxa"/>
        <w:jc w:val="left"/>
        <w:tblInd w:w="0" w:type="dxa"/>
        <w:tblLayout w:type="fixed"/>
        <w:tblCellMar>
          <w:top w:w="0" w:type="dxa"/>
          <w:left w:w="0" w:type="dxa"/>
          <w:bottom w:w="0" w:type="dxa"/>
          <w:right w:w="0" w:type="dxa"/>
        </w:tblCellMar>
      </w:tblPr>
      <w:tblGrid>
        <w:gridCol w:w="3800"/>
        <w:gridCol w:w="60"/>
        <w:gridCol w:w="140"/>
        <w:gridCol w:w="680"/>
        <w:gridCol w:w="60"/>
        <w:gridCol w:w="60"/>
        <w:gridCol w:w="140"/>
        <w:gridCol w:w="680"/>
        <w:gridCol w:w="60"/>
        <w:gridCol w:w="60"/>
        <w:gridCol w:w="184"/>
        <w:gridCol w:w="900"/>
        <w:gridCol w:w="95"/>
        <w:gridCol w:w="60"/>
        <w:gridCol w:w="140"/>
        <w:gridCol w:w="680"/>
        <w:gridCol w:w="60"/>
        <w:gridCol w:w="60"/>
        <w:gridCol w:w="140"/>
        <w:gridCol w:w="680"/>
        <w:gridCol w:w="60"/>
        <w:gridCol w:w="60"/>
        <w:gridCol w:w="168"/>
        <w:gridCol w:w="916"/>
        <w:gridCol w:w="95"/>
      </w:tblGrid>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4"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rPr>
            </w:pPr>
            <w:r>
              <w:rPr>
                <w:b/>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4"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rPr>
            </w:pPr>
            <w:r>
              <w:rPr>
                <w:b/>
              </w:rPr>
              <w:t>June 30,</w:t>
            </w:r>
          </w:p>
        </w:tc>
        <w:tc>
          <w:tcPr>
            <w:tcW w:w="95"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Increase</w:t>
            </w:r>
          </w:p>
          <w:p>
            <w:pPr>
              <w:pStyle w:val="TableContents"/>
              <w:bidi w:val="0"/>
              <w:spacing w:before="0" w:after="0"/>
              <w:jc w:val="center"/>
              <w:rPr>
                <w:b/>
                <w:color w:val="000000"/>
              </w:rPr>
            </w:pPr>
            <w:r>
              <w:rPr>
                <w:b/>
                <w:color w:val="000000"/>
              </w:rPr>
              <w:t>(Decrease)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Increase</w:t>
            </w:r>
          </w:p>
          <w:p>
            <w:pPr>
              <w:pStyle w:val="TableContents"/>
              <w:bidi w:val="0"/>
              <w:spacing w:before="0" w:after="0"/>
              <w:jc w:val="center"/>
              <w:rPr>
                <w:b/>
                <w:color w:val="000000"/>
              </w:rPr>
            </w:pPr>
            <w:r>
              <w:rPr>
                <w:b/>
                <w:color w:val="000000"/>
              </w:rPr>
              <w:t>(Decrease)</w:t>
            </w:r>
          </w:p>
        </w:tc>
        <w:tc>
          <w:tcPr>
            <w:tcW w:w="95"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3" w:type="dxa"/>
            <w:gridSpan w:val="22"/>
            <w:tcBorders/>
            <w:vAlign w:val="bottom"/>
          </w:tcPr>
          <w:p>
            <w:pPr>
              <w:pStyle w:val="TableContents"/>
              <w:bidi w:val="0"/>
              <w:spacing w:before="0" w:after="0"/>
              <w:jc w:val="center"/>
              <w:rPr>
                <w:b/>
                <w:color w:val="000000"/>
              </w:rPr>
            </w:pPr>
            <w:r>
              <w:rPr>
                <w:b/>
                <w:color w:val="000000"/>
              </w:rPr>
              <w:t>(Dollars in thousands)</w:t>
            </w:r>
          </w:p>
        </w:tc>
        <w:tc>
          <w:tcPr>
            <w:tcW w:w="95" w:type="dxa"/>
            <w:tcBorders/>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44" w:right="0" w:hanging="144"/>
              <w:jc w:val="left"/>
              <w:rPr>
                <w:b/>
                <w:color w:val="000000"/>
              </w:rPr>
            </w:pPr>
            <w:r>
              <w:rPr>
                <w:b/>
                <w:color w:val="000000"/>
              </w:rPr>
              <w:t>Noninterest income:</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0"/>
              <w:ind w:left="324" w:right="0" w:hanging="144"/>
              <w:jc w:val="left"/>
              <w:rPr>
                <w:color w:val="000000"/>
              </w:rPr>
            </w:pPr>
            <w:r>
              <w:rPr>
                <w:color w:val="000000"/>
              </w:rPr>
              <w:t>Service charges on deposit accounts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1,745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1,612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0"/>
              <w:jc w:val="left"/>
              <w:rPr/>
            </w:pPr>
            <w:r>
              <w:rPr/>
              <w:t>$</w:t>
            </w:r>
          </w:p>
        </w:tc>
        <w:tc>
          <w:tcPr>
            <w:tcW w:w="900" w:type="dxa"/>
            <w:tcBorders/>
            <w:shd w:fill="CCEEFF" w:val="clear"/>
            <w:vAlign w:val="bottom"/>
          </w:tcPr>
          <w:p>
            <w:pPr>
              <w:pStyle w:val="TableContents"/>
              <w:bidi w:val="0"/>
              <w:spacing w:before="0" w:after="0"/>
              <w:jc w:val="right"/>
              <w:rPr/>
            </w:pPr>
            <w:r>
              <w:rPr/>
              <w:t>133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3,446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3,385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0"/>
              <w:jc w:val="left"/>
              <w:rPr/>
            </w:pPr>
            <w:r>
              <w:rPr/>
              <w:t>$</w:t>
            </w:r>
          </w:p>
        </w:tc>
        <w:tc>
          <w:tcPr>
            <w:tcW w:w="916" w:type="dxa"/>
            <w:tcBorders/>
            <w:shd w:fill="CCEEFF" w:val="clear"/>
            <w:vAlign w:val="bottom"/>
          </w:tcPr>
          <w:p>
            <w:pPr>
              <w:pStyle w:val="TableContents"/>
              <w:bidi w:val="0"/>
              <w:spacing w:before="0" w:after="0"/>
              <w:jc w:val="right"/>
              <w:rPr/>
            </w:pPr>
            <w:r>
              <w:rPr/>
              <w:t>61</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324" w:right="0" w:hanging="144"/>
              <w:jc w:val="left"/>
              <w:rPr>
                <w:color w:val="000000"/>
              </w:rPr>
            </w:pPr>
            <w:r>
              <w:rPr>
                <w:color w:val="000000"/>
              </w:rPr>
              <w:t>Income from insurance activities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1,577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pPr>
            <w:r>
              <w:rPr/>
              <w:t>(1,540</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1,448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3,147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(1,699</w:t>
            </w:r>
          </w:p>
        </w:tc>
        <w:tc>
          <w:tcPr>
            <w:tcW w:w="95" w:type="dxa"/>
            <w:tcBorders/>
            <w:vAlign w:val="bottom"/>
          </w:tcPr>
          <w:p>
            <w:pPr>
              <w:pStyle w:val="TableContents"/>
              <w:bidi w:val="0"/>
              <w:spacing w:before="0" w:after="0"/>
              <w:jc w:val="left"/>
              <w:rPr/>
            </w:pPr>
            <w:r>
              <w:rPr/>
              <w:t>)</w:t>
            </w:r>
          </w:p>
        </w:tc>
      </w:tr>
      <w:tr>
        <w:trPr/>
        <w:tc>
          <w:tcPr>
            <w:tcW w:w="3800" w:type="dxa"/>
            <w:tcBorders/>
            <w:shd w:fill="CCEEFF" w:val="clear"/>
            <w:vAlign w:val="bottom"/>
          </w:tcPr>
          <w:p>
            <w:pPr>
              <w:pStyle w:val="TableContents"/>
              <w:bidi w:val="0"/>
              <w:spacing w:before="0" w:after="0"/>
              <w:ind w:left="324" w:right="0" w:hanging="144"/>
              <w:jc w:val="left"/>
              <w:rPr>
                <w:color w:val="000000"/>
              </w:rPr>
            </w:pPr>
            <w:r>
              <w:rPr>
                <w:color w:val="000000"/>
              </w:rPr>
              <w:t>Bank card services and interchange fees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4,043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3,478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pPr>
            <w:r>
              <w:rPr/>
              <w:t>565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6,999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6,700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299</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324" w:right="0" w:hanging="144"/>
              <w:jc w:val="left"/>
              <w:rPr>
                <w:color w:val="000000"/>
              </w:rPr>
            </w:pPr>
            <w:r>
              <w:rPr>
                <w:color w:val="000000"/>
              </w:rPr>
              <w:t>Mortgage banking activities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5,258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8,669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pPr>
            <w:r>
              <w:rPr/>
              <w:t>(3,411</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7,544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22,306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(14,762</w:t>
            </w:r>
          </w:p>
        </w:tc>
        <w:tc>
          <w:tcPr>
            <w:tcW w:w="95" w:type="dxa"/>
            <w:tcBorders/>
            <w:vAlign w:val="bottom"/>
          </w:tcPr>
          <w:p>
            <w:pPr>
              <w:pStyle w:val="TableContents"/>
              <w:bidi w:val="0"/>
              <w:spacing w:before="0" w:after="0"/>
              <w:jc w:val="left"/>
              <w:rPr/>
            </w:pPr>
            <w:r>
              <w:rPr/>
              <w:t>)</w:t>
            </w:r>
          </w:p>
        </w:tc>
      </w:tr>
      <w:tr>
        <w:trPr/>
        <w:tc>
          <w:tcPr>
            <w:tcW w:w="3800" w:type="dxa"/>
            <w:tcBorders/>
            <w:shd w:fill="CCEEFF" w:val="clear"/>
            <w:vAlign w:val="bottom"/>
          </w:tcPr>
          <w:p>
            <w:pPr>
              <w:pStyle w:val="TableContents"/>
              <w:bidi w:val="0"/>
              <w:spacing w:before="0" w:after="0"/>
              <w:ind w:left="324" w:right="0" w:hanging="144"/>
              <w:jc w:val="left"/>
              <w:rPr>
                <w:color w:val="000000"/>
              </w:rPr>
            </w:pPr>
            <w:r>
              <w:rPr>
                <w:color w:val="000000"/>
              </w:rPr>
              <w:t>Investment commissions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466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pPr>
            <w:r>
              <w:rPr/>
              <w:t>(46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809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1,012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(203</w:t>
            </w:r>
          </w:p>
        </w:tc>
        <w:tc>
          <w:tcPr>
            <w:tcW w:w="95" w:type="dxa"/>
            <w:tcBorders/>
            <w:shd w:fill="CCEEFF" w:val="clear"/>
            <w:vAlign w:val="bottom"/>
          </w:tcPr>
          <w:p>
            <w:pPr>
              <w:pStyle w:val="TableContents"/>
              <w:bidi w:val="0"/>
              <w:spacing w:before="0" w:after="0"/>
              <w:jc w:val="left"/>
              <w:rPr/>
            </w:pPr>
            <w:r>
              <w:rPr/>
              <w:t>)</w:t>
            </w:r>
          </w:p>
        </w:tc>
      </w:tr>
      <w:tr>
        <w:trPr/>
        <w:tc>
          <w:tcPr>
            <w:tcW w:w="3800" w:type="dxa"/>
            <w:tcBorders/>
            <w:vAlign w:val="bottom"/>
          </w:tcPr>
          <w:p>
            <w:pPr>
              <w:pStyle w:val="TableContents"/>
              <w:bidi w:val="0"/>
              <w:spacing w:before="0" w:after="0"/>
              <w:ind w:left="324" w:right="0" w:hanging="144"/>
              <w:jc w:val="left"/>
              <w:rPr>
                <w:color w:val="000000"/>
              </w:rPr>
            </w:pPr>
            <w:r>
              <w:rPr>
                <w:color w:val="000000"/>
              </w:rPr>
              <w:t>Fiduciary income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597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635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0"/>
              <w:jc w:val="right"/>
              <w:rPr/>
            </w:pPr>
            <w:r>
              <w:rPr/>
              <w:t>(38</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1,197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1,247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(50</w:t>
            </w:r>
          </w:p>
        </w:tc>
        <w:tc>
          <w:tcPr>
            <w:tcW w:w="95" w:type="dxa"/>
            <w:tcBorders/>
            <w:vAlign w:val="bottom"/>
          </w:tcPr>
          <w:p>
            <w:pPr>
              <w:pStyle w:val="TableContents"/>
              <w:bidi w:val="0"/>
              <w:spacing w:before="0" w:after="0"/>
              <w:jc w:val="left"/>
              <w:rPr/>
            </w:pPr>
            <w:r>
              <w:rPr/>
              <w:t>)</w:t>
            </w:r>
          </w:p>
        </w:tc>
      </w:tr>
      <w:tr>
        <w:trPr/>
        <w:tc>
          <w:tcPr>
            <w:tcW w:w="3800" w:type="dxa"/>
            <w:tcBorders/>
            <w:shd w:fill="CCEEFF" w:val="clear"/>
            <w:vAlign w:val="bottom"/>
          </w:tcPr>
          <w:p>
            <w:pPr>
              <w:pStyle w:val="TableContents"/>
              <w:bidi w:val="0"/>
              <w:spacing w:before="0" w:after="0"/>
              <w:ind w:left="324" w:right="0" w:hanging="144"/>
              <w:jc w:val="left"/>
              <w:rPr>
                <w:color w:val="000000"/>
              </w:rPr>
            </w:pPr>
            <w:r>
              <w:rPr>
                <w:color w:val="000000"/>
              </w:rPr>
              <w:t>Gain on sale of subsidiary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33,488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0"/>
              <w:jc w:val="right"/>
              <w:rPr/>
            </w:pPr>
            <w:r>
              <w:rPr/>
              <w:t>33,488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33,488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33,488</w:t>
            </w:r>
          </w:p>
        </w:tc>
        <w:tc>
          <w:tcPr>
            <w:tcW w:w="95"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lineRule="auto" w:line="240" w:before="0" w:after="0"/>
              <w:ind w:left="324" w:right="0" w:hanging="144"/>
              <w:jc w:val="left"/>
              <w:rPr>
                <w:color w:val="000000"/>
              </w:rPr>
            </w:pPr>
            <w:r>
              <w:rPr>
                <w:color w:val="000000"/>
              </w:rPr>
              <w:t>Other income and fees(1)</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1,524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2,398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0" w:type="dxa"/>
            <w:tcBorders>
              <w:bottom w:val="single" w:sz="12" w:space="0" w:color="000000"/>
            </w:tcBorders>
            <w:tcMar>
              <w:bottom w:w="28" w:type="dxa"/>
            </w:tcMar>
            <w:vAlign w:val="bottom"/>
          </w:tcPr>
          <w:p>
            <w:pPr>
              <w:pStyle w:val="TableContents"/>
              <w:bidi w:val="0"/>
              <w:spacing w:before="0" w:after="0"/>
              <w:jc w:val="right"/>
              <w:rPr/>
            </w:pPr>
            <w:r>
              <w:rPr/>
              <w:t>(874</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2,872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4,735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916" w:type="dxa"/>
            <w:tcBorders>
              <w:bottom w:val="single" w:sz="12" w:space="0" w:color="000000"/>
            </w:tcBorders>
            <w:tcMar>
              <w:bottom w:w="28" w:type="dxa"/>
            </w:tcMar>
            <w:vAlign w:val="bottom"/>
          </w:tcPr>
          <w:p>
            <w:pPr>
              <w:pStyle w:val="TableContents"/>
              <w:bidi w:val="0"/>
              <w:spacing w:before="0" w:after="0"/>
              <w:jc w:val="right"/>
              <w:rPr/>
            </w:pPr>
            <w:r>
              <w:rPr/>
              <w:t>(1,863</w:t>
            </w:r>
          </w:p>
        </w:tc>
        <w:tc>
          <w:tcPr>
            <w:tcW w:w="95" w:type="dxa"/>
            <w:tcBorders/>
            <w:vAlign w:val="bottom"/>
          </w:tcPr>
          <w:p>
            <w:pPr>
              <w:pStyle w:val="TableContents"/>
              <w:bidi w:val="0"/>
              <w:spacing w:before="0" w:after="0"/>
              <w:jc w:val="left"/>
              <w:rPr/>
            </w:pPr>
            <w:r>
              <w:rPr/>
              <w:t>)</w:t>
            </w:r>
          </w:p>
        </w:tc>
      </w:tr>
      <w:tr>
        <w:trPr/>
        <w:tc>
          <w:tcPr>
            <w:tcW w:w="3800" w:type="dxa"/>
            <w:tcBorders/>
            <w:shd w:fill="CCEEFF" w:val="clear"/>
            <w:vAlign w:val="bottom"/>
          </w:tcPr>
          <w:p>
            <w:pPr>
              <w:pStyle w:val="TableContents"/>
              <w:bidi w:val="0"/>
              <w:spacing w:before="0" w:after="0"/>
              <w:ind w:left="144" w:right="0" w:hanging="144"/>
              <w:jc w:val="left"/>
              <w:rPr>
                <w:color w:val="000000"/>
              </w:rPr>
            </w:pPr>
            <w:r>
              <w:rPr>
                <w:color w:val="000000"/>
              </w:rPr>
              <w:t>Total noninterest income</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47,112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18,835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0" w:type="dxa"/>
            <w:tcBorders>
              <w:bottom w:val="double" w:sz="8" w:space="0" w:color="000000"/>
            </w:tcBorders>
            <w:shd w:fill="CCEEFF" w:val="clear"/>
            <w:tcMar>
              <w:bottom w:w="28" w:type="dxa"/>
            </w:tcMar>
            <w:vAlign w:val="bottom"/>
          </w:tcPr>
          <w:p>
            <w:pPr>
              <w:pStyle w:val="TableContents"/>
              <w:bidi w:val="0"/>
              <w:spacing w:before="0" w:after="0"/>
              <w:jc w:val="right"/>
              <w:rPr/>
            </w:pPr>
            <w:r>
              <w:rPr/>
              <w:t>28,277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57,803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680" w:type="dxa"/>
            <w:tcBorders>
              <w:bottom w:val="double" w:sz="8" w:space="0" w:color="000000"/>
            </w:tcBorders>
            <w:shd w:fill="CCEEFF" w:val="clear"/>
            <w:tcMar>
              <w:bottom w:w="28" w:type="dxa"/>
            </w:tcMar>
            <w:vAlign w:val="bottom"/>
          </w:tcPr>
          <w:p>
            <w:pPr>
              <w:pStyle w:val="TableContents"/>
              <w:bidi w:val="0"/>
              <w:spacing w:before="0" w:after="0"/>
              <w:jc w:val="right"/>
              <w:rPr/>
            </w:pPr>
            <w:r>
              <w:rPr/>
              <w:t>42,532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8"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16" w:type="dxa"/>
            <w:tcBorders>
              <w:bottom w:val="double" w:sz="8" w:space="0" w:color="000000"/>
            </w:tcBorders>
            <w:shd w:fill="CCEEFF" w:val="clear"/>
            <w:tcMar>
              <w:bottom w:w="28" w:type="dxa"/>
            </w:tcMar>
            <w:vAlign w:val="bottom"/>
          </w:tcPr>
          <w:p>
            <w:pPr>
              <w:pStyle w:val="TableContents"/>
              <w:bidi w:val="0"/>
              <w:spacing w:before="0" w:after="0"/>
              <w:jc w:val="right"/>
              <w:rPr/>
            </w:pPr>
            <w:r>
              <w:rPr/>
              <w:t>15,271</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color w:val="000000"/>
              </w:rPr>
            </w:pPr>
            <w:r>
              <w:rPr>
                <w:color w:val="000000"/>
              </w:rPr>
              <w:t>(1)</w:t>
            </w:r>
          </w:p>
        </w:tc>
        <w:tc>
          <w:tcPr>
            <w:tcW w:w="9950" w:type="dxa"/>
            <w:tcBorders/>
            <w:vAlign w:val="center"/>
          </w:tcPr>
          <w:p>
            <w:pPr>
              <w:pStyle w:val="TableContents"/>
              <w:bidi w:val="0"/>
              <w:spacing w:before="0" w:after="0"/>
              <w:jc w:val="both"/>
              <w:rPr>
                <w:color w:val="000000"/>
              </w:rPr>
            </w:pPr>
            <w:r>
              <w:rPr>
                <w:color w:val="000000"/>
              </w:rPr>
              <w:t>Other income and fees includes income and fees associated with the increase in the cash surrender value of life insurance, safe deposit box rental, check printing, collections, wire transfer, Small Business Investment Company (“SBIC”) investments, and other miscellaneous services.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Noninterest income for the three months ended June 30, 2023 was $47.1 million, compared to $18.8 million for the three months ended June 30, 2022, an increase of $28.3 million, or 150.1%. Significant changes in the components of noninterest income are detailed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Gain on sale of subsidiary</w:t>
      </w:r>
      <w:r>
        <w:rPr>
          <w:rFonts w:ascii="Times New Roman" w:hAnsi="Times New Roman"/>
          <w:color w:val="000000"/>
          <w:sz w:val="20"/>
        </w:rPr>
        <w:t xml:space="preserve"> - A $33.5 million gain from the sale of Windmark was recorded in the second quarter of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Mortgage banking activities</w:t>
      </w:r>
      <w:r>
        <w:rPr>
          <w:rFonts w:ascii="Times New Roman" w:hAnsi="Times New Roman"/>
          <w:color w:val="000000"/>
          <w:sz w:val="20"/>
        </w:rPr>
        <w:t xml:space="preserve"> - Income from mortgage banking activities decreased $3.4 million, or 39.3%, to $5.3 million for the three months ended June 30, 2023 from $8.7 million for the three months ended June 30,</w:t>
      </w:r>
      <w:r>
        <w:rPr>
          <w:rFonts w:ascii="Times New Roman" w:hAnsi="Times New Roman"/>
          <w:color w:val="FFFFFF"/>
          <w:sz w:val="20"/>
        </w:rPr>
        <w:t> </w:t>
      </w:r>
      <w:r>
        <w:rPr>
          <w:rFonts w:ascii="Times New Roman" w:hAnsi="Times New Roman"/>
          <w:color w:val="000000"/>
          <w:sz w:val="20"/>
        </w:rPr>
        <w:t>2022. This decrease was mainly the result of mortgage loan originations declining $74.5 million, or 36.0%, in the current year period as compared to the prior year period as mortgage interest rates have risen and refinance activity, which was still occurring in the second quarter of 2022, has subsided.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Income from insurance activities</w:t>
      </w:r>
      <w:r>
        <w:rPr>
          <w:rFonts w:ascii="Times New Roman" w:hAnsi="Times New Roman"/>
          <w:color w:val="000000"/>
          <w:sz w:val="20"/>
        </w:rPr>
        <w:t xml:space="preserve"> - Due to the sale of Windmark, there was a decline of $1.5 million in income from insurance activities for the three months ended June 30, 2023 as compared to the same period in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Other income and fees</w:t>
      </w:r>
      <w:r>
        <w:rPr>
          <w:rFonts w:ascii="Times New Roman" w:hAnsi="Times New Roman"/>
          <w:color w:val="000000"/>
          <w:sz w:val="20"/>
        </w:rPr>
        <w:t xml:space="preserve"> - Other noninterest income and fees were increased for the three months ended June 30, 2022 from earnings on an SBIC investment of $940 thousand.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Noninterest income for the six months ended June 30, 2023 was $57.8 million, compared to $42.5 million for the six months ended June 30, 2022, an increase of $15.3 million, or 35.9%. Significant changes in the components of noninterest income are detailed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Gain on sale of subsidiary</w:t>
      </w:r>
      <w:r>
        <w:rPr>
          <w:rFonts w:ascii="Times New Roman" w:hAnsi="Times New Roman"/>
          <w:color w:val="000000"/>
          <w:sz w:val="20"/>
        </w:rPr>
        <w:t xml:space="preserve"> - A $33.5 million gain from the sale of Windmark was recorded in the second quarter of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Mortgage banking activities</w:t>
      </w:r>
      <w:r>
        <w:rPr>
          <w:rFonts w:ascii="Times New Roman" w:hAnsi="Times New Roman"/>
          <w:color w:val="000000"/>
          <w:sz w:val="20"/>
        </w:rPr>
        <w:t xml:space="preserve"> - Income from mortgage banking activities decreased $14.8 million, or 66.2%, to $7.5 million for the six months ended June 30, 2023 from $22.3 million for the six months ended June 30, 2022. This decrease was primarily a result of a decrease of $223.0 million, or 50.4%, in mortgage loan originations in the current year period as compared to the prior year period as mortgage interest rates have risen and refinance activity, which was still occurring in the first and second quarters of 2022, has subsided. There was also a $1.6 million decrease in the fair value of the Company’s mortgage servicing rights portfolio for the six months ended June 30, 2023 as compared to a $5.6 million increase for the same period in 2022, given the increase in market interest rates during the period.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Income from insurance activities</w:t>
      </w:r>
      <w:r>
        <w:rPr>
          <w:rFonts w:ascii="Times New Roman" w:hAnsi="Times New Roman"/>
          <w:color w:val="000000"/>
          <w:sz w:val="20"/>
        </w:rPr>
        <w:t xml:space="preserve"> - Due to the sale of Windmark, there was a decline of $1.7 million in income from insurance activities for the six months ended June 30, 2023 as compared to the same period in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Other income and fees</w:t>
      </w:r>
      <w:r>
        <w:rPr>
          <w:rFonts w:ascii="Times New Roman" w:hAnsi="Times New Roman"/>
          <w:color w:val="000000"/>
          <w:sz w:val="20"/>
        </w:rPr>
        <w:t xml:space="preserve"> - Other noninterest income and fees were increased in the six months ended June 30, 2022 from earnings on SBIC investments of $1.8 million.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Noninterest Expense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table sets forth the major components of our noninterest expense for the periods indicated:</w:t>
      </w:r>
    </w:p>
    <w:p>
      <w:pPr>
        <w:pStyle w:val="TextBody"/>
        <w:bidi w:val="0"/>
        <w:spacing w:before="0" w:after="0"/>
        <w:jc w:val="left"/>
        <w:rPr/>
      </w:pPr>
      <w:r>
        <w:rPr/>
      </w:r>
    </w:p>
    <w:tbl>
      <w:tblPr>
        <w:tblW w:w="9169" w:type="dxa"/>
        <w:jc w:val="left"/>
        <w:tblInd w:w="0" w:type="dxa"/>
        <w:tblLayout w:type="fixed"/>
        <w:tblCellMar>
          <w:top w:w="0" w:type="dxa"/>
          <w:left w:w="0" w:type="dxa"/>
          <w:bottom w:w="0" w:type="dxa"/>
          <w:right w:w="0" w:type="dxa"/>
        </w:tblCellMar>
      </w:tblPr>
      <w:tblGrid>
        <w:gridCol w:w="2930"/>
        <w:gridCol w:w="60"/>
        <w:gridCol w:w="140"/>
        <w:gridCol w:w="680"/>
        <w:gridCol w:w="60"/>
        <w:gridCol w:w="60"/>
        <w:gridCol w:w="140"/>
        <w:gridCol w:w="680"/>
        <w:gridCol w:w="60"/>
        <w:gridCol w:w="60"/>
        <w:gridCol w:w="217"/>
        <w:gridCol w:w="868"/>
        <w:gridCol w:w="95"/>
        <w:gridCol w:w="60"/>
        <w:gridCol w:w="140"/>
        <w:gridCol w:w="680"/>
        <w:gridCol w:w="60"/>
        <w:gridCol w:w="60"/>
        <w:gridCol w:w="140"/>
        <w:gridCol w:w="680"/>
        <w:gridCol w:w="60"/>
        <w:gridCol w:w="60"/>
        <w:gridCol w:w="195"/>
        <w:gridCol w:w="889"/>
        <w:gridCol w:w="95"/>
      </w:tblGrid>
      <w:tr>
        <w:trPr/>
        <w:tc>
          <w:tcPr>
            <w:tcW w:w="29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5"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rPr>
            </w:pPr>
            <w:r>
              <w:rPr>
                <w:b/>
              </w:rPr>
              <w:t>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64" w:type="dxa"/>
            <w:gridSpan w:val="1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rPr>
            </w:pPr>
            <w:r>
              <w:rPr>
                <w:b/>
              </w:rPr>
              <w:t>June 30,</w:t>
            </w:r>
          </w:p>
        </w:tc>
        <w:tc>
          <w:tcPr>
            <w:tcW w:w="95" w:type="dxa"/>
            <w:tcBorders/>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Increase</w:t>
            </w:r>
          </w:p>
          <w:p>
            <w:pPr>
              <w:pStyle w:val="TableContents"/>
              <w:bidi w:val="0"/>
              <w:spacing w:before="0" w:after="0"/>
              <w:jc w:val="center"/>
              <w:rPr>
                <w:b/>
                <w:color w:val="000000"/>
              </w:rPr>
            </w:pPr>
            <w:r>
              <w:rPr>
                <w:b/>
                <w:color w:val="000000"/>
              </w:rPr>
              <w:t>(Decrease)</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Increase</w:t>
            </w:r>
          </w:p>
          <w:p>
            <w:pPr>
              <w:pStyle w:val="TableContents"/>
              <w:bidi w:val="0"/>
              <w:spacing w:before="0" w:after="0"/>
              <w:jc w:val="center"/>
              <w:rPr>
                <w:b/>
                <w:color w:val="000000"/>
              </w:rPr>
            </w:pPr>
            <w:r>
              <w:rPr>
                <w:b/>
                <w:color w:val="000000"/>
              </w:rPr>
              <w:t>(Decrease)</w:t>
            </w:r>
          </w:p>
        </w:tc>
        <w:tc>
          <w:tcPr>
            <w:tcW w:w="95" w:type="dxa"/>
            <w:tcBorders/>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4" w:type="dxa"/>
            <w:gridSpan w:val="22"/>
            <w:tcBorders/>
            <w:vAlign w:val="bottom"/>
          </w:tcPr>
          <w:p>
            <w:pPr>
              <w:pStyle w:val="TableContents"/>
              <w:bidi w:val="0"/>
              <w:spacing w:before="0" w:after="0"/>
              <w:jc w:val="center"/>
              <w:rPr>
                <w:b/>
                <w:color w:val="000000"/>
              </w:rPr>
            </w:pPr>
            <w:r>
              <w:rPr>
                <w:b/>
                <w:color w:val="000000"/>
              </w:rPr>
              <w:t>(Dollars in thousands)</w:t>
            </w:r>
          </w:p>
        </w:tc>
        <w:tc>
          <w:tcPr>
            <w:tcW w:w="95" w:type="dxa"/>
            <w:tcBorders/>
            <w:vAlign w:val="bottom"/>
          </w:tcPr>
          <w:p>
            <w:pPr>
              <w:pStyle w:val="TableContents"/>
              <w:bidi w:val="0"/>
              <w:spacing w:before="0" w:after="283"/>
              <w:jc w:val="left"/>
              <w:rPr/>
            </w:pPr>
            <w:r>
              <w:rPr/>
              <w:t> </w:t>
            </w:r>
          </w:p>
        </w:tc>
      </w:tr>
      <w:tr>
        <w:trPr/>
        <w:tc>
          <w:tcPr>
            <w:tcW w:w="2930" w:type="dxa"/>
            <w:tcBorders/>
            <w:vAlign w:val="bottom"/>
          </w:tcPr>
          <w:p>
            <w:pPr>
              <w:pStyle w:val="TableContents"/>
              <w:bidi w:val="0"/>
              <w:spacing w:before="0" w:after="0"/>
              <w:ind w:left="144" w:right="0" w:hanging="144"/>
              <w:jc w:val="left"/>
              <w:rPr>
                <w:b/>
                <w:color w:val="000000"/>
              </w:rPr>
            </w:pPr>
            <w:r>
              <w:rPr>
                <w:b/>
                <w:color w:val="000000"/>
              </w:rPr>
              <w:t>Noninterest expense:</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ind w:left="324" w:right="0" w:hanging="144"/>
              <w:jc w:val="left"/>
              <w:rPr>
                <w:color w:val="000000"/>
              </w:rPr>
            </w:pPr>
            <w:r>
              <w:rPr>
                <w:color w:val="000000"/>
              </w:rPr>
              <w:t>Salaries and employee benefits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23,437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21,990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0"/>
              <w:jc w:val="left"/>
              <w:rPr/>
            </w:pPr>
            <w:r>
              <w:rPr/>
              <w:t>$</w:t>
            </w:r>
          </w:p>
        </w:tc>
        <w:tc>
          <w:tcPr>
            <w:tcW w:w="868" w:type="dxa"/>
            <w:tcBorders/>
            <w:shd w:fill="CCEEFF" w:val="clear"/>
            <w:vAlign w:val="bottom"/>
          </w:tcPr>
          <w:p>
            <w:pPr>
              <w:pStyle w:val="TableContents"/>
              <w:bidi w:val="0"/>
              <w:spacing w:before="0" w:after="0"/>
              <w:jc w:val="right"/>
              <w:rPr/>
            </w:pPr>
            <w:r>
              <w:rPr/>
              <w:t>1,447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42,691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44,693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pPr>
            <w:r>
              <w:rPr/>
              <w:t>$</w:t>
            </w:r>
          </w:p>
        </w:tc>
        <w:tc>
          <w:tcPr>
            <w:tcW w:w="889" w:type="dxa"/>
            <w:tcBorders/>
            <w:shd w:fill="CCEEFF" w:val="clear"/>
            <w:vAlign w:val="bottom"/>
          </w:tcPr>
          <w:p>
            <w:pPr>
              <w:pStyle w:val="TableContents"/>
              <w:bidi w:val="0"/>
              <w:spacing w:before="0" w:after="0"/>
              <w:jc w:val="right"/>
              <w:rPr/>
            </w:pPr>
            <w:r>
              <w:rPr/>
              <w:t>(2,002</w:t>
            </w:r>
          </w:p>
        </w:tc>
        <w:tc>
          <w:tcPr>
            <w:tcW w:w="95" w:type="dxa"/>
            <w:tcBorders/>
            <w:shd w:fill="CCEEFF" w:val="clear"/>
            <w:vAlign w:val="bottom"/>
          </w:tcPr>
          <w:p>
            <w:pPr>
              <w:pStyle w:val="TableContents"/>
              <w:bidi w:val="0"/>
              <w:spacing w:before="0" w:after="0"/>
              <w:jc w:val="left"/>
              <w:rPr/>
            </w:pPr>
            <w:r>
              <w:rPr/>
              <w:t>)</w:t>
            </w:r>
          </w:p>
        </w:tc>
      </w:tr>
      <w:tr>
        <w:trPr/>
        <w:tc>
          <w:tcPr>
            <w:tcW w:w="2930" w:type="dxa"/>
            <w:tcBorders/>
            <w:vAlign w:val="bottom"/>
          </w:tcPr>
          <w:p>
            <w:pPr>
              <w:pStyle w:val="TableContents"/>
              <w:bidi w:val="0"/>
              <w:spacing w:before="0" w:after="0"/>
              <w:ind w:left="324" w:right="0" w:hanging="144"/>
              <w:jc w:val="left"/>
              <w:rPr>
                <w:color w:val="000000"/>
              </w:rPr>
            </w:pPr>
            <w:r>
              <w:rPr>
                <w:color w:val="000000"/>
              </w:rPr>
              <w:t>Occupancy expense,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4,303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4,033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pPr>
            <w:r>
              <w:rPr/>
              <w:t>270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8,135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7,770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365</w:t>
            </w:r>
          </w:p>
        </w:tc>
        <w:tc>
          <w:tcPr>
            <w:tcW w:w="95"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ind w:left="324" w:right="0" w:hanging="144"/>
              <w:jc w:val="left"/>
              <w:rPr>
                <w:color w:val="000000"/>
              </w:rPr>
            </w:pPr>
            <w:r>
              <w:rPr>
                <w:color w:val="000000"/>
              </w:rPr>
              <w:t>Professional services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1,716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2,647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pPr>
            <w:r>
              <w:rPr/>
              <w:t>(931</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3,364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5,272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(1,908</w:t>
            </w:r>
          </w:p>
        </w:tc>
        <w:tc>
          <w:tcPr>
            <w:tcW w:w="95" w:type="dxa"/>
            <w:tcBorders/>
            <w:shd w:fill="CCEEFF" w:val="clear"/>
            <w:vAlign w:val="bottom"/>
          </w:tcPr>
          <w:p>
            <w:pPr>
              <w:pStyle w:val="TableContents"/>
              <w:bidi w:val="0"/>
              <w:spacing w:before="0" w:after="0"/>
              <w:jc w:val="left"/>
              <w:rPr/>
            </w:pPr>
            <w:r>
              <w:rPr/>
              <w:t>)</w:t>
            </w:r>
          </w:p>
        </w:tc>
      </w:tr>
      <w:tr>
        <w:trPr/>
        <w:tc>
          <w:tcPr>
            <w:tcW w:w="2930" w:type="dxa"/>
            <w:tcBorders/>
            <w:vAlign w:val="bottom"/>
          </w:tcPr>
          <w:p>
            <w:pPr>
              <w:pStyle w:val="TableContents"/>
              <w:bidi w:val="0"/>
              <w:spacing w:before="0" w:after="0"/>
              <w:ind w:left="324" w:right="0" w:hanging="144"/>
              <w:jc w:val="left"/>
              <w:rPr>
                <w:color w:val="000000"/>
              </w:rPr>
            </w:pPr>
            <w:r>
              <w:rPr>
                <w:color w:val="000000"/>
              </w:rPr>
              <w:t>Marketing and development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784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758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pPr>
            <w:r>
              <w:rPr/>
              <w:t>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1,720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1,478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242</w:t>
            </w:r>
          </w:p>
        </w:tc>
        <w:tc>
          <w:tcPr>
            <w:tcW w:w="95"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ind w:left="324" w:right="0" w:hanging="144"/>
              <w:jc w:val="left"/>
              <w:rPr>
                <w:color w:val="000000"/>
              </w:rPr>
            </w:pPr>
            <w:r>
              <w:rPr>
                <w:color w:val="000000"/>
              </w:rPr>
              <w:t>IT and data services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888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941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pPr>
            <w:r>
              <w:rPr/>
              <w:t>(53</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1,752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1,994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(242</w:t>
            </w:r>
          </w:p>
        </w:tc>
        <w:tc>
          <w:tcPr>
            <w:tcW w:w="95" w:type="dxa"/>
            <w:tcBorders/>
            <w:shd w:fill="CCEEFF" w:val="clear"/>
            <w:vAlign w:val="bottom"/>
          </w:tcPr>
          <w:p>
            <w:pPr>
              <w:pStyle w:val="TableContents"/>
              <w:bidi w:val="0"/>
              <w:spacing w:before="0" w:after="0"/>
              <w:jc w:val="left"/>
              <w:rPr/>
            </w:pPr>
            <w:r>
              <w:rPr/>
              <w:t>)</w:t>
            </w:r>
          </w:p>
        </w:tc>
      </w:tr>
      <w:tr>
        <w:trPr/>
        <w:tc>
          <w:tcPr>
            <w:tcW w:w="2930" w:type="dxa"/>
            <w:tcBorders/>
            <w:vAlign w:val="bottom"/>
          </w:tcPr>
          <w:p>
            <w:pPr>
              <w:pStyle w:val="TableContents"/>
              <w:bidi w:val="0"/>
              <w:spacing w:before="0" w:after="0"/>
              <w:ind w:left="324" w:right="0" w:hanging="144"/>
              <w:jc w:val="left"/>
              <w:rPr>
                <w:color w:val="000000"/>
              </w:rPr>
            </w:pPr>
            <w:r>
              <w:rPr>
                <w:color w:val="000000"/>
              </w:rPr>
              <w:t>Bankcard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1,316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1,328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pPr>
            <w:r>
              <w:rPr/>
              <w:t>(12</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2,668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2,651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17</w:t>
            </w:r>
          </w:p>
        </w:tc>
        <w:tc>
          <w:tcPr>
            <w:tcW w:w="95"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before="0" w:after="0"/>
              <w:ind w:left="324" w:right="0" w:hanging="144"/>
              <w:jc w:val="left"/>
              <w:rPr>
                <w:color w:val="000000"/>
              </w:rPr>
            </w:pPr>
            <w:r>
              <w:rPr>
                <w:color w:val="000000"/>
              </w:rPr>
              <w:t>Appraisal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301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508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0"/>
              <w:jc w:val="right"/>
              <w:rPr/>
            </w:pPr>
            <w:r>
              <w:rPr/>
              <w:t>(207</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579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1,073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89" w:type="dxa"/>
            <w:tcBorders/>
            <w:shd w:fill="CCEEFF" w:val="clear"/>
            <w:vAlign w:val="bottom"/>
          </w:tcPr>
          <w:p>
            <w:pPr>
              <w:pStyle w:val="TableContents"/>
              <w:bidi w:val="0"/>
              <w:spacing w:before="0" w:after="0"/>
              <w:jc w:val="right"/>
              <w:rPr/>
            </w:pPr>
            <w:r>
              <w:rPr/>
              <w:t>(494</w:t>
            </w:r>
          </w:p>
        </w:tc>
        <w:tc>
          <w:tcPr>
            <w:tcW w:w="95" w:type="dxa"/>
            <w:tcBorders/>
            <w:shd w:fill="CCEEFF" w:val="clear"/>
            <w:vAlign w:val="bottom"/>
          </w:tcPr>
          <w:p>
            <w:pPr>
              <w:pStyle w:val="TableContents"/>
              <w:bidi w:val="0"/>
              <w:spacing w:before="0" w:after="0"/>
              <w:jc w:val="left"/>
              <w:rPr/>
            </w:pPr>
            <w:r>
              <w:rPr/>
              <w:t>)</w:t>
            </w:r>
          </w:p>
        </w:tc>
      </w:tr>
      <w:tr>
        <w:trPr/>
        <w:tc>
          <w:tcPr>
            <w:tcW w:w="2930" w:type="dxa"/>
            <w:tcBorders/>
            <w:vAlign w:val="bottom"/>
          </w:tcPr>
          <w:p>
            <w:pPr>
              <w:pStyle w:val="TableContents"/>
              <w:bidi w:val="0"/>
              <w:spacing w:before="0" w:after="0"/>
              <w:ind w:left="324" w:right="0" w:hanging="144"/>
              <w:jc w:val="left"/>
              <w:rPr>
                <w:color w:val="000000"/>
              </w:rPr>
            </w:pPr>
            <w:r>
              <w:rPr>
                <w:color w:val="000000"/>
              </w:rPr>
              <w:t>Loss on sale of securities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3,409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0"/>
              <w:jc w:val="right"/>
              <w:rPr/>
            </w:pPr>
            <w:r>
              <w:rPr/>
              <w:t>3,409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3,409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89" w:type="dxa"/>
            <w:tcBorders/>
            <w:vAlign w:val="bottom"/>
          </w:tcPr>
          <w:p>
            <w:pPr>
              <w:pStyle w:val="TableContents"/>
              <w:bidi w:val="0"/>
              <w:spacing w:before="0" w:after="0"/>
              <w:jc w:val="right"/>
              <w:rPr/>
            </w:pPr>
            <w:r>
              <w:rPr/>
              <w:t>3,409</w:t>
            </w:r>
          </w:p>
        </w:tc>
        <w:tc>
          <w:tcPr>
            <w:tcW w:w="95" w:type="dxa"/>
            <w:tcBorders/>
            <w:vAlign w:val="bottom"/>
          </w:tcPr>
          <w:p>
            <w:pPr>
              <w:pStyle w:val="TableContents"/>
              <w:bidi w:val="0"/>
              <w:spacing w:before="0" w:after="283"/>
              <w:jc w:val="left"/>
              <w:rPr/>
            </w:pPr>
            <w:r>
              <w:rPr/>
              <w:t> </w:t>
            </w:r>
          </w:p>
        </w:tc>
      </w:tr>
      <w:tr>
        <w:trPr/>
        <w:tc>
          <w:tcPr>
            <w:tcW w:w="2930" w:type="dxa"/>
            <w:tcBorders/>
            <w:shd w:fill="CCEEFF" w:val="clear"/>
            <w:vAlign w:val="bottom"/>
          </w:tcPr>
          <w:p>
            <w:pPr>
              <w:pStyle w:val="TableContents"/>
              <w:bidi w:val="0"/>
              <w:spacing w:lineRule="auto" w:line="240" w:before="0" w:after="0"/>
              <w:ind w:left="324" w:right="0" w:hanging="144"/>
              <w:jc w:val="left"/>
              <w:rPr>
                <w:color w:val="000000"/>
              </w:rPr>
            </w:pPr>
            <w:r>
              <w:rPr>
                <w:color w:val="000000"/>
              </w:rPr>
              <w:t>Other expenses(1)</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4,345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3,851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8" w:type="dxa"/>
            <w:tcBorders>
              <w:bottom w:val="single" w:sz="12" w:space="0" w:color="000000"/>
            </w:tcBorders>
            <w:shd w:fill="CCEEFF" w:val="clear"/>
            <w:tcMar>
              <w:bottom w:w="28" w:type="dxa"/>
            </w:tcMar>
            <w:vAlign w:val="bottom"/>
          </w:tcPr>
          <w:p>
            <w:pPr>
              <w:pStyle w:val="TableContents"/>
              <w:bidi w:val="0"/>
              <w:spacing w:before="0" w:after="0"/>
              <w:jc w:val="right"/>
              <w:rPr/>
            </w:pPr>
            <w:r>
              <w:rPr/>
              <w:t>494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8,542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9,049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9" w:type="dxa"/>
            <w:tcBorders>
              <w:bottom w:val="single" w:sz="12" w:space="0" w:color="000000"/>
            </w:tcBorders>
            <w:shd w:fill="CCEEFF" w:val="clear"/>
            <w:tcMar>
              <w:bottom w:w="28" w:type="dxa"/>
            </w:tcMar>
            <w:vAlign w:val="bottom"/>
          </w:tcPr>
          <w:p>
            <w:pPr>
              <w:pStyle w:val="TableContents"/>
              <w:bidi w:val="0"/>
              <w:spacing w:before="0" w:after="0"/>
              <w:jc w:val="right"/>
              <w:rPr/>
            </w:pPr>
            <w:r>
              <w:rPr/>
              <w:t>(507</w:t>
            </w:r>
          </w:p>
        </w:tc>
        <w:tc>
          <w:tcPr>
            <w:tcW w:w="95" w:type="dxa"/>
            <w:tcBorders/>
            <w:shd w:fill="CCEEFF" w:val="clear"/>
            <w:vAlign w:val="bottom"/>
          </w:tcPr>
          <w:p>
            <w:pPr>
              <w:pStyle w:val="TableContents"/>
              <w:bidi w:val="0"/>
              <w:spacing w:before="0" w:after="0"/>
              <w:jc w:val="left"/>
              <w:rPr/>
            </w:pPr>
            <w:r>
              <w:rPr/>
              <w:t>)</w:t>
            </w:r>
          </w:p>
        </w:tc>
      </w:tr>
      <w:tr>
        <w:trPr/>
        <w:tc>
          <w:tcPr>
            <w:tcW w:w="2930" w:type="dxa"/>
            <w:tcBorders/>
            <w:vAlign w:val="bottom"/>
          </w:tcPr>
          <w:p>
            <w:pPr>
              <w:pStyle w:val="TableContents"/>
              <w:bidi w:val="0"/>
              <w:spacing w:before="0" w:after="0"/>
              <w:ind w:left="504" w:right="0" w:hanging="144"/>
              <w:jc w:val="left"/>
              <w:rPr>
                <w:color w:val="000000"/>
              </w:rPr>
            </w:pPr>
            <w:r>
              <w:rPr>
                <w:color w:val="000000"/>
              </w:rPr>
              <w:t>Total noninterest expense</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680" w:type="dxa"/>
            <w:tcBorders>
              <w:bottom w:val="double" w:sz="8" w:space="0" w:color="000000"/>
            </w:tcBorders>
            <w:tcMar>
              <w:bottom w:w="28" w:type="dxa"/>
            </w:tcMar>
            <w:vAlign w:val="bottom"/>
          </w:tcPr>
          <w:p>
            <w:pPr>
              <w:pStyle w:val="TableContents"/>
              <w:bidi w:val="0"/>
              <w:spacing w:before="0" w:after="0"/>
              <w:jc w:val="right"/>
              <w:rPr/>
            </w:pPr>
            <w:r>
              <w:rPr/>
              <w:t>40,499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680" w:type="dxa"/>
            <w:tcBorders>
              <w:bottom w:val="double" w:sz="8" w:space="0" w:color="000000"/>
            </w:tcBorders>
            <w:tcMar>
              <w:bottom w:w="28" w:type="dxa"/>
            </w:tcMar>
            <w:vAlign w:val="bottom"/>
          </w:tcPr>
          <w:p>
            <w:pPr>
              <w:pStyle w:val="TableContents"/>
              <w:bidi w:val="0"/>
              <w:spacing w:before="0" w:after="0"/>
              <w:jc w:val="right"/>
              <w:rPr/>
            </w:pPr>
            <w:r>
              <w:rPr/>
              <w:t>36,056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bottom w:val="double" w:sz="8" w:space="0" w:color="000000"/>
            </w:tcBorders>
            <w:tcMar>
              <w:bottom w:w="28" w:type="dxa"/>
            </w:tcMar>
            <w:vAlign w:val="bottom"/>
          </w:tcPr>
          <w:p>
            <w:pPr>
              <w:pStyle w:val="TableContents"/>
              <w:bidi w:val="0"/>
              <w:spacing w:before="0" w:after="0"/>
              <w:jc w:val="left"/>
              <w:rPr/>
            </w:pPr>
            <w:r>
              <w:rPr/>
              <w:t>$</w:t>
            </w:r>
          </w:p>
        </w:tc>
        <w:tc>
          <w:tcPr>
            <w:tcW w:w="868" w:type="dxa"/>
            <w:tcBorders>
              <w:bottom w:val="double" w:sz="8" w:space="0" w:color="000000"/>
            </w:tcBorders>
            <w:tcMar>
              <w:bottom w:w="28" w:type="dxa"/>
            </w:tcMar>
            <w:vAlign w:val="bottom"/>
          </w:tcPr>
          <w:p>
            <w:pPr>
              <w:pStyle w:val="TableContents"/>
              <w:bidi w:val="0"/>
              <w:spacing w:before="0" w:after="0"/>
              <w:jc w:val="right"/>
              <w:rPr/>
            </w:pPr>
            <w:r>
              <w:rPr/>
              <w:t>4,443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680" w:type="dxa"/>
            <w:tcBorders>
              <w:bottom w:val="double" w:sz="8" w:space="0" w:color="000000"/>
            </w:tcBorders>
            <w:tcMar>
              <w:bottom w:w="28" w:type="dxa"/>
            </w:tcMar>
            <w:vAlign w:val="bottom"/>
          </w:tcPr>
          <w:p>
            <w:pPr>
              <w:pStyle w:val="TableContents"/>
              <w:bidi w:val="0"/>
              <w:spacing w:before="0" w:after="0"/>
              <w:jc w:val="right"/>
              <w:rPr/>
            </w:pPr>
            <w:r>
              <w:rPr/>
              <w:t>72,860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pPr>
            <w:r>
              <w:rPr/>
              <w:t>$</w:t>
            </w:r>
          </w:p>
        </w:tc>
        <w:tc>
          <w:tcPr>
            <w:tcW w:w="680" w:type="dxa"/>
            <w:tcBorders>
              <w:bottom w:val="double" w:sz="8" w:space="0" w:color="000000"/>
            </w:tcBorders>
            <w:tcMar>
              <w:bottom w:w="28" w:type="dxa"/>
            </w:tcMar>
            <w:vAlign w:val="bottom"/>
          </w:tcPr>
          <w:p>
            <w:pPr>
              <w:pStyle w:val="TableContents"/>
              <w:bidi w:val="0"/>
              <w:spacing w:before="0" w:after="0"/>
              <w:jc w:val="right"/>
              <w:rPr/>
            </w:pPr>
            <w:r>
              <w:rPr/>
              <w:t>73,980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bottom w:val="double" w:sz="8" w:space="0" w:color="000000"/>
            </w:tcBorders>
            <w:tcMar>
              <w:bottom w:w="28" w:type="dxa"/>
            </w:tcMar>
            <w:vAlign w:val="bottom"/>
          </w:tcPr>
          <w:p>
            <w:pPr>
              <w:pStyle w:val="TableContents"/>
              <w:bidi w:val="0"/>
              <w:spacing w:before="0" w:after="0"/>
              <w:jc w:val="left"/>
              <w:rPr/>
            </w:pPr>
            <w:r>
              <w:rPr/>
              <w:t>$</w:t>
            </w:r>
          </w:p>
        </w:tc>
        <w:tc>
          <w:tcPr>
            <w:tcW w:w="889" w:type="dxa"/>
            <w:tcBorders>
              <w:bottom w:val="double" w:sz="8" w:space="0" w:color="000000"/>
            </w:tcBorders>
            <w:tcMar>
              <w:bottom w:w="28" w:type="dxa"/>
            </w:tcMar>
            <w:vAlign w:val="bottom"/>
          </w:tcPr>
          <w:p>
            <w:pPr>
              <w:pStyle w:val="TableContents"/>
              <w:bidi w:val="0"/>
              <w:spacing w:before="0" w:after="0"/>
              <w:jc w:val="right"/>
              <w:rPr/>
            </w:pPr>
            <w:r>
              <w:rPr/>
              <w:t>(1,120</w:t>
            </w:r>
          </w:p>
        </w:tc>
        <w:tc>
          <w:tcPr>
            <w:tcW w:w="95" w:type="dxa"/>
            <w:tcBorders/>
            <w:vAlign w:val="bottom"/>
          </w:tcPr>
          <w:p>
            <w:pPr>
              <w:pStyle w:val="TableContents"/>
              <w:bidi w:val="0"/>
              <w:spacing w:before="0" w:after="0"/>
              <w:jc w:val="left"/>
              <w:rPr/>
            </w:pPr>
            <w:r>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color w:val="000000"/>
              </w:rPr>
            </w:pPr>
            <w:r>
              <w:rPr>
                <w:color w:val="000000"/>
              </w:rPr>
              <w:t>(1)</w:t>
            </w:r>
          </w:p>
        </w:tc>
        <w:tc>
          <w:tcPr>
            <w:tcW w:w="9926" w:type="dxa"/>
            <w:tcBorders/>
            <w:vAlign w:val="center"/>
          </w:tcPr>
          <w:p>
            <w:pPr>
              <w:pStyle w:val="TableContents"/>
              <w:bidi w:val="0"/>
              <w:spacing w:before="0" w:after="0"/>
              <w:jc w:val="both"/>
              <w:rPr>
                <w:color w:val="000000"/>
              </w:rPr>
            </w:pPr>
            <w:r>
              <w:rPr>
                <w:color w:val="000000"/>
              </w:rPr>
              <w:t>Other expenses include items such as banking regulatory assessments, telephone expenses, postage, courier fees, directors’ fees, supplies, and insurance.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Noninterest expense for the three months ended June 30, 2023 was $40.5 million compared to $36.1 million for the three months ended June 30, 2022, an increase of $4.4 million, or 12.3%. Significant changes in the components of noninterest expense are detailed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Salaries and employee benefits</w:t>
      </w:r>
      <w:r>
        <w:rPr>
          <w:rFonts w:ascii="Times New Roman" w:hAnsi="Times New Roman"/>
          <w:color w:val="000000"/>
          <w:sz w:val="20"/>
        </w:rPr>
        <w:t xml:space="preserve"> - Salaries and employee benefits increased $1.4 million, or 6.6%, from $22.0 million for the three months ended June 30, 2022 to $23.4 million for the three months ended June 30, 2023. This increase was primarily driven by $4.3 million of Windmark transaction and related incentive-based compensation expenses incurred in the second quarter of 2023. The increase was offset to an extent by approximately $1.1 million in lower mortgage personnel costs, due to the reduction in mortgage loan originations and operations, and also lower core Windmark personnel costs of $876 thousand due to the sale.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Professional services</w:t>
      </w:r>
      <w:r>
        <w:rPr>
          <w:rFonts w:ascii="Times New Roman" w:hAnsi="Times New Roman"/>
          <w:color w:val="000000"/>
          <w:sz w:val="20"/>
        </w:rPr>
        <w:t xml:space="preserve"> - Professional services decreased $931 thousand during the three months ended June 30, 2023, as compared to the same period in 2022, primarily from a reduction of approximately $800 thousand in legal fees incurred largely as a result of a vendor dispute, which was resolved and accounted for by the end of 2022. This decrease was partially offset by $188 thousand in Windmark transaction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Loss on sale of securities</w:t>
      </w:r>
      <w:r>
        <w:rPr>
          <w:rFonts w:ascii="Times New Roman" w:hAnsi="Times New Roman"/>
          <w:color w:val="000000"/>
          <w:sz w:val="20"/>
        </w:rPr>
        <w:t xml:space="preserve"> - The Company sold approximately $56.2 million of available for sale securities in the second quarter of 2023. This resulted in a loss on sale of $3.4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Other expenses</w:t>
      </w:r>
      <w:r>
        <w:rPr>
          <w:rFonts w:ascii="Times New Roman" w:hAnsi="Times New Roman"/>
          <w:color w:val="000000"/>
          <w:sz w:val="20"/>
        </w:rPr>
        <w:t xml:space="preserve"> - The FDIC assessment increased $414 thousand for the three months ended June 30, 2023 compared to the same period in 2022. The increase was due to an increase in assessment rates charged by the FDIC and growth in the Company’s assessment base.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Noninterest expense for the six months ended June 30, 2023 was $72.9 million, compared to $74.0 million for the six months ended June 30, 2022, a decrease of $1.1 million, or 1.5%. Significant changes in the components of noninterest expense are detailed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Salaries and employee benefits</w:t>
      </w:r>
      <w:r>
        <w:rPr>
          <w:rFonts w:ascii="Times New Roman" w:hAnsi="Times New Roman"/>
          <w:color w:val="000000"/>
          <w:sz w:val="20"/>
        </w:rPr>
        <w:t xml:space="preserve"> - Salaries and employee benefits decreased $2.0 million, or 4.5%, from $44.7 million for the six months ended June 30, 2022 to $42.7 million for the six months ended June 30, 2023. This was primarily driven by approximately $4.1 million in lower mortgage personnel costs, due to the reduction in mortgage loan originations and operations, and also lower core Windmark personnel costs of $876 thousand due to the sale. This decrease was offset to an extent by $4.3 million of Windmark transaction and related incentive-based compensation expenses incurred in the second quarter of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Professional services</w:t>
      </w:r>
      <w:r>
        <w:rPr>
          <w:rFonts w:ascii="Times New Roman" w:hAnsi="Times New Roman"/>
          <w:color w:val="000000"/>
          <w:sz w:val="20"/>
        </w:rPr>
        <w:t xml:space="preserve"> - Professional services decreased $1.9 million during the six months ended June 30, 2023, as compared to the same period in 2022, primarily from a reduction of $1.5 million in legal fees incurred largely as a result of a vendor dispute, which was resolved and accounted for by the end of 2022. This decrease was partially offset by $200 thousand in Windmark transaction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Loss on sale of securities</w:t>
      </w:r>
      <w:r>
        <w:rPr>
          <w:rFonts w:ascii="Times New Roman" w:hAnsi="Times New Roman"/>
          <w:color w:val="000000"/>
          <w:sz w:val="20"/>
        </w:rPr>
        <w:t xml:space="preserve"> - The Company sold approximately $56.2 million of available for sale securities in the second quarter of 2023. This resulted in a loss on sale of $3.4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Other expenses</w:t>
      </w:r>
      <w:r>
        <w:rPr>
          <w:rFonts w:ascii="Times New Roman" w:hAnsi="Times New Roman"/>
          <w:color w:val="000000"/>
          <w:sz w:val="20"/>
        </w:rPr>
        <w:t xml:space="preserve"> - Other variable mortgage-based expenses also declined during the six months ended June 30, 2023, as compared to the same period in 2022, as mortgage originations declined. Additionally, the FDIC assessment increased $527 thousand as the assessment rates charged by the FDIC were increased and growth in the assessment base for the six months ended June 30, 2023 as compared to the same period in 2022.</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total assets increased $206.1 million, or 5.2%, to $4.15 billion at June 30, 2023, compared to $3.94 billion at December 31, 2022. Our gross loans held for investment increased $231.0 million, or 8.4%, to $2.98 billion at June 30, 2023, compared to $2.75 billion at December 31, 2022. Our securities portfolio decreased $73.6 million, or 10.5%, to $628.1 million at June 30, 2023, compared to $701.7 million at December 31, 2022. Total deposits increased $168.1 million, or 4.9%, to $3.57 billion at June 30, 2023, compared to $3.41 billion at December 31, 2022.</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Loan Portfolio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Loans held for investment increased $231.0 million, or 8.4%, to $2.98 billion at June 30, 2023, compared to $2.75 billion at December 31, 2022. This increase in our loans was primarily the result of organic net loan growth based on strong loan demand. The organic loan growth remained relationship-focused and occurred primarily in commercial real estate loans, residential mortgage loans, and commercial loans.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shows the contractual maturities of our loans held for investment portfolio at June 30, 2023:</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306"/>
        <w:gridCol w:w="60"/>
        <w:gridCol w:w="196"/>
        <w:gridCol w:w="1126"/>
        <w:gridCol w:w="60"/>
        <w:gridCol w:w="60"/>
        <w:gridCol w:w="251"/>
        <w:gridCol w:w="1764"/>
        <w:gridCol w:w="60"/>
        <w:gridCol w:w="60"/>
        <w:gridCol w:w="221"/>
        <w:gridCol w:w="1267"/>
        <w:gridCol w:w="60"/>
        <w:gridCol w:w="60"/>
        <w:gridCol w:w="201"/>
        <w:gridCol w:w="1149"/>
        <w:gridCol w:w="60"/>
        <w:gridCol w:w="60"/>
        <w:gridCol w:w="140"/>
        <w:gridCol w:w="980"/>
        <w:gridCol w:w="64"/>
      </w:tblGrid>
      <w:tr>
        <w:trPr/>
        <w:tc>
          <w:tcPr>
            <w:tcW w:w="23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in</w:t>
            </w:r>
          </w:p>
          <w:p>
            <w:pPr>
              <w:pStyle w:val="TableContents"/>
              <w:bidi w:val="0"/>
              <w:spacing w:before="0" w:after="0"/>
              <w:jc w:val="center"/>
              <w:rPr>
                <w:b/>
                <w:color w:val="000000"/>
              </w:rPr>
            </w:pPr>
            <w:r>
              <w:rPr>
                <w:b/>
                <w:color w:val="000000"/>
              </w:rPr>
              <w:t xml:space="preserve">One Year or </w:t>
            </w:r>
          </w:p>
          <w:p>
            <w:pPr>
              <w:pStyle w:val="TableContents"/>
              <w:bidi w:val="0"/>
              <w:spacing w:before="0" w:after="0"/>
              <w:jc w:val="center"/>
              <w:rPr>
                <w:b/>
                <w:color w:val="000000"/>
              </w:rPr>
            </w:pPr>
            <w:r>
              <w:rPr>
                <w:b/>
                <w:color w:val="000000"/>
              </w:rPr>
              <w:t>Less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 One Year</w:t>
            </w:r>
          </w:p>
          <w:p>
            <w:pPr>
              <w:pStyle w:val="TableContents"/>
              <w:bidi w:val="0"/>
              <w:spacing w:before="0" w:after="0"/>
              <w:jc w:val="center"/>
              <w:rPr>
                <w:b/>
                <w:color w:val="000000"/>
              </w:rPr>
            </w:pPr>
            <w:r>
              <w:rPr>
                <w:b/>
                <w:color w:val="000000"/>
              </w:rPr>
              <w:t>Through Five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Due after Five </w:t>
            </w:r>
          </w:p>
          <w:p>
            <w:pPr>
              <w:pStyle w:val="TableContents"/>
              <w:bidi w:val="0"/>
              <w:spacing w:before="0" w:after="0"/>
              <w:jc w:val="center"/>
              <w:rPr>
                <w:b/>
                <w:color w:val="000000"/>
              </w:rPr>
            </w:pPr>
            <w:r>
              <w:rPr>
                <w:b/>
                <w:color w:val="000000"/>
              </w:rPr>
              <w:t>Years</w:t>
            </w:r>
          </w:p>
          <w:p>
            <w:pPr>
              <w:pStyle w:val="TableContents"/>
              <w:bidi w:val="0"/>
              <w:spacing w:before="0" w:after="0"/>
              <w:jc w:val="center"/>
              <w:rPr>
                <w:b/>
                <w:color w:val="000000"/>
              </w:rPr>
            </w:pPr>
            <w:r>
              <w:rPr>
                <w:b/>
                <w:color w:val="000000"/>
              </w:rPr>
              <w:t xml:space="preserve">Through </w:t>
            </w:r>
          </w:p>
          <w:p>
            <w:pPr>
              <w:pStyle w:val="TableContents"/>
              <w:bidi w:val="0"/>
              <w:spacing w:before="0" w:after="0"/>
              <w:jc w:val="center"/>
              <w:rPr>
                <w:b/>
                <w:color w:val="000000"/>
              </w:rPr>
            </w:pPr>
            <w:r>
              <w:rPr>
                <w:b/>
                <w:color w:val="000000"/>
              </w:rPr>
              <w:t>Fifteen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w:t>
            </w:r>
          </w:p>
          <w:p>
            <w:pPr>
              <w:pStyle w:val="TableContents"/>
              <w:bidi w:val="0"/>
              <w:spacing w:before="0" w:after="0"/>
              <w:jc w:val="center"/>
              <w:rPr>
                <w:b/>
                <w:color w:val="000000"/>
              </w:rPr>
            </w:pPr>
            <w:r>
              <w:rPr>
                <w:b/>
                <w:color w:val="000000"/>
              </w:rPr>
              <w:t>Fifteen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64" w:type="dxa"/>
            <w:tcBorders/>
            <w:vAlign w:val="bottom"/>
          </w:tcPr>
          <w:p>
            <w:pPr>
              <w:pStyle w:val="TableContents"/>
              <w:bidi w:val="0"/>
              <w:spacing w:before="0" w:after="283"/>
              <w:jc w:val="left"/>
              <w:rPr/>
            </w:pPr>
            <w:r>
              <w:rPr/>
              <w:t> </w:t>
            </w:r>
          </w:p>
        </w:tc>
      </w:tr>
      <w:tr>
        <w:trPr/>
        <w:tc>
          <w:tcPr>
            <w:tcW w:w="23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75" w:type="dxa"/>
            <w:gridSpan w:val="18"/>
            <w:tcBorders/>
            <w:vAlign w:val="bottom"/>
          </w:tcPr>
          <w:p>
            <w:pPr>
              <w:pStyle w:val="TableContents"/>
              <w:bidi w:val="0"/>
              <w:spacing w:before="0" w:after="0"/>
              <w:jc w:val="center"/>
              <w:rPr>
                <w:b/>
                <w:color w:val="000000"/>
              </w:rPr>
            </w:pPr>
            <w:r>
              <w:rPr>
                <w:b/>
                <w:color w:val="000000"/>
              </w:rPr>
              <w:t>(Dollars in thousands)</w:t>
            </w:r>
          </w:p>
        </w:tc>
        <w:tc>
          <w:tcPr>
            <w:tcW w:w="64" w:type="dxa"/>
            <w:tcBorders/>
            <w:vAlign w:val="bottom"/>
          </w:tcPr>
          <w:p>
            <w:pPr>
              <w:pStyle w:val="TableContents"/>
              <w:bidi w:val="0"/>
              <w:spacing w:before="0" w:after="283"/>
              <w:jc w:val="left"/>
              <w:rPr/>
            </w:pPr>
            <w:r>
              <w:rPr/>
              <w:t> </w:t>
            </w:r>
          </w:p>
        </w:tc>
      </w:tr>
      <w:tr>
        <w:trPr/>
        <w:tc>
          <w:tcPr>
            <w:tcW w:w="2306"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color w:val="000000"/>
              </w:rPr>
            </w:pPr>
            <w:r>
              <w:rPr>
                <w:color w:val="000000"/>
              </w:rPr>
              <w:t>$</w:t>
            </w:r>
          </w:p>
        </w:tc>
        <w:tc>
          <w:tcPr>
            <w:tcW w:w="1126" w:type="dxa"/>
            <w:tcBorders/>
            <w:shd w:fill="CCEEFF" w:val="clear"/>
            <w:vAlign w:val="bottom"/>
          </w:tcPr>
          <w:p>
            <w:pPr>
              <w:pStyle w:val="TableContents"/>
              <w:bidi w:val="0"/>
              <w:spacing w:before="0" w:after="0"/>
              <w:jc w:val="right"/>
              <w:rPr>
                <w:color w:val="000000"/>
              </w:rPr>
            </w:pPr>
            <w:r>
              <w:rPr>
                <w:color w:val="000000"/>
              </w:rPr>
              <w:t>80,751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0"/>
              <w:jc w:val="left"/>
              <w:rPr>
                <w:color w:val="000000"/>
              </w:rPr>
            </w:pPr>
            <w:r>
              <w:rPr>
                <w:color w:val="000000"/>
              </w:rPr>
              <w:t>$</w:t>
            </w:r>
          </w:p>
        </w:tc>
        <w:tc>
          <w:tcPr>
            <w:tcW w:w="1764" w:type="dxa"/>
            <w:tcBorders/>
            <w:shd w:fill="CCEEFF" w:val="clear"/>
            <w:vAlign w:val="bottom"/>
          </w:tcPr>
          <w:p>
            <w:pPr>
              <w:pStyle w:val="TableContents"/>
              <w:bidi w:val="0"/>
              <w:spacing w:before="0" w:after="0"/>
              <w:jc w:val="right"/>
              <w:rPr>
                <w:color w:val="000000"/>
              </w:rPr>
            </w:pPr>
            <w:r>
              <w:rPr>
                <w:color w:val="000000"/>
              </w:rPr>
              <w:t>551,463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color w:val="000000"/>
              </w:rPr>
            </w:pPr>
            <w:r>
              <w:rPr>
                <w:color w:val="000000"/>
              </w:rPr>
              <w:t>$</w:t>
            </w:r>
          </w:p>
        </w:tc>
        <w:tc>
          <w:tcPr>
            <w:tcW w:w="1267" w:type="dxa"/>
            <w:tcBorders/>
            <w:shd w:fill="CCEEFF" w:val="clear"/>
            <w:vAlign w:val="bottom"/>
          </w:tcPr>
          <w:p>
            <w:pPr>
              <w:pStyle w:val="TableContents"/>
              <w:bidi w:val="0"/>
              <w:spacing w:before="0" w:after="0"/>
              <w:jc w:val="right"/>
              <w:rPr>
                <w:color w:val="000000"/>
              </w:rPr>
            </w:pPr>
            <w:r>
              <w:rPr>
                <w:color w:val="000000"/>
              </w:rPr>
              <w:t>289,930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color w:val="000000"/>
              </w:rPr>
            </w:pPr>
            <w:r>
              <w:rPr>
                <w:color w:val="000000"/>
              </w:rPr>
              <w:t>$</w:t>
            </w:r>
          </w:p>
        </w:tc>
        <w:tc>
          <w:tcPr>
            <w:tcW w:w="1149" w:type="dxa"/>
            <w:tcBorders/>
            <w:shd w:fill="CCEEFF" w:val="clear"/>
            <w:vAlign w:val="bottom"/>
          </w:tcPr>
          <w:p>
            <w:pPr>
              <w:pStyle w:val="TableContents"/>
              <w:bidi w:val="0"/>
              <w:spacing w:before="0" w:after="0"/>
              <w:jc w:val="right"/>
              <w:rPr>
                <w:color w:val="000000"/>
              </w:rPr>
            </w:pPr>
            <w:r>
              <w:rPr>
                <w:color w:val="000000"/>
              </w:rPr>
              <w:t>84,765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1,006,909</w:t>
            </w:r>
          </w:p>
        </w:tc>
        <w:tc>
          <w:tcPr>
            <w:tcW w:w="64" w:type="dxa"/>
            <w:tcBorders/>
            <w:shd w:fill="CCEEFF" w:val="clear"/>
            <w:vAlign w:val="bottom"/>
          </w:tcPr>
          <w:p>
            <w:pPr>
              <w:pStyle w:val="TableContents"/>
              <w:bidi w:val="0"/>
              <w:spacing w:before="0" w:after="283"/>
              <w:jc w:val="left"/>
              <w:rPr/>
            </w:pPr>
            <w:r>
              <w:rPr/>
              <w:t> </w:t>
            </w:r>
          </w:p>
        </w:tc>
      </w:tr>
      <w:tr>
        <w:trPr/>
        <w:tc>
          <w:tcPr>
            <w:tcW w:w="2306"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color w:val="000000"/>
              </w:rPr>
            </w:pPr>
            <w:r>
              <w:rPr>
                <w:color w:val="000000"/>
              </w:rPr>
              <w:t>100,047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0"/>
              <w:jc w:val="right"/>
              <w:rPr>
                <w:color w:val="000000"/>
              </w:rPr>
            </w:pPr>
            <w:r>
              <w:rPr>
                <w:color w:val="000000"/>
              </w:rPr>
              <w:t>136,385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0"/>
              <w:jc w:val="right"/>
              <w:rPr>
                <w:color w:val="000000"/>
              </w:rPr>
            </w:pPr>
            <w:r>
              <w:rPr>
                <w:color w:val="000000"/>
              </w:rPr>
              <w:t>65,755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0"/>
              <w:jc w:val="right"/>
              <w:rPr>
                <w:color w:val="000000"/>
              </w:rPr>
            </w:pPr>
            <w:r>
              <w:rPr>
                <w:color w:val="000000"/>
              </w:rPr>
              <w:t>53,065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355,252</w:t>
            </w:r>
          </w:p>
        </w:tc>
        <w:tc>
          <w:tcPr>
            <w:tcW w:w="64" w:type="dxa"/>
            <w:tcBorders/>
            <w:vAlign w:val="bottom"/>
          </w:tcPr>
          <w:p>
            <w:pPr>
              <w:pStyle w:val="TableContents"/>
              <w:bidi w:val="0"/>
              <w:spacing w:before="0" w:after="283"/>
              <w:jc w:val="left"/>
              <w:rPr/>
            </w:pPr>
            <w:r>
              <w:rPr/>
              <w:t> </w:t>
            </w:r>
          </w:p>
        </w:tc>
      </w:tr>
      <w:tr>
        <w:trPr/>
        <w:tc>
          <w:tcPr>
            <w:tcW w:w="2306"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color w:val="000000"/>
              </w:rPr>
            </w:pPr>
            <w:r>
              <w:rPr>
                <w:color w:val="000000"/>
              </w:rPr>
              <w:t>101,110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0"/>
              <w:jc w:val="right"/>
              <w:rPr>
                <w:color w:val="000000"/>
              </w:rPr>
            </w:pPr>
            <w:r>
              <w:rPr>
                <w:color w:val="000000"/>
              </w:rPr>
              <w:t>170,772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0"/>
              <w:jc w:val="right"/>
              <w:rPr>
                <w:color w:val="000000"/>
              </w:rPr>
            </w:pPr>
            <w:r>
              <w:rPr>
                <w:color w:val="000000"/>
              </w:rPr>
              <w:t>151,505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0"/>
              <w:jc w:val="right"/>
              <w:rPr>
                <w:color w:val="000000"/>
              </w:rPr>
            </w:pPr>
            <w:r>
              <w:rPr>
                <w:color w:val="000000"/>
              </w:rPr>
              <w:t>127,709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551,096</w:t>
            </w:r>
          </w:p>
        </w:tc>
        <w:tc>
          <w:tcPr>
            <w:tcW w:w="64" w:type="dxa"/>
            <w:tcBorders/>
            <w:shd w:fill="CCEEFF" w:val="clear"/>
            <w:vAlign w:val="bottom"/>
          </w:tcPr>
          <w:p>
            <w:pPr>
              <w:pStyle w:val="TableContents"/>
              <w:bidi w:val="0"/>
              <w:spacing w:before="0" w:after="283"/>
              <w:jc w:val="left"/>
              <w:rPr/>
            </w:pPr>
            <w:r>
              <w:rPr/>
              <w:t> </w:t>
            </w:r>
          </w:p>
        </w:tc>
      </w:tr>
      <w:tr>
        <w:trPr/>
        <w:tc>
          <w:tcPr>
            <w:tcW w:w="2306" w:type="dxa"/>
            <w:tcBorders/>
            <w:vAlign w:val="bottom"/>
          </w:tcPr>
          <w:p>
            <w:pPr>
              <w:pStyle w:val="TableContents"/>
              <w:bidi w:val="0"/>
              <w:spacing w:before="0" w:after="0"/>
              <w:ind w:left="144" w:right="0" w:hanging="144"/>
              <w:jc w:val="left"/>
              <w:rPr>
                <w:color w:val="000000"/>
              </w:rPr>
            </w:pPr>
            <w:r>
              <w:rPr>
                <w:color w:val="000000"/>
              </w:rPr>
              <w:t>Consumer:</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306" w:type="dxa"/>
            <w:tcBorders/>
            <w:shd w:fill="CCEEFF" w:val="clear"/>
            <w:vAlign w:val="bottom"/>
          </w:tcPr>
          <w:p>
            <w:pPr>
              <w:pStyle w:val="TableContents"/>
              <w:bidi w:val="0"/>
              <w:spacing w:before="0" w:after="0"/>
              <w:ind w:left="324" w:right="0" w:hanging="144"/>
              <w:jc w:val="left"/>
              <w:rPr>
                <w:color w:val="000000"/>
              </w:rPr>
            </w:pPr>
            <w:r>
              <w:rPr>
                <w:color w:val="000000"/>
              </w:rPr>
              <w:t>1-4 family residential</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color w:val="000000"/>
              </w:rPr>
            </w:pPr>
            <w:r>
              <w:rPr>
                <w:color w:val="000000"/>
              </w:rPr>
              <w:t>38,427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0"/>
              <w:jc w:val="right"/>
              <w:rPr>
                <w:color w:val="000000"/>
              </w:rPr>
            </w:pPr>
            <w:r>
              <w:rPr>
                <w:color w:val="000000"/>
              </w:rPr>
              <w:t>100,289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0"/>
              <w:jc w:val="right"/>
              <w:rPr>
                <w:color w:val="000000"/>
              </w:rPr>
            </w:pPr>
            <w:r>
              <w:rPr>
                <w:color w:val="000000"/>
              </w:rPr>
              <w:t>74,985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0"/>
              <w:jc w:val="right"/>
              <w:rPr>
                <w:color w:val="000000"/>
              </w:rPr>
            </w:pPr>
            <w:r>
              <w:rPr>
                <w:color w:val="000000"/>
              </w:rPr>
              <w:t>308,771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522,472</w:t>
            </w:r>
          </w:p>
        </w:tc>
        <w:tc>
          <w:tcPr>
            <w:tcW w:w="64" w:type="dxa"/>
            <w:tcBorders/>
            <w:shd w:fill="CCEEFF" w:val="clear"/>
            <w:vAlign w:val="bottom"/>
          </w:tcPr>
          <w:p>
            <w:pPr>
              <w:pStyle w:val="TableContents"/>
              <w:bidi w:val="0"/>
              <w:spacing w:before="0" w:after="283"/>
              <w:jc w:val="left"/>
              <w:rPr/>
            </w:pPr>
            <w:r>
              <w:rPr/>
              <w:t> </w:t>
            </w:r>
          </w:p>
        </w:tc>
      </w:tr>
      <w:tr>
        <w:trPr/>
        <w:tc>
          <w:tcPr>
            <w:tcW w:w="2306" w:type="dxa"/>
            <w:tcBorders/>
            <w:vAlign w:val="bottom"/>
          </w:tcPr>
          <w:p>
            <w:pPr>
              <w:pStyle w:val="TableContents"/>
              <w:bidi w:val="0"/>
              <w:spacing w:before="0" w:after="0"/>
              <w:ind w:left="324" w:right="0" w:hanging="144"/>
              <w:jc w:val="left"/>
              <w:rPr>
                <w:color w:val="000000"/>
              </w:rPr>
            </w:pPr>
            <w:r>
              <w:rPr>
                <w:color w:val="000000"/>
              </w:rPr>
              <w:t>Auto loans</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color w:val="000000"/>
              </w:rPr>
            </w:pPr>
            <w:r>
              <w:rPr>
                <w:color w:val="000000"/>
              </w:rPr>
              <w:t>2,975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764" w:type="dxa"/>
            <w:tcBorders/>
            <w:vAlign w:val="bottom"/>
          </w:tcPr>
          <w:p>
            <w:pPr>
              <w:pStyle w:val="TableContents"/>
              <w:bidi w:val="0"/>
              <w:spacing w:before="0" w:after="0"/>
              <w:jc w:val="right"/>
              <w:rPr>
                <w:color w:val="000000"/>
              </w:rPr>
            </w:pPr>
            <w:r>
              <w:rPr>
                <w:color w:val="000000"/>
              </w:rPr>
              <w:t>185,380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67" w:type="dxa"/>
            <w:tcBorders/>
            <w:vAlign w:val="bottom"/>
          </w:tcPr>
          <w:p>
            <w:pPr>
              <w:pStyle w:val="TableContents"/>
              <w:bidi w:val="0"/>
              <w:spacing w:before="0" w:after="0"/>
              <w:jc w:val="right"/>
              <w:rPr>
                <w:color w:val="000000"/>
              </w:rPr>
            </w:pPr>
            <w:r>
              <w:rPr>
                <w:color w:val="000000"/>
              </w:rPr>
              <w:t>129,771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49"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318,126</w:t>
            </w:r>
          </w:p>
        </w:tc>
        <w:tc>
          <w:tcPr>
            <w:tcW w:w="64" w:type="dxa"/>
            <w:tcBorders/>
            <w:vAlign w:val="bottom"/>
          </w:tcPr>
          <w:p>
            <w:pPr>
              <w:pStyle w:val="TableContents"/>
              <w:bidi w:val="0"/>
              <w:spacing w:before="0" w:after="283"/>
              <w:jc w:val="left"/>
              <w:rPr/>
            </w:pPr>
            <w:r>
              <w:rPr/>
              <w:t> </w:t>
            </w:r>
          </w:p>
        </w:tc>
      </w:tr>
      <w:tr>
        <w:trPr/>
        <w:tc>
          <w:tcPr>
            <w:tcW w:w="2306"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color w:val="000000"/>
              </w:rPr>
            </w:pPr>
            <w:r>
              <w:rPr>
                <w:color w:val="000000"/>
              </w:rPr>
              <w:t>7,940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764" w:type="dxa"/>
            <w:tcBorders/>
            <w:shd w:fill="CCEEFF" w:val="clear"/>
            <w:vAlign w:val="bottom"/>
          </w:tcPr>
          <w:p>
            <w:pPr>
              <w:pStyle w:val="TableContents"/>
              <w:bidi w:val="0"/>
              <w:spacing w:before="0" w:after="0"/>
              <w:jc w:val="right"/>
              <w:rPr>
                <w:color w:val="000000"/>
              </w:rPr>
            </w:pPr>
            <w:r>
              <w:rPr>
                <w:color w:val="000000"/>
              </w:rPr>
              <w:t>48,656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67" w:type="dxa"/>
            <w:tcBorders/>
            <w:shd w:fill="CCEEFF" w:val="clear"/>
            <w:vAlign w:val="bottom"/>
          </w:tcPr>
          <w:p>
            <w:pPr>
              <w:pStyle w:val="TableContents"/>
              <w:bidi w:val="0"/>
              <w:spacing w:before="0" w:after="0"/>
              <w:jc w:val="right"/>
              <w:rPr>
                <w:color w:val="000000"/>
              </w:rPr>
            </w:pPr>
            <w:r>
              <w:rPr>
                <w:color w:val="000000"/>
              </w:rPr>
              <w:t>23,199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4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79,795</w:t>
            </w:r>
          </w:p>
        </w:tc>
        <w:tc>
          <w:tcPr>
            <w:tcW w:w="64" w:type="dxa"/>
            <w:tcBorders/>
            <w:shd w:fill="CCEEFF" w:val="clear"/>
            <w:vAlign w:val="bottom"/>
          </w:tcPr>
          <w:p>
            <w:pPr>
              <w:pStyle w:val="TableContents"/>
              <w:bidi w:val="0"/>
              <w:spacing w:before="0" w:after="283"/>
              <w:jc w:val="left"/>
              <w:rPr/>
            </w:pPr>
            <w:r>
              <w:rPr/>
              <w:t> </w:t>
            </w:r>
          </w:p>
        </w:tc>
      </w:tr>
      <w:tr>
        <w:trPr/>
        <w:tc>
          <w:tcPr>
            <w:tcW w:w="2306" w:type="dxa"/>
            <w:tcBorders/>
            <w:vAlign w:val="bottom"/>
          </w:tcPr>
          <w:p>
            <w:pPr>
              <w:pStyle w:val="TableContents"/>
              <w:bidi w:val="0"/>
              <w:spacing w:before="0" w:after="0"/>
              <w:ind w:left="144" w:right="0" w:hanging="144"/>
              <w:jc w:val="left"/>
              <w:rPr>
                <w:color w:val="000000"/>
              </w:rPr>
            </w:pPr>
            <w:r>
              <w:rPr>
                <w:color w:val="000000"/>
              </w:rPr>
              <w:t>Construction</w:t>
            </w:r>
          </w:p>
        </w:tc>
        <w:tc>
          <w:tcPr>
            <w:tcW w:w="60"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133,744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 w:type="dxa"/>
            <w:tcBorders>
              <w:bottom w:val="single" w:sz="12" w:space="0" w:color="000000"/>
            </w:tcBorders>
            <w:tcMar>
              <w:bottom w:w="28" w:type="dxa"/>
            </w:tcMar>
            <w:vAlign w:val="bottom"/>
          </w:tcPr>
          <w:p>
            <w:pPr>
              <w:pStyle w:val="TableContents"/>
              <w:bidi w:val="0"/>
              <w:spacing w:before="0" w:after="283"/>
              <w:jc w:val="left"/>
              <w:rPr/>
            </w:pPr>
            <w:r>
              <w:rPr/>
              <w:t> </w:t>
            </w:r>
          </w:p>
        </w:tc>
        <w:tc>
          <w:tcPr>
            <w:tcW w:w="176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3,178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bottom w:val="single" w:sz="12" w:space="0" w:color="000000"/>
            </w:tcBorders>
            <w:tcMar>
              <w:bottom w:w="28" w:type="dxa"/>
            </w:tcMar>
            <w:vAlign w:val="bottom"/>
          </w:tcPr>
          <w:p>
            <w:pPr>
              <w:pStyle w:val="TableContents"/>
              <w:bidi w:val="0"/>
              <w:spacing w:before="0" w:after="283"/>
              <w:jc w:val="left"/>
              <w:rPr/>
            </w:pPr>
            <w:r>
              <w:rPr/>
              <w:t> </w:t>
            </w:r>
          </w:p>
        </w:tc>
        <w:tc>
          <w:tcPr>
            <w:tcW w:w="126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bottom w:val="single" w:sz="12" w:space="0" w:color="000000"/>
            </w:tcBorders>
            <w:tcMar>
              <w:bottom w:w="28" w:type="dxa"/>
            </w:tcMar>
            <w:vAlign w:val="bottom"/>
          </w:tcPr>
          <w:p>
            <w:pPr>
              <w:pStyle w:val="TableContents"/>
              <w:bidi w:val="0"/>
              <w:spacing w:before="0" w:after="283"/>
              <w:jc w:val="left"/>
              <w:rPr/>
            </w:pPr>
            <w:r>
              <w:rPr/>
              <w:t> </w:t>
            </w:r>
          </w:p>
        </w:tc>
        <w:tc>
          <w:tcPr>
            <w:tcW w:w="114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8,014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145,413</w:t>
            </w:r>
          </w:p>
        </w:tc>
        <w:tc>
          <w:tcPr>
            <w:tcW w:w="64" w:type="dxa"/>
            <w:tcBorders/>
            <w:vAlign w:val="bottom"/>
          </w:tcPr>
          <w:p>
            <w:pPr>
              <w:pStyle w:val="TableContents"/>
              <w:bidi w:val="0"/>
              <w:spacing w:before="0" w:after="283"/>
              <w:jc w:val="left"/>
              <w:rPr/>
            </w:pPr>
            <w:r>
              <w:rPr/>
              <w:t> </w:t>
            </w:r>
          </w:p>
        </w:tc>
      </w:tr>
      <w:tr>
        <w:trPr/>
        <w:tc>
          <w:tcPr>
            <w:tcW w:w="2306" w:type="dxa"/>
            <w:tcBorders/>
            <w:shd w:fill="CCEEFF" w:val="clear"/>
            <w:vAlign w:val="bottom"/>
          </w:tcPr>
          <w:p>
            <w:pPr>
              <w:pStyle w:val="TableContents"/>
              <w:bidi w:val="0"/>
              <w:spacing w:before="0" w:after="0"/>
              <w:ind w:left="324" w:right="0" w:hanging="144"/>
              <w:jc w:val="left"/>
              <w:rPr>
                <w:color w:val="000000"/>
              </w:rPr>
            </w:pPr>
            <w:r>
              <w:rPr>
                <w:color w:val="000000"/>
              </w:rPr>
              <w:t>Total loans</w:t>
            </w:r>
          </w:p>
        </w:tc>
        <w:tc>
          <w:tcPr>
            <w:tcW w:w="60" w:type="dxa"/>
            <w:tcBorders/>
            <w:shd w:fill="CCEEFF" w:val="clear"/>
            <w:vAlign w:val="bottom"/>
          </w:tcPr>
          <w:p>
            <w:pPr>
              <w:pStyle w:val="TableContents"/>
              <w:bidi w:val="0"/>
              <w:spacing w:before="0" w:after="283"/>
              <w:jc w:val="left"/>
              <w:rPr/>
            </w:pPr>
            <w:r>
              <w:rPr/>
              <w:t> </w:t>
            </w:r>
          </w:p>
        </w:tc>
        <w:tc>
          <w:tcPr>
            <w:tcW w:w="196"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2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464,994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76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1,196,123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6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735,622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4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582,324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2,979,063</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shows the distribution between fixed and adjustable interest rate loans for maturities greater than one year as of June 30, 2023:</w:t>
      </w:r>
    </w:p>
    <w:tbl>
      <w:tblPr>
        <w:tblW w:w="4895" w:type="dxa"/>
        <w:jc w:val="left"/>
        <w:tblInd w:w="0" w:type="dxa"/>
        <w:tblLayout w:type="fixed"/>
        <w:tblCellMar>
          <w:top w:w="0" w:type="dxa"/>
          <w:left w:w="0" w:type="dxa"/>
          <w:bottom w:w="0" w:type="dxa"/>
          <w:right w:w="0" w:type="dxa"/>
        </w:tblCellMar>
      </w:tblPr>
      <w:tblGrid>
        <w:gridCol w:w="2405"/>
        <w:gridCol w:w="60"/>
        <w:gridCol w:w="140"/>
        <w:gridCol w:w="980"/>
        <w:gridCol w:w="60"/>
        <w:gridCol w:w="60"/>
        <w:gridCol w:w="141"/>
        <w:gridCol w:w="989"/>
        <w:gridCol w:w="60"/>
      </w:tblGrid>
      <w:tr>
        <w:trPr/>
        <w:tc>
          <w:tcPr>
            <w:tcW w:w="24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Fixed</w:t>
            </w:r>
          </w:p>
          <w:p>
            <w:pPr>
              <w:pStyle w:val="TableContents"/>
              <w:bidi w:val="0"/>
              <w:spacing w:before="0" w:after="0"/>
              <w:jc w:val="center"/>
              <w:rPr>
                <w:b/>
                <w:color w:val="000000"/>
              </w:rPr>
            </w:pPr>
            <w:r>
              <w:rPr>
                <w:b/>
                <w:color w:val="000000"/>
              </w:rPr>
              <w:t>Rate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Adjustable</w:t>
            </w:r>
          </w:p>
          <w:p>
            <w:pPr>
              <w:pStyle w:val="TableContents"/>
              <w:bidi w:val="0"/>
              <w:spacing w:before="0" w:after="0"/>
              <w:jc w:val="center"/>
              <w:rPr>
                <w:b/>
                <w:color w:val="000000"/>
              </w:rPr>
            </w:pPr>
            <w:r>
              <w:rPr>
                <w:b/>
                <w:color w:val="000000"/>
              </w:rPr>
              <w:t>Rate</w:t>
            </w:r>
          </w:p>
        </w:tc>
        <w:tc>
          <w:tcPr>
            <w:tcW w:w="60" w:type="dxa"/>
            <w:tcBorders/>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70" w:type="dxa"/>
            <w:gridSpan w:val="6"/>
            <w:tcBorders/>
            <w:vAlign w:val="bottom"/>
          </w:tcPr>
          <w:p>
            <w:pPr>
              <w:pStyle w:val="TableContents"/>
              <w:bidi w:val="0"/>
              <w:spacing w:before="0" w:after="0"/>
              <w:jc w:val="center"/>
              <w:rPr>
                <w:b/>
                <w:color w:val="000000"/>
              </w:rPr>
            </w:pPr>
            <w:r>
              <w:rPr>
                <w:b/>
                <w:color w:val="000000"/>
              </w:rPr>
              <w:t>(Dollars in thousands)</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436,571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color w:val="000000"/>
              </w:rPr>
            </w:pPr>
            <w:r>
              <w:rPr>
                <w:color w:val="000000"/>
              </w:rPr>
              <w:t>$</w:t>
            </w:r>
          </w:p>
        </w:tc>
        <w:tc>
          <w:tcPr>
            <w:tcW w:w="989" w:type="dxa"/>
            <w:tcBorders/>
            <w:shd w:fill="CCEEFF" w:val="clear"/>
            <w:vAlign w:val="bottom"/>
          </w:tcPr>
          <w:p>
            <w:pPr>
              <w:pStyle w:val="TableContents"/>
              <w:bidi w:val="0"/>
              <w:spacing w:before="0" w:after="0"/>
              <w:jc w:val="right"/>
              <w:rPr>
                <w:color w:val="000000"/>
              </w:rPr>
            </w:pPr>
            <w:r>
              <w:rPr>
                <w:color w:val="000000"/>
              </w:rPr>
              <w:t>489,587</w:t>
            </w:r>
          </w:p>
        </w:tc>
        <w:tc>
          <w:tcPr>
            <w:tcW w:w="60" w:type="dxa"/>
            <w:tcBorders/>
            <w:shd w:fill="CCEEFF" w:val="clear"/>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82,419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color w:val="000000"/>
              </w:rPr>
            </w:pPr>
            <w:r>
              <w:rPr>
                <w:color w:val="000000"/>
              </w:rPr>
              <w:t>172,786</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168,989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color w:val="000000"/>
              </w:rPr>
            </w:pPr>
            <w:r>
              <w:rPr>
                <w:color w:val="000000"/>
              </w:rPr>
              <w:t>280,997</w:t>
            </w:r>
          </w:p>
        </w:tc>
        <w:tc>
          <w:tcPr>
            <w:tcW w:w="60" w:type="dxa"/>
            <w:tcBorders/>
            <w:shd w:fill="CCEEFF" w:val="clear"/>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before="0" w:after="0"/>
              <w:ind w:left="144" w:right="0" w:hanging="144"/>
              <w:jc w:val="left"/>
              <w:rPr>
                <w:color w:val="000000"/>
              </w:rPr>
            </w:pPr>
            <w:r>
              <w:rPr>
                <w:color w:val="000000"/>
              </w:rPr>
              <w:t>Consumer: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324" w:right="0" w:hanging="144"/>
              <w:jc w:val="left"/>
              <w:rPr>
                <w:color w:val="000000"/>
              </w:rPr>
            </w:pPr>
            <w:r>
              <w:rPr>
                <w:color w:val="000000"/>
              </w:rPr>
              <w:t>1-4 family residential</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293,950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color w:val="000000"/>
              </w:rPr>
            </w:pPr>
            <w:r>
              <w:rPr>
                <w:color w:val="000000"/>
              </w:rPr>
              <w:t>190,095</w:t>
            </w:r>
          </w:p>
        </w:tc>
        <w:tc>
          <w:tcPr>
            <w:tcW w:w="60" w:type="dxa"/>
            <w:tcBorders/>
            <w:shd w:fill="CCEEFF" w:val="clear"/>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before="0" w:after="0"/>
              <w:ind w:left="324" w:right="0" w:hanging="144"/>
              <w:jc w:val="left"/>
              <w:rPr>
                <w:color w:val="000000"/>
              </w:rPr>
            </w:pPr>
            <w:r>
              <w:rPr>
                <w:color w:val="000000"/>
              </w:rPr>
              <w:t>Auto loans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315,151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71,855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r>
      <w:tr>
        <w:trPr/>
        <w:tc>
          <w:tcPr>
            <w:tcW w:w="2405" w:type="dxa"/>
            <w:tcBorders/>
            <w:vAlign w:val="bottom"/>
          </w:tcPr>
          <w:p>
            <w:pPr>
              <w:pStyle w:val="TableContents"/>
              <w:bidi w:val="0"/>
              <w:spacing w:before="0" w:after="0"/>
              <w:ind w:left="144" w:right="0" w:hanging="144"/>
              <w:jc w:val="left"/>
              <w:rPr>
                <w:color w:val="000000"/>
              </w:rPr>
            </w:pPr>
            <w:r>
              <w:rPr>
                <w:color w:val="000000"/>
              </w:rPr>
              <w:t>Construction</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9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10,528</w:t>
            </w:r>
          </w:p>
        </w:tc>
        <w:tc>
          <w:tcPr>
            <w:tcW w:w="60" w:type="dxa"/>
            <w:tcBorders/>
            <w:vAlign w:val="bottom"/>
          </w:tcPr>
          <w:p>
            <w:pPr>
              <w:pStyle w:val="TableContents"/>
              <w:bidi w:val="0"/>
              <w:spacing w:before="0" w:after="283"/>
              <w:jc w:val="left"/>
              <w:rPr/>
            </w:pPr>
            <w:r>
              <w:rPr/>
              <w:t> </w:t>
            </w:r>
          </w:p>
        </w:tc>
      </w:tr>
      <w:tr>
        <w:trPr/>
        <w:tc>
          <w:tcPr>
            <w:tcW w:w="2405" w:type="dxa"/>
            <w:tcBorders/>
            <w:shd w:fill="CCEEFF" w:val="clear"/>
            <w:vAlign w:val="bottom"/>
          </w:tcPr>
          <w:p>
            <w:pPr>
              <w:pStyle w:val="TableContents"/>
              <w:bidi w:val="0"/>
              <w:spacing w:before="0" w:after="0"/>
              <w:ind w:left="324" w:right="0" w:hanging="144"/>
              <w:jc w:val="left"/>
              <w:rPr>
                <w:color w:val="000000"/>
              </w:rPr>
            </w:pPr>
            <w:r>
              <w:rPr>
                <w:color w:val="000000"/>
              </w:rPr>
              <w:t>Total loans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1,370,076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1,143,993</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At June 30, 2023, there was $1.42 billion in adjustable rate loans, with $669.5 million of these loans that mature or reprice in the next twelve months. Of these loans that mature or reprice in the next twelve months, $466.6 million will reprice immediately upon changes in the underlying index rate, with the remaining $202.9 million being subject to rate floors above the current index or a future repricing date. The </w:t>
      </w:r>
      <w:r>
        <w:rPr>
          <w:rFonts w:ascii="Times New Roman" w:hAnsi="Times New Roman"/>
          <w:i/>
          <w:color w:val="000000"/>
          <w:sz w:val="20"/>
        </w:rPr>
        <w:t>Wall Street Journal</w:t>
      </w:r>
      <w:r>
        <w:rPr>
          <w:rFonts w:ascii="Times New Roman" w:hAnsi="Times New Roman"/>
          <w:color w:val="000000"/>
          <w:sz w:val="20"/>
        </w:rPr>
        <w:t xml:space="preserve"> prime rate is the predominate index used by the Bank.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Bank is primarily involved in real estate, commercial, agricultural and consumer lending activities with customers throughout Texas and Eastern New Mexico. We have a collateral concentration, as 64.4% of our loans were secured by real property as of June 30, 2023, compared to 69.8% as of December 31, 2022.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represent 38.7% of loans held for investment as of June 30, 2023 and represented 38.7% of loans held for investment as of December 31, 2022. Further, these loans are geographically diversified, primarily throughout the State of Texas as well as Eastern New Mexico.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Commercial Real Estate</w:t>
      </w:r>
      <w:r>
        <w:rPr>
          <w:rFonts w:ascii="Times New Roman" w:hAnsi="Times New Roman"/>
          <w:color w:val="000000"/>
          <w:sz w:val="20"/>
        </w:rPr>
        <w:t>. Our commercial real estate portfolio includes loans for commercial property that is owned by real estate investors, construction 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Commercial real estate loans increased $87.6 million, or 9.5%, to $1.0 billion as of June 30, 2023 from $919.4 million as of December 31, 2022. The increase was primarily driven by an increase of $52.4 million in multifamily property loans and a growth of $49.8 million in other income-producing commercial real estate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Commercial – General and Specialized</w:t>
      </w:r>
      <w:r>
        <w:rPr>
          <w:rFonts w:ascii="Times New Roman" w:hAnsi="Times New Roman"/>
          <w:color w:val="000000"/>
          <w:sz w:val="20"/>
        </w:rPr>
        <w:t>. Commercial loans are underwritten after evaluating and understanding the borrower’s ability to operate profitably. Underwriting standards have been designed to determine whether the borrower possesses sound business ethics and practices, to evaluate current and projected cash flows to determine the ability of the borrower to repay their obligations as agreed,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Commercial general loans increased $66.3 million, or 13.7%, to $551.1 million as of June 30, 2023 from $484.8 million as of December 31, 2022. The increase in commercial general loans was primarily due to organic loan growth in service-based commercial loans and more broadly throughout general commercial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Commercial specialized loans increased $27.7 million, or 8.5%, to $355.3 million as of June 30, 2023 from $327.5 million as of December 31, 2022. This increase was primarily due to the funding of $18.1 million in seasonal agricultural production loans and growth of $15.6 million in direct energy loans, partially offset by a net reduction of $$9.4 million in finance, investment, and insurance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Consumer</w:t>
      </w:r>
      <w:r>
        <w:rPr>
          <w:rFonts w:ascii="Times New Roman" w:hAnsi="Times New Roman"/>
          <w:color w:val="000000"/>
          <w:sz w:val="20"/>
        </w:rPr>
        <w:t>. We utilize a computer-based credit scoring analysis to supplement our policies and procedures in underwriting 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Consumer and other loans increased $57.5 million, or 6.7%, to $920.4 million as of June 30, 2023, from $862.9 million as of December 31, 2022. The increase in these loans was primarily a result of a $62.3 million increase in residential mortgage loans, partially offset by a $3.4 million decrease in consumer auto loans. As of June 30, 2023, our consumer loan portfolio was comprised of $522.5 million in 1-4 family residential loans, $318.1 million in auto loans, and $79.8 million in other consumer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Construction</w:t>
      </w:r>
      <w:r>
        <w:rPr>
          <w:rFonts w:ascii="Times New Roman" w:hAnsi="Times New Roman"/>
          <w:color w:val="000000"/>
          <w:sz w:val="20"/>
        </w:rPr>
        <w:t>. Loans for residential construction are for single-family properties to developers, builders, or 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Construction loans decreased $8.1 million, or 5.3%, to $145.4 million as of June 30, 2023 from $153.5 million as of December 31, 2022. The decrease resulted from contraction after higher demand for residential construction as a result of home shortages in many of our markets peaked in the first quarter of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Non-owner occupied office real estate loans are included in commercial real estate loans and totaled $129.2 million at June 30, 2023. Owner occupied office real estate loans are included in commercial loans and totaled $53.0 million at June 30,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Company’s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summarizes commitments we have made as of the dates presented.</w:t>
      </w:r>
    </w:p>
    <w:p>
      <w:pPr>
        <w:pStyle w:val="TextBody"/>
        <w:bidi w:val="0"/>
        <w:spacing w:before="0" w:after="0"/>
        <w:jc w:val="left"/>
        <w:rPr/>
      </w:pPr>
      <w:r>
        <w:rPr/>
      </w:r>
    </w:p>
    <w:tbl>
      <w:tblPr>
        <w:tblW w:w="9889" w:type="dxa"/>
        <w:jc w:val="left"/>
        <w:tblInd w:w="0" w:type="dxa"/>
        <w:tblLayout w:type="fixed"/>
        <w:tblCellMar>
          <w:top w:w="0" w:type="dxa"/>
          <w:left w:w="0" w:type="dxa"/>
          <w:bottom w:w="0" w:type="dxa"/>
          <w:right w:w="0" w:type="dxa"/>
        </w:tblCellMar>
      </w:tblPr>
      <w:tblGrid>
        <w:gridCol w:w="7295"/>
        <w:gridCol w:w="60"/>
        <w:gridCol w:w="140"/>
        <w:gridCol w:w="800"/>
        <w:gridCol w:w="60"/>
        <w:gridCol w:w="60"/>
        <w:gridCol w:w="210"/>
        <w:gridCol w:w="1204"/>
        <w:gridCol w:w="60"/>
      </w:tblGrid>
      <w:tr>
        <w:trPr/>
        <w:tc>
          <w:tcPr>
            <w:tcW w:w="7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w:t>
            </w:r>
          </w:p>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December 31,</w:t>
            </w:r>
          </w:p>
          <w:p>
            <w:pPr>
              <w:pStyle w:val="TableContents"/>
              <w:bidi w:val="0"/>
              <w:spacing w:before="0" w:after="0"/>
              <w:jc w:val="center"/>
              <w:rPr>
                <w:b/>
              </w:rPr>
            </w:pPr>
            <w:r>
              <w:rPr>
                <w:b/>
              </w:rPr>
              <w:t>2022</w:t>
            </w:r>
          </w:p>
        </w:tc>
        <w:tc>
          <w:tcPr>
            <w:tcW w:w="60" w:type="dxa"/>
            <w:tcBorders/>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4" w:type="dxa"/>
            <w:gridSpan w:val="6"/>
            <w:tcBorders/>
            <w:vAlign w:val="bottom"/>
          </w:tcPr>
          <w:p>
            <w:pPr>
              <w:pStyle w:val="TableContents"/>
              <w:bidi w:val="0"/>
              <w:spacing w:before="0" w:after="0"/>
              <w:jc w:val="center"/>
              <w:rPr>
                <w:b/>
                <w:color w:val="000000"/>
              </w:rPr>
            </w:pPr>
            <w:r>
              <w:rPr>
                <w:b/>
                <w:color w:val="000000"/>
              </w:rPr>
              <w:t>(Dollars in thousands)</w:t>
            </w:r>
          </w:p>
        </w:tc>
        <w:tc>
          <w:tcPr>
            <w:tcW w:w="60"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144" w:right="0" w:hanging="144"/>
              <w:jc w:val="left"/>
              <w:rPr>
                <w:color w:val="000000"/>
              </w:rPr>
            </w:pPr>
            <w:r>
              <w:rPr>
                <w:color w:val="000000"/>
              </w:rPr>
              <w:t>Commitments to grant loans and unfunded commitments under lines of credit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637,400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0"/>
              <w:jc w:val="left"/>
              <w:rPr/>
            </w:pPr>
            <w:r>
              <w:rPr/>
              <w:t>$</w:t>
            </w:r>
          </w:p>
        </w:tc>
        <w:tc>
          <w:tcPr>
            <w:tcW w:w="1204" w:type="dxa"/>
            <w:tcBorders/>
            <w:shd w:fill="CCEEFF" w:val="clear"/>
            <w:vAlign w:val="bottom"/>
          </w:tcPr>
          <w:p>
            <w:pPr>
              <w:pStyle w:val="TableContents"/>
              <w:bidi w:val="0"/>
              <w:spacing w:before="0" w:after="0"/>
              <w:jc w:val="right"/>
              <w:rPr/>
            </w:pPr>
            <w:r>
              <w:rPr/>
              <w:t>682,296</w:t>
            </w:r>
          </w:p>
        </w:tc>
        <w:tc>
          <w:tcPr>
            <w:tcW w:w="60" w:type="dxa"/>
            <w:tcBorders/>
            <w:shd w:fill="CCEEFF" w:val="clear"/>
            <w:vAlign w:val="bottom"/>
          </w:tcPr>
          <w:p>
            <w:pPr>
              <w:pStyle w:val="TableContents"/>
              <w:bidi w:val="0"/>
              <w:spacing w:before="0" w:after="283"/>
              <w:jc w:val="left"/>
              <w:rPr/>
            </w:pPr>
            <w:r>
              <w:rPr/>
              <w:t> </w:t>
            </w:r>
          </w:p>
        </w:tc>
      </w:tr>
      <w:tr>
        <w:trPr/>
        <w:tc>
          <w:tcPr>
            <w:tcW w:w="7295" w:type="dxa"/>
            <w:tcBorders/>
            <w:vAlign w:val="bottom"/>
          </w:tcPr>
          <w:p>
            <w:pPr>
              <w:pStyle w:val="TableContents"/>
              <w:bidi w:val="0"/>
              <w:spacing w:before="0" w:after="0"/>
              <w:ind w:left="144" w:right="0" w:hanging="144"/>
              <w:jc w:val="left"/>
              <w:rPr>
                <w:color w:val="000000"/>
              </w:rPr>
            </w:pPr>
            <w:r>
              <w:rPr>
                <w:color w:val="000000"/>
              </w:rPr>
              <w:t>Standby letters of credit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pPr>
            <w:r>
              <w:rPr/>
              <w:t>12,779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before="0" w:after="0"/>
              <w:jc w:val="right"/>
              <w:rPr/>
            </w:pPr>
            <w:r>
              <w:rPr/>
              <w:t>13,864</w:t>
            </w:r>
          </w:p>
        </w:tc>
        <w:tc>
          <w:tcPr>
            <w:tcW w:w="60" w:type="dxa"/>
            <w:tcBorders/>
            <w:vAlign w:val="bottom"/>
          </w:tcPr>
          <w:p>
            <w:pPr>
              <w:pStyle w:val="TableContents"/>
              <w:bidi w:val="0"/>
              <w:spacing w:before="0" w:after="283"/>
              <w:jc w:val="left"/>
              <w:rPr/>
            </w:pPr>
            <w:r>
              <w:rPr/>
              <w:t> </w:t>
            </w:r>
          </w:p>
        </w:tc>
      </w:tr>
      <w:tr>
        <w:trPr/>
        <w:tc>
          <w:tcPr>
            <w:tcW w:w="7295" w:type="dxa"/>
            <w:tcBorders/>
            <w:shd w:fill="CCEEFF" w:val="clear"/>
            <w:vAlign w:val="bottom"/>
          </w:tcPr>
          <w:p>
            <w:pPr>
              <w:pStyle w:val="TableContents"/>
              <w:bidi w:val="0"/>
              <w:spacing w:before="0" w:after="0"/>
              <w:ind w:left="324" w:right="0" w:hanging="144"/>
              <w:jc w:val="left"/>
              <w:rPr>
                <w:color w:val="000000"/>
              </w:rPr>
            </w:pPr>
            <w:r>
              <w:rPr>
                <w:color w:val="000000"/>
              </w:rPr>
              <w:t>Total</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00" w:type="dxa"/>
            <w:tcBorders>
              <w:bottom w:val="double" w:sz="8" w:space="0" w:color="000000"/>
            </w:tcBorders>
            <w:shd w:fill="CCEEFF" w:val="clear"/>
            <w:tcMar>
              <w:bottom w:w="28" w:type="dxa"/>
            </w:tcMar>
            <w:vAlign w:val="bottom"/>
          </w:tcPr>
          <w:p>
            <w:pPr>
              <w:pStyle w:val="TableContents"/>
              <w:bidi w:val="0"/>
              <w:spacing w:before="0" w:after="0"/>
              <w:jc w:val="right"/>
              <w:rPr/>
            </w:pPr>
            <w:r>
              <w:rPr/>
              <w:t>650,179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204" w:type="dxa"/>
            <w:tcBorders>
              <w:bottom w:val="double" w:sz="8" w:space="0" w:color="000000"/>
            </w:tcBorders>
            <w:shd w:fill="CCEEFF" w:val="clear"/>
            <w:tcMar>
              <w:bottom w:w="28" w:type="dxa"/>
            </w:tcMar>
            <w:vAlign w:val="bottom"/>
          </w:tcPr>
          <w:p>
            <w:pPr>
              <w:pStyle w:val="TableContents"/>
              <w:bidi w:val="0"/>
              <w:spacing w:before="0" w:after="0"/>
              <w:jc w:val="right"/>
              <w:rPr/>
            </w:pPr>
            <w:r>
              <w:rPr/>
              <w:t>696,160</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Allowance for Credit Losses for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ACL provides a reserve against which loan losses are charged for current expected credit losses. Management evaluates the appropriate level of the ACL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ACL is assessed by regulatory examinations and the Company’s internal and external loan reviews. The ACL consists of two elements: (1) specific valuation allowances established for expected losses on specifically analyzed loans and (2) collective valuation allowances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determine the adequacy of the ACL on loans, the Company applied a dual credit risk rating (“DCRR”) methodology that estimates each loan’s probability of default and loss given default to calculate the expected credit loss to non-analyzed loans. The DCRR process quantifies the expected credit loss at the loan level for the entire loan portfolio. Loan grades are assigned by a customized scorecard that risk rates each loan based on multiple probability of default and loss given default elements to measure the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one-year through the cycle estimate of expected credit loss to a life of loan measurement that reflects current conditions and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a one to two years. The Company has developed regression models to project net charge-off rates based on macroeconomic variables (“MEVs”), typically a one-year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 These regression models are applied to the Company’s economic forecast to determine the corresponding net charge-off rates. The projected net charge-off rates for the given economic scenario are used to adjust the through the cycle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 In addition to the loan level evaluations, nonaccrual loans with a balance of $250 thousand or more are individually analyzed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Effective January 1, 2023, we adopted the CECL model and recognized a cumulative effect adjustment to the ACL for loans and off-balance sheet credit exposures of $1.3 million. The CECL model requires recording life-of-loan projected losses in the loan portfolio based on future economic events and related loan portfolio credit performance. The prior accounting standard recorded reserves based on incurred losses at the balance sheet date.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ACL for loans was $43.1 million at June 30, 2023, compared to $39.3 million at December 31, 2022, an increase of $3.8 million, or 9.8%. The increase is primarily a result of a provision for loan losses of $4.7 million being recorded during the six months ended June 30, 2023 largely attributable to growth of $231.0 million in loans held for investment and the increase of $1.3 million in specific reserves noted previously. Nevertheless, concerns regarding forecasted economic conditions continue to worsen due to the rising interest rate environment and persistent high inflation levels in the United States, and provisions for loan losses may be necessary in future periods.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provides an analysis of the ACL for loans during the periods indicated.</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460"/>
        <w:gridCol w:w="60"/>
        <w:gridCol w:w="140"/>
        <w:gridCol w:w="980"/>
        <w:gridCol w:w="256"/>
        <w:gridCol w:w="60"/>
        <w:gridCol w:w="140"/>
        <w:gridCol w:w="980"/>
        <w:gridCol w:w="256"/>
        <w:gridCol w:w="60"/>
        <w:gridCol w:w="140"/>
        <w:gridCol w:w="980"/>
        <w:gridCol w:w="256"/>
        <w:gridCol w:w="60"/>
        <w:gridCol w:w="140"/>
        <w:gridCol w:w="980"/>
        <w:gridCol w:w="257"/>
      </w:tblGrid>
      <w:tr>
        <w:trPr/>
        <w:tc>
          <w:tcPr>
            <w:tcW w:w="4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5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257" w:type="dxa"/>
            <w:tcBorders/>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257" w:type="dxa"/>
            <w:tcBorders/>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144" w:right="0" w:hanging="144"/>
              <w:jc w:val="left"/>
              <w:rPr>
                <w:color w:val="000000"/>
              </w:rPr>
            </w:pPr>
            <w:r>
              <w:rPr>
                <w:color w:val="000000"/>
              </w:rPr>
              <w:t>Average loans outstanding during the periods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324" w:right="0" w:hanging="144"/>
              <w:jc w:val="left"/>
              <w:rPr>
                <w:color w:val="000000"/>
              </w:rPr>
            </w:pPr>
            <w:r>
              <w:rPr>
                <w:color w:val="000000"/>
              </w:rPr>
              <w:t>Commercial real estate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942,296</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797,490</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929,207</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774,253</w:t>
            </w:r>
          </w:p>
        </w:tc>
        <w:tc>
          <w:tcPr>
            <w:tcW w:w="257"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324" w:right="0" w:hanging="144"/>
              <w:jc w:val="left"/>
              <w:rPr>
                <w:color w:val="000000"/>
              </w:rPr>
            </w:pPr>
            <w:r>
              <w:rPr>
                <w:color w:val="000000"/>
              </w:rPr>
              <w:t>Commercial – specialized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342,519</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345,980</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330,903</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350,050</w:t>
            </w:r>
          </w:p>
        </w:tc>
        <w:tc>
          <w:tcPr>
            <w:tcW w:w="257"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324" w:right="0" w:hanging="144"/>
              <w:jc w:val="left"/>
              <w:rPr>
                <w:color w:val="000000"/>
              </w:rPr>
            </w:pPr>
            <w:r>
              <w:rPr>
                <w:color w:val="000000"/>
              </w:rPr>
              <w:t>Commercial – general</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537,015</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477,286</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514,729</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474,892</w:t>
            </w:r>
          </w:p>
        </w:tc>
        <w:tc>
          <w:tcPr>
            <w:tcW w:w="257"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324" w:right="0" w:hanging="144"/>
              <w:jc w:val="left"/>
              <w:rPr>
                <w:color w:val="000000"/>
              </w:rPr>
            </w:pPr>
            <w:r>
              <w:rPr>
                <w:color w:val="000000"/>
              </w:rPr>
              <w:t>Consumer:</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7"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504" w:right="0" w:hanging="144"/>
              <w:jc w:val="left"/>
              <w:rPr>
                <w:color w:val="000000"/>
              </w:rPr>
            </w:pPr>
            <w:r>
              <w:rPr>
                <w:color w:val="000000"/>
              </w:rPr>
              <w:t>1-4 family residential</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506,630</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384,846</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491,399</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386,417</w:t>
            </w:r>
          </w:p>
        </w:tc>
        <w:tc>
          <w:tcPr>
            <w:tcW w:w="257"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504" w:right="0" w:hanging="144"/>
              <w:jc w:val="left"/>
              <w:rPr>
                <w:color w:val="000000"/>
              </w:rPr>
            </w:pPr>
            <w:r>
              <w:rPr>
                <w:color w:val="000000"/>
              </w:rPr>
              <w:t>Auto loans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319,875</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279,113</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320,978</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261,605</w:t>
            </w:r>
          </w:p>
        </w:tc>
        <w:tc>
          <w:tcPr>
            <w:tcW w:w="257"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504" w:right="0" w:hanging="144"/>
              <w:jc w:val="left"/>
              <w:rPr>
                <w:color w:val="000000"/>
              </w:rPr>
            </w:pPr>
            <w:r>
              <w:rPr>
                <w:color w:val="000000"/>
              </w:rPr>
              <w:t>Other consumer</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80,760</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85,421</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80,474</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82,233</w:t>
            </w:r>
          </w:p>
        </w:tc>
        <w:tc>
          <w:tcPr>
            <w:tcW w:w="257"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324" w:right="0" w:hanging="144"/>
              <w:jc w:val="left"/>
              <w:rPr>
                <w:color w:val="000000"/>
              </w:rPr>
            </w:pPr>
            <w:r>
              <w:rPr>
                <w:color w:val="000000"/>
              </w:rPr>
              <w:t>Construction</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143,832</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146,713</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146,074</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145,820</w:t>
            </w:r>
          </w:p>
        </w:tc>
        <w:tc>
          <w:tcPr>
            <w:tcW w:w="257"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144" w:right="0" w:hanging="144"/>
              <w:jc w:val="left"/>
              <w:rPr>
                <w:color w:val="000000"/>
              </w:rPr>
            </w:pPr>
            <w:r>
              <w:rPr>
                <w:color w:val="000000"/>
              </w:rPr>
              <w:t>Loans held for sale</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21,160</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32,415</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22,718</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40,664</w:t>
            </w:r>
          </w:p>
        </w:tc>
        <w:tc>
          <w:tcPr>
            <w:tcW w:w="257"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144" w:right="0" w:hanging="144"/>
              <w:jc w:val="left"/>
              <w:rPr>
                <w:color w:val="000000"/>
              </w:rPr>
            </w:pPr>
            <w:r>
              <w:rPr>
                <w:color w:val="000000"/>
              </w:rPr>
              <w:t>Total average loans outstanding during the periods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2,894,087</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2,549,264</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2,836,482</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2,515,934</w:t>
            </w:r>
          </w:p>
        </w:tc>
        <w:tc>
          <w:tcPr>
            <w:tcW w:w="257"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7"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144" w:right="0" w:hanging="144"/>
              <w:jc w:val="left"/>
              <w:rPr>
                <w:color w:val="000000"/>
              </w:rPr>
            </w:pPr>
            <w:r>
              <w:rPr>
                <w:color w:val="000000"/>
              </w:rPr>
              <w:t>Net charge-offs (recoveries) during the periods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7"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324" w:right="0" w:hanging="144"/>
              <w:jc w:val="left"/>
              <w:rPr>
                <w:color w:val="000000"/>
              </w:rPr>
            </w:pPr>
            <w:r>
              <w:rPr>
                <w:color w:val="000000"/>
              </w:rPr>
              <w:t>Commercial real estate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(393</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(418</w:t>
            </w:r>
          </w:p>
        </w:tc>
        <w:tc>
          <w:tcPr>
            <w:tcW w:w="257" w:type="dxa"/>
            <w:tcBorders/>
            <w:shd w:fill="CCEEFF" w:val="clear"/>
            <w:vAlign w:val="bottom"/>
          </w:tcPr>
          <w:p>
            <w:pPr>
              <w:pStyle w:val="TableContents"/>
              <w:bidi w:val="0"/>
              <w:spacing w:before="0" w:after="0"/>
              <w:jc w:val="left"/>
              <w:rPr>
                <w:color w:val="000000"/>
              </w:rPr>
            </w:pPr>
            <w:r>
              <w:rPr>
                <w:color w:val="000000"/>
              </w:rPr>
              <w:t>)</w:t>
            </w:r>
          </w:p>
        </w:tc>
      </w:tr>
      <w:tr>
        <w:trPr/>
        <w:tc>
          <w:tcPr>
            <w:tcW w:w="4460" w:type="dxa"/>
            <w:tcBorders/>
            <w:vAlign w:val="bottom"/>
          </w:tcPr>
          <w:p>
            <w:pPr>
              <w:pStyle w:val="TableContents"/>
              <w:bidi w:val="0"/>
              <w:spacing w:before="0" w:after="0"/>
              <w:ind w:left="324" w:right="0" w:hanging="144"/>
              <w:jc w:val="left"/>
              <w:rPr>
                <w:color w:val="000000"/>
              </w:rPr>
            </w:pPr>
            <w:r>
              <w:rPr>
                <w:color w:val="000000"/>
              </w:rPr>
              <w:t>Commercial – specialized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(18</w:t>
            </w:r>
          </w:p>
        </w:tc>
        <w:tc>
          <w:tcPr>
            <w:tcW w:w="256"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(9</w:t>
            </w:r>
          </w:p>
        </w:tc>
        <w:tc>
          <w:tcPr>
            <w:tcW w:w="256"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(80</w:t>
            </w:r>
          </w:p>
        </w:tc>
        <w:tc>
          <w:tcPr>
            <w:tcW w:w="256"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(5</w:t>
            </w:r>
          </w:p>
        </w:tc>
        <w:tc>
          <w:tcPr>
            <w:tcW w:w="257" w:type="dxa"/>
            <w:tcBorders/>
            <w:vAlign w:val="bottom"/>
          </w:tcPr>
          <w:p>
            <w:pPr>
              <w:pStyle w:val="TableContents"/>
              <w:bidi w:val="0"/>
              <w:spacing w:before="0" w:after="0"/>
              <w:jc w:val="left"/>
              <w:rPr>
                <w:color w:val="000000"/>
              </w:rPr>
            </w:pPr>
            <w:r>
              <w:rPr>
                <w:color w:val="000000"/>
              </w:rPr>
              <w:t>)</w:t>
            </w:r>
          </w:p>
        </w:tc>
      </w:tr>
      <w:tr>
        <w:trPr/>
        <w:tc>
          <w:tcPr>
            <w:tcW w:w="4460" w:type="dxa"/>
            <w:tcBorders/>
            <w:shd w:fill="CCEEFF" w:val="clear"/>
            <w:vAlign w:val="bottom"/>
          </w:tcPr>
          <w:p>
            <w:pPr>
              <w:pStyle w:val="TableContents"/>
              <w:bidi w:val="0"/>
              <w:spacing w:before="0" w:after="0"/>
              <w:ind w:left="324" w:right="0" w:hanging="144"/>
              <w:jc w:val="left"/>
              <w:rPr>
                <w:color w:val="000000"/>
              </w:rPr>
            </w:pPr>
            <w:r>
              <w:rPr>
                <w:color w:val="000000"/>
              </w:rPr>
              <w:t>Commercial – general</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108</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(127</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246</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58</w:t>
            </w:r>
          </w:p>
        </w:tc>
        <w:tc>
          <w:tcPr>
            <w:tcW w:w="257"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324" w:right="0" w:hanging="144"/>
              <w:jc w:val="left"/>
              <w:rPr>
                <w:color w:val="000000"/>
              </w:rPr>
            </w:pPr>
            <w:r>
              <w:rPr>
                <w:color w:val="000000"/>
              </w:rPr>
              <w:t>Consumer:</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7"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504" w:right="0" w:hanging="144"/>
              <w:jc w:val="left"/>
              <w:rPr>
                <w:color w:val="000000"/>
              </w:rPr>
            </w:pPr>
            <w:r>
              <w:rPr>
                <w:color w:val="000000"/>
              </w:rPr>
              <w:t>1-4 family residential</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38</w:t>
            </w:r>
          </w:p>
        </w:tc>
        <w:tc>
          <w:tcPr>
            <w:tcW w:w="257"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504" w:right="0" w:hanging="144"/>
              <w:jc w:val="left"/>
              <w:rPr>
                <w:color w:val="000000"/>
              </w:rPr>
            </w:pPr>
            <w:r>
              <w:rPr>
                <w:color w:val="000000"/>
              </w:rPr>
              <w:t>Auto loans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146</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37</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324</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77</w:t>
            </w:r>
          </w:p>
        </w:tc>
        <w:tc>
          <w:tcPr>
            <w:tcW w:w="257"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504" w:right="0" w:hanging="144"/>
              <w:jc w:val="left"/>
              <w:rPr>
                <w:color w:val="000000"/>
              </w:rPr>
            </w:pPr>
            <w:r>
              <w:rPr>
                <w:color w:val="000000"/>
              </w:rPr>
              <w:t>Other consumer</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149</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191</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254</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312</w:t>
            </w:r>
          </w:p>
        </w:tc>
        <w:tc>
          <w:tcPr>
            <w:tcW w:w="257"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324" w:right="0" w:hanging="144"/>
              <w:jc w:val="left"/>
              <w:rPr>
                <w:color w:val="000000"/>
              </w:rPr>
            </w:pPr>
            <w:r>
              <w:rPr>
                <w:color w:val="000000"/>
              </w:rPr>
              <w:t>Construction</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166</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272</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166</w:t>
            </w:r>
          </w:p>
        </w:tc>
        <w:tc>
          <w:tcPr>
            <w:tcW w:w="257"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144" w:right="0" w:hanging="144"/>
              <w:jc w:val="left"/>
              <w:rPr>
                <w:color w:val="000000"/>
              </w:rPr>
            </w:pPr>
            <w:r>
              <w:rPr>
                <w:color w:val="000000"/>
              </w:rPr>
              <w:t>Total net charge-offs (recoveries) during the periods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383</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(136</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1,013</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228</w:t>
            </w:r>
          </w:p>
        </w:tc>
        <w:tc>
          <w:tcPr>
            <w:tcW w:w="257"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57" w:type="dxa"/>
            <w:tcBorders/>
            <w:vAlign w:val="bottom"/>
          </w:tcPr>
          <w:p>
            <w:pPr>
              <w:pStyle w:val="TableContents"/>
              <w:bidi w:val="0"/>
              <w:spacing w:before="0" w:after="283"/>
              <w:jc w:val="left"/>
              <w:rPr/>
            </w:pPr>
            <w:r>
              <w:rPr/>
              <w:t> </w:t>
            </w:r>
          </w:p>
        </w:tc>
      </w:tr>
      <w:tr>
        <w:trPr/>
        <w:tc>
          <w:tcPr>
            <w:tcW w:w="4460" w:type="dxa"/>
            <w:tcBorders/>
            <w:shd w:fill="CCEEFF" w:val="clear"/>
            <w:vAlign w:val="bottom"/>
          </w:tcPr>
          <w:p>
            <w:pPr>
              <w:pStyle w:val="TableContents"/>
              <w:bidi w:val="0"/>
              <w:spacing w:before="0" w:after="0"/>
              <w:ind w:left="144" w:right="0" w:hanging="144"/>
              <w:jc w:val="left"/>
              <w:rPr>
                <w:color w:val="000000"/>
              </w:rPr>
            </w:pPr>
            <w:r>
              <w:rPr>
                <w:color w:val="000000"/>
              </w:rPr>
              <w:t>Ratio of net charge-offs (recoveries) to average loans during the periods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7"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324" w:right="0" w:hanging="144"/>
              <w:jc w:val="left"/>
              <w:rPr>
                <w:color w:val="000000"/>
              </w:rPr>
            </w:pPr>
            <w:r>
              <w:rPr>
                <w:color w:val="000000"/>
              </w:rPr>
              <w:t>Commercial real estate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0.00</w:t>
            </w:r>
          </w:p>
        </w:tc>
        <w:tc>
          <w:tcPr>
            <w:tcW w:w="256"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(0.05</w:t>
            </w:r>
          </w:p>
        </w:tc>
        <w:tc>
          <w:tcPr>
            <w:tcW w:w="256"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0.00</w:t>
            </w:r>
          </w:p>
        </w:tc>
        <w:tc>
          <w:tcPr>
            <w:tcW w:w="256"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(0.05</w:t>
            </w:r>
          </w:p>
        </w:tc>
        <w:tc>
          <w:tcPr>
            <w:tcW w:w="257" w:type="dxa"/>
            <w:tcBorders/>
            <w:vAlign w:val="bottom"/>
          </w:tcPr>
          <w:p>
            <w:pPr>
              <w:pStyle w:val="TableContents"/>
              <w:bidi w:val="0"/>
              <w:spacing w:before="0" w:after="0"/>
              <w:jc w:val="left"/>
              <w:rPr>
                <w:color w:val="000000"/>
              </w:rPr>
            </w:pPr>
            <w:r>
              <w:rPr>
                <w:color w:val="000000"/>
              </w:rPr>
              <w:t>)%</w:t>
            </w:r>
          </w:p>
        </w:tc>
      </w:tr>
      <w:tr>
        <w:trPr/>
        <w:tc>
          <w:tcPr>
            <w:tcW w:w="4460" w:type="dxa"/>
            <w:tcBorders/>
            <w:shd w:fill="CCEEFF" w:val="clear"/>
            <w:vAlign w:val="bottom"/>
          </w:tcPr>
          <w:p>
            <w:pPr>
              <w:pStyle w:val="TableContents"/>
              <w:bidi w:val="0"/>
              <w:spacing w:before="0" w:after="0"/>
              <w:ind w:left="324" w:right="0" w:hanging="144"/>
              <w:jc w:val="left"/>
              <w:rPr>
                <w:color w:val="000000"/>
              </w:rPr>
            </w:pPr>
            <w:r>
              <w:rPr>
                <w:color w:val="000000"/>
              </w:rPr>
              <w:t>Commercial – specialized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(0.01</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0.00</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(0.02</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0.00</w:t>
            </w:r>
          </w:p>
        </w:tc>
        <w:tc>
          <w:tcPr>
            <w:tcW w:w="257" w:type="dxa"/>
            <w:tcBorders/>
            <w:shd w:fill="CCEEFF" w:val="clear"/>
            <w:vAlign w:val="bottom"/>
          </w:tcPr>
          <w:p>
            <w:pPr>
              <w:pStyle w:val="TableContents"/>
              <w:bidi w:val="0"/>
              <w:spacing w:before="0" w:after="0"/>
              <w:jc w:val="left"/>
              <w:rPr>
                <w:color w:val="000000"/>
              </w:rPr>
            </w:pPr>
            <w:r>
              <w:rPr>
                <w:color w:val="000000"/>
              </w:rPr>
              <w:t>%</w:t>
            </w:r>
          </w:p>
        </w:tc>
      </w:tr>
      <w:tr>
        <w:trPr/>
        <w:tc>
          <w:tcPr>
            <w:tcW w:w="4460" w:type="dxa"/>
            <w:tcBorders/>
            <w:vAlign w:val="bottom"/>
          </w:tcPr>
          <w:p>
            <w:pPr>
              <w:pStyle w:val="TableContents"/>
              <w:bidi w:val="0"/>
              <w:spacing w:before="0" w:after="0"/>
              <w:ind w:left="324" w:right="0" w:hanging="144"/>
              <w:jc w:val="left"/>
              <w:rPr>
                <w:color w:val="000000"/>
              </w:rPr>
            </w:pPr>
            <w:r>
              <w:rPr>
                <w:color w:val="000000"/>
              </w:rPr>
              <w:t>Commercial – general</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0.02</w:t>
            </w:r>
          </w:p>
        </w:tc>
        <w:tc>
          <w:tcPr>
            <w:tcW w:w="256"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(0.03</w:t>
            </w:r>
          </w:p>
        </w:tc>
        <w:tc>
          <w:tcPr>
            <w:tcW w:w="256"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0.05</w:t>
            </w:r>
          </w:p>
        </w:tc>
        <w:tc>
          <w:tcPr>
            <w:tcW w:w="256"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0.01</w:t>
            </w:r>
          </w:p>
        </w:tc>
        <w:tc>
          <w:tcPr>
            <w:tcW w:w="257" w:type="dxa"/>
            <w:tcBorders/>
            <w:vAlign w:val="bottom"/>
          </w:tcPr>
          <w:p>
            <w:pPr>
              <w:pStyle w:val="TableContents"/>
              <w:bidi w:val="0"/>
              <w:spacing w:before="0" w:after="0"/>
              <w:jc w:val="left"/>
              <w:rPr>
                <w:color w:val="000000"/>
              </w:rPr>
            </w:pPr>
            <w:r>
              <w:rPr>
                <w:color w:val="000000"/>
              </w:rPr>
              <w:t>%</w:t>
            </w:r>
          </w:p>
        </w:tc>
      </w:tr>
      <w:tr>
        <w:trPr/>
        <w:tc>
          <w:tcPr>
            <w:tcW w:w="4460" w:type="dxa"/>
            <w:tcBorders/>
            <w:shd w:fill="CCEEFF" w:val="clear"/>
            <w:vAlign w:val="bottom"/>
          </w:tcPr>
          <w:p>
            <w:pPr>
              <w:pStyle w:val="TableContents"/>
              <w:bidi w:val="0"/>
              <w:spacing w:before="0" w:after="0"/>
              <w:ind w:left="324" w:right="0" w:hanging="144"/>
              <w:jc w:val="left"/>
              <w:rPr>
                <w:color w:val="000000"/>
              </w:rPr>
            </w:pPr>
            <w:r>
              <w:rPr>
                <w:color w:val="000000"/>
              </w:rPr>
              <w:t>Consumer:</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257" w:type="dxa"/>
            <w:tcBorders/>
            <w:shd w:fill="CCEEFF" w:val="clear"/>
            <w:vAlign w:val="bottom"/>
          </w:tcPr>
          <w:p>
            <w:pPr>
              <w:pStyle w:val="TableContents"/>
              <w:bidi w:val="0"/>
              <w:spacing w:before="0" w:after="283"/>
              <w:jc w:val="left"/>
              <w:rPr/>
            </w:pPr>
            <w:r>
              <w:rPr/>
              <w:t> </w:t>
            </w:r>
          </w:p>
        </w:tc>
      </w:tr>
      <w:tr>
        <w:trPr/>
        <w:tc>
          <w:tcPr>
            <w:tcW w:w="4460" w:type="dxa"/>
            <w:tcBorders/>
            <w:vAlign w:val="bottom"/>
          </w:tcPr>
          <w:p>
            <w:pPr>
              <w:pStyle w:val="TableContents"/>
              <w:bidi w:val="0"/>
              <w:spacing w:before="0" w:after="0"/>
              <w:ind w:left="504" w:right="0" w:hanging="144"/>
              <w:jc w:val="left"/>
              <w:rPr>
                <w:color w:val="000000"/>
              </w:rPr>
            </w:pPr>
            <w:r>
              <w:rPr>
                <w:color w:val="000000"/>
              </w:rPr>
              <w:t>1-4 family residential</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0.00</w:t>
            </w:r>
          </w:p>
        </w:tc>
        <w:tc>
          <w:tcPr>
            <w:tcW w:w="256"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0.00</w:t>
            </w:r>
          </w:p>
        </w:tc>
        <w:tc>
          <w:tcPr>
            <w:tcW w:w="256"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0.00</w:t>
            </w:r>
          </w:p>
        </w:tc>
        <w:tc>
          <w:tcPr>
            <w:tcW w:w="256"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0.01</w:t>
            </w:r>
          </w:p>
        </w:tc>
        <w:tc>
          <w:tcPr>
            <w:tcW w:w="257" w:type="dxa"/>
            <w:tcBorders/>
            <w:vAlign w:val="bottom"/>
          </w:tcPr>
          <w:p>
            <w:pPr>
              <w:pStyle w:val="TableContents"/>
              <w:bidi w:val="0"/>
              <w:spacing w:before="0" w:after="0"/>
              <w:jc w:val="left"/>
              <w:rPr>
                <w:color w:val="000000"/>
              </w:rPr>
            </w:pPr>
            <w:r>
              <w:rPr>
                <w:color w:val="000000"/>
              </w:rPr>
              <w:t>%</w:t>
            </w:r>
          </w:p>
        </w:tc>
      </w:tr>
      <w:tr>
        <w:trPr/>
        <w:tc>
          <w:tcPr>
            <w:tcW w:w="4460" w:type="dxa"/>
            <w:tcBorders/>
            <w:shd w:fill="CCEEFF" w:val="clear"/>
            <w:vAlign w:val="bottom"/>
          </w:tcPr>
          <w:p>
            <w:pPr>
              <w:pStyle w:val="TableContents"/>
              <w:bidi w:val="0"/>
              <w:spacing w:before="0" w:after="0"/>
              <w:ind w:left="504" w:right="0" w:hanging="144"/>
              <w:jc w:val="left"/>
              <w:rPr>
                <w:color w:val="000000"/>
              </w:rPr>
            </w:pPr>
            <w:r>
              <w:rPr>
                <w:color w:val="000000"/>
              </w:rPr>
              <w:t>Auto loans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0.05</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0.01</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0.10</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0.03</w:t>
            </w:r>
          </w:p>
        </w:tc>
        <w:tc>
          <w:tcPr>
            <w:tcW w:w="257" w:type="dxa"/>
            <w:tcBorders/>
            <w:shd w:fill="CCEEFF" w:val="clear"/>
            <w:vAlign w:val="bottom"/>
          </w:tcPr>
          <w:p>
            <w:pPr>
              <w:pStyle w:val="TableContents"/>
              <w:bidi w:val="0"/>
              <w:spacing w:before="0" w:after="0"/>
              <w:jc w:val="left"/>
              <w:rPr>
                <w:color w:val="000000"/>
              </w:rPr>
            </w:pPr>
            <w:r>
              <w:rPr>
                <w:color w:val="000000"/>
              </w:rPr>
              <w:t>%</w:t>
            </w:r>
          </w:p>
        </w:tc>
      </w:tr>
      <w:tr>
        <w:trPr/>
        <w:tc>
          <w:tcPr>
            <w:tcW w:w="4460" w:type="dxa"/>
            <w:tcBorders/>
            <w:vAlign w:val="bottom"/>
          </w:tcPr>
          <w:p>
            <w:pPr>
              <w:pStyle w:val="TableContents"/>
              <w:bidi w:val="0"/>
              <w:spacing w:before="0" w:after="0"/>
              <w:ind w:left="504" w:right="0" w:hanging="144"/>
              <w:jc w:val="left"/>
              <w:rPr>
                <w:color w:val="000000"/>
              </w:rPr>
            </w:pPr>
            <w:r>
              <w:rPr>
                <w:color w:val="000000"/>
              </w:rPr>
              <w:t>Other consumer</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0.18</w:t>
            </w:r>
          </w:p>
        </w:tc>
        <w:tc>
          <w:tcPr>
            <w:tcW w:w="256"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0.22</w:t>
            </w:r>
          </w:p>
        </w:tc>
        <w:tc>
          <w:tcPr>
            <w:tcW w:w="256"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0.32</w:t>
            </w:r>
          </w:p>
        </w:tc>
        <w:tc>
          <w:tcPr>
            <w:tcW w:w="256"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0.38</w:t>
            </w:r>
          </w:p>
        </w:tc>
        <w:tc>
          <w:tcPr>
            <w:tcW w:w="257" w:type="dxa"/>
            <w:tcBorders/>
            <w:vAlign w:val="bottom"/>
          </w:tcPr>
          <w:p>
            <w:pPr>
              <w:pStyle w:val="TableContents"/>
              <w:bidi w:val="0"/>
              <w:spacing w:before="0" w:after="0"/>
              <w:jc w:val="left"/>
              <w:rPr>
                <w:color w:val="000000"/>
              </w:rPr>
            </w:pPr>
            <w:r>
              <w:rPr>
                <w:color w:val="000000"/>
              </w:rPr>
              <w:t>%</w:t>
            </w:r>
          </w:p>
        </w:tc>
      </w:tr>
      <w:tr>
        <w:trPr/>
        <w:tc>
          <w:tcPr>
            <w:tcW w:w="4460" w:type="dxa"/>
            <w:tcBorders/>
            <w:shd w:fill="CCEEFF" w:val="clear"/>
            <w:vAlign w:val="bottom"/>
          </w:tcPr>
          <w:p>
            <w:pPr>
              <w:pStyle w:val="TableContents"/>
              <w:bidi w:val="0"/>
              <w:spacing w:before="0" w:after="0"/>
              <w:ind w:left="324" w:right="0" w:hanging="144"/>
              <w:jc w:val="left"/>
              <w:rPr>
                <w:color w:val="000000"/>
              </w:rPr>
            </w:pPr>
            <w:r>
              <w:rPr>
                <w:color w:val="000000"/>
              </w:rPr>
              <w:t>Construction</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0.00</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0.11</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0.19</w:t>
            </w:r>
          </w:p>
        </w:tc>
        <w:tc>
          <w:tcPr>
            <w:tcW w:w="256"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0.11</w:t>
            </w:r>
          </w:p>
        </w:tc>
        <w:tc>
          <w:tcPr>
            <w:tcW w:w="257" w:type="dxa"/>
            <w:tcBorders/>
            <w:shd w:fill="CCEEFF" w:val="clear"/>
            <w:vAlign w:val="bottom"/>
          </w:tcPr>
          <w:p>
            <w:pPr>
              <w:pStyle w:val="TableContents"/>
              <w:bidi w:val="0"/>
              <w:spacing w:before="0" w:after="0"/>
              <w:jc w:val="left"/>
              <w:rPr>
                <w:color w:val="000000"/>
              </w:rPr>
            </w:pPr>
            <w:r>
              <w:rPr>
                <w:color w:val="000000"/>
              </w:rPr>
              <w:t>%</w:t>
            </w:r>
          </w:p>
        </w:tc>
      </w:tr>
      <w:tr>
        <w:trPr/>
        <w:tc>
          <w:tcPr>
            <w:tcW w:w="4460" w:type="dxa"/>
            <w:tcBorders/>
            <w:vAlign w:val="bottom"/>
          </w:tcPr>
          <w:p>
            <w:pPr>
              <w:pStyle w:val="TableContents"/>
              <w:bidi w:val="0"/>
              <w:spacing w:before="0" w:after="0"/>
              <w:ind w:left="144" w:right="0" w:hanging="144"/>
              <w:jc w:val="left"/>
              <w:rPr>
                <w:color w:val="000000"/>
              </w:rPr>
            </w:pPr>
            <w:r>
              <w:rPr>
                <w:color w:val="000000"/>
              </w:rPr>
              <w:t>Total ratio of net charge-offs (recoveries) to average loans during the periods</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0.01</w:t>
            </w:r>
          </w:p>
        </w:tc>
        <w:tc>
          <w:tcPr>
            <w:tcW w:w="256"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(0.01</w:t>
            </w:r>
          </w:p>
        </w:tc>
        <w:tc>
          <w:tcPr>
            <w:tcW w:w="256"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0.04</w:t>
            </w:r>
          </w:p>
        </w:tc>
        <w:tc>
          <w:tcPr>
            <w:tcW w:w="256"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pPr>
            <w:r>
              <w:rPr/>
              <w:t> </w:t>
            </w:r>
          </w:p>
        </w:tc>
        <w:tc>
          <w:tcPr>
            <w:tcW w:w="140" w:type="dxa"/>
            <w:tcBorders>
              <w:bottom w:val="double" w:sz="8" w:space="0" w:color="000000"/>
            </w:tcBorders>
            <w:tcMar>
              <w:bottom w:w="28" w:type="dxa"/>
            </w:tcMar>
            <w:vAlign w:val="bottom"/>
          </w:tcPr>
          <w:p>
            <w:pPr>
              <w:pStyle w:val="TableContents"/>
              <w:bidi w:val="0"/>
              <w:spacing w:before="0" w:after="283"/>
              <w:jc w:val="left"/>
              <w:rPr/>
            </w:pPr>
            <w:r>
              <w:rPr/>
              <w:t> </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0.01</w:t>
            </w:r>
          </w:p>
        </w:tc>
        <w:tc>
          <w:tcPr>
            <w:tcW w:w="257"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table provides other loan data as of the dates indicated.</w:t>
      </w:r>
    </w:p>
    <w:p>
      <w:pPr>
        <w:pStyle w:val="TextBody"/>
        <w:bidi w:val="0"/>
        <w:spacing w:before="0" w:after="0"/>
        <w:jc w:val="left"/>
        <w:rPr/>
      </w:pPr>
      <w:r>
        <w:rPr/>
      </w:r>
    </w:p>
    <w:tbl>
      <w:tblPr>
        <w:tblW w:w="8774" w:type="dxa"/>
        <w:jc w:val="left"/>
        <w:tblInd w:w="0" w:type="dxa"/>
        <w:tblLayout w:type="fixed"/>
        <w:tblCellMar>
          <w:top w:w="0" w:type="dxa"/>
          <w:left w:w="0" w:type="dxa"/>
          <w:bottom w:w="0" w:type="dxa"/>
          <w:right w:w="0" w:type="dxa"/>
        </w:tblCellMar>
      </w:tblPr>
      <w:tblGrid>
        <w:gridCol w:w="5570"/>
        <w:gridCol w:w="120"/>
        <w:gridCol w:w="140"/>
        <w:gridCol w:w="980"/>
        <w:gridCol w:w="215"/>
        <w:gridCol w:w="120"/>
        <w:gridCol w:w="176"/>
        <w:gridCol w:w="1238"/>
        <w:gridCol w:w="215"/>
      </w:tblGrid>
      <w:tr>
        <w:trPr/>
        <w:tc>
          <w:tcPr>
            <w:tcW w:w="55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w:t>
            </w:r>
          </w:p>
          <w:p>
            <w:pPr>
              <w:pStyle w:val="TableContents"/>
              <w:bidi w:val="0"/>
              <w:spacing w:before="0" w:after="0"/>
              <w:jc w:val="center"/>
              <w:rPr>
                <w:b/>
                <w:color w:val="000000"/>
              </w:rPr>
            </w:pPr>
            <w:r>
              <w:rPr>
                <w:b/>
                <w:color w:val="000000"/>
              </w:rPr>
              <w:t>2023</w:t>
            </w:r>
          </w:p>
        </w:tc>
        <w:tc>
          <w:tcPr>
            <w:tcW w:w="2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p>
            <w:pPr>
              <w:pStyle w:val="TableContents"/>
              <w:bidi w:val="0"/>
              <w:spacing w:before="0" w:after="0"/>
              <w:jc w:val="center"/>
              <w:rPr>
                <w:b/>
                <w:color w:val="000000"/>
              </w:rPr>
            </w:pPr>
            <w:r>
              <w:rPr>
                <w:b/>
                <w:color w:val="000000"/>
              </w:rPr>
              <w:t>2022</w:t>
            </w:r>
          </w:p>
        </w:tc>
        <w:tc>
          <w:tcPr>
            <w:tcW w:w="215" w:type="dxa"/>
            <w:tcBorders/>
            <w:vAlign w:val="bottom"/>
          </w:tcPr>
          <w:p>
            <w:pPr>
              <w:pStyle w:val="TableContents"/>
              <w:bidi w:val="0"/>
              <w:spacing w:before="0" w:after="283"/>
              <w:jc w:val="left"/>
              <w:rPr/>
            </w:pPr>
            <w:r>
              <w:rPr/>
              <w:t>  </w:t>
            </w:r>
          </w:p>
        </w:tc>
      </w:tr>
      <w:tr>
        <w:trPr/>
        <w:tc>
          <w:tcPr>
            <w:tcW w:w="55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869" w:type="dxa"/>
            <w:gridSpan w:val="6"/>
            <w:tcBorders/>
            <w:vAlign w:val="bottom"/>
          </w:tcPr>
          <w:p>
            <w:pPr>
              <w:pStyle w:val="TableContents"/>
              <w:bidi w:val="0"/>
              <w:spacing w:before="0" w:after="0"/>
              <w:jc w:val="center"/>
              <w:rPr>
                <w:b/>
                <w:color w:val="000000"/>
              </w:rPr>
            </w:pPr>
            <w:r>
              <w:rPr>
                <w:b/>
                <w:color w:val="000000"/>
              </w:rPr>
              <w:t>(Dollars in thousands)</w:t>
            </w:r>
          </w:p>
        </w:tc>
        <w:tc>
          <w:tcPr>
            <w:tcW w:w="215" w:type="dxa"/>
            <w:tcBorders/>
            <w:vAlign w:val="bottom"/>
          </w:tcPr>
          <w:p>
            <w:pPr>
              <w:pStyle w:val="TableContents"/>
              <w:bidi w:val="0"/>
              <w:spacing w:before="0" w:after="283"/>
              <w:jc w:val="left"/>
              <w:rPr/>
            </w:pPr>
            <w:r>
              <w:rPr/>
              <w:t> </w:t>
            </w:r>
          </w:p>
        </w:tc>
      </w:tr>
      <w:tr>
        <w:trPr/>
        <w:tc>
          <w:tcPr>
            <w:tcW w:w="5570" w:type="dxa"/>
            <w:tcBorders/>
            <w:shd w:fill="CCEEFF" w:val="clear"/>
            <w:vAlign w:val="bottom"/>
          </w:tcPr>
          <w:p>
            <w:pPr>
              <w:pStyle w:val="TableContents"/>
              <w:bidi w:val="0"/>
              <w:spacing w:before="0" w:after="0"/>
              <w:ind w:left="144" w:right="0" w:hanging="144"/>
              <w:jc w:val="left"/>
              <w:rPr>
                <w:color w:val="000000"/>
              </w:rPr>
            </w:pPr>
            <w:r>
              <w:rPr>
                <w:color w:val="000000"/>
              </w:rPr>
              <w:t>Total loans held for investment outstanding</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2,979,063</w:t>
            </w:r>
          </w:p>
        </w:tc>
        <w:tc>
          <w:tcPr>
            <w:tcW w:w="21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1238" w:type="dxa"/>
            <w:tcBorders/>
            <w:shd w:fill="CCEEFF" w:val="clear"/>
            <w:vAlign w:val="bottom"/>
          </w:tcPr>
          <w:p>
            <w:pPr>
              <w:pStyle w:val="TableContents"/>
              <w:bidi w:val="0"/>
              <w:spacing w:before="0" w:after="0"/>
              <w:jc w:val="right"/>
              <w:rPr>
                <w:color w:val="000000"/>
              </w:rPr>
            </w:pPr>
            <w:r>
              <w:rPr>
                <w:color w:val="000000"/>
              </w:rPr>
              <w:t>2,748,081</w:t>
            </w:r>
          </w:p>
        </w:tc>
        <w:tc>
          <w:tcPr>
            <w:tcW w:w="215" w:type="dxa"/>
            <w:tcBorders/>
            <w:shd w:fill="CCEEFF" w:val="clear"/>
            <w:vAlign w:val="bottom"/>
          </w:tcPr>
          <w:p>
            <w:pPr>
              <w:pStyle w:val="TableContents"/>
              <w:bidi w:val="0"/>
              <w:spacing w:before="0" w:after="283"/>
              <w:jc w:val="left"/>
              <w:rPr/>
            </w:pPr>
            <w:r>
              <w:rPr/>
              <w:t> </w:t>
            </w:r>
          </w:p>
        </w:tc>
      </w:tr>
      <w:tr>
        <w:trPr/>
        <w:tc>
          <w:tcPr>
            <w:tcW w:w="5570" w:type="dxa"/>
            <w:tcBorders/>
            <w:vAlign w:val="bottom"/>
          </w:tcPr>
          <w:p>
            <w:pPr>
              <w:pStyle w:val="TableContents"/>
              <w:bidi w:val="0"/>
              <w:spacing w:before="0" w:after="0"/>
              <w:ind w:left="144" w:right="0" w:hanging="144"/>
              <w:jc w:val="left"/>
              <w:rPr>
                <w:color w:val="000000"/>
              </w:rPr>
            </w:pPr>
            <w:r>
              <w:rPr>
                <w:color w:val="000000"/>
              </w:rPr>
              <w:t>Nonaccrual loans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color w:val="000000"/>
              </w:rPr>
            </w:pPr>
            <w:r>
              <w:rPr>
                <w:color w:val="000000"/>
              </w:rPr>
              <w:t>$</w:t>
            </w:r>
          </w:p>
        </w:tc>
        <w:tc>
          <w:tcPr>
            <w:tcW w:w="980" w:type="dxa"/>
            <w:tcBorders/>
            <w:vAlign w:val="bottom"/>
          </w:tcPr>
          <w:p>
            <w:pPr>
              <w:pStyle w:val="TableContents"/>
              <w:bidi w:val="0"/>
              <w:spacing w:before="0" w:after="0"/>
              <w:jc w:val="right"/>
              <w:rPr>
                <w:color w:val="000000"/>
              </w:rPr>
            </w:pPr>
            <w:r>
              <w:rPr>
                <w:color w:val="000000"/>
              </w:rPr>
              <w:t>16,561</w:t>
            </w:r>
          </w:p>
        </w:tc>
        <w:tc>
          <w:tcPr>
            <w:tcW w:w="2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0"/>
              <w:jc w:val="left"/>
              <w:rPr>
                <w:color w:val="000000"/>
              </w:rPr>
            </w:pPr>
            <w:r>
              <w:rPr>
                <w:color w:val="000000"/>
              </w:rPr>
              <w:t>$</w:t>
            </w:r>
          </w:p>
        </w:tc>
        <w:tc>
          <w:tcPr>
            <w:tcW w:w="1238" w:type="dxa"/>
            <w:tcBorders/>
            <w:vAlign w:val="bottom"/>
          </w:tcPr>
          <w:p>
            <w:pPr>
              <w:pStyle w:val="TableContents"/>
              <w:bidi w:val="0"/>
              <w:spacing w:before="0" w:after="0"/>
              <w:jc w:val="right"/>
              <w:rPr>
                <w:color w:val="000000"/>
              </w:rPr>
            </w:pPr>
            <w:r>
              <w:rPr>
                <w:color w:val="000000"/>
              </w:rPr>
              <w:t>5,802</w:t>
            </w:r>
          </w:p>
        </w:tc>
        <w:tc>
          <w:tcPr>
            <w:tcW w:w="215" w:type="dxa"/>
            <w:tcBorders/>
            <w:vAlign w:val="bottom"/>
          </w:tcPr>
          <w:p>
            <w:pPr>
              <w:pStyle w:val="TableContents"/>
              <w:bidi w:val="0"/>
              <w:spacing w:before="0" w:after="283"/>
              <w:jc w:val="left"/>
              <w:rPr/>
            </w:pPr>
            <w:r>
              <w:rPr/>
              <w:t> </w:t>
            </w:r>
          </w:p>
        </w:tc>
      </w:tr>
      <w:tr>
        <w:trPr/>
        <w:tc>
          <w:tcPr>
            <w:tcW w:w="5570" w:type="dxa"/>
            <w:tcBorders/>
            <w:shd w:fill="CCEEFF" w:val="clear"/>
            <w:vAlign w:val="bottom"/>
          </w:tcPr>
          <w:p>
            <w:pPr>
              <w:pStyle w:val="TableContents"/>
              <w:bidi w:val="0"/>
              <w:spacing w:before="0" w:after="0"/>
              <w:ind w:left="144" w:right="0" w:hanging="144"/>
              <w:jc w:val="left"/>
              <w:rPr>
                <w:color w:val="000000"/>
              </w:rPr>
            </w:pPr>
            <w:r>
              <w:rPr>
                <w:color w:val="000000"/>
              </w:rPr>
              <w:t>Allowance for credit losses</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43,137</w:t>
            </w:r>
          </w:p>
        </w:tc>
        <w:tc>
          <w:tcPr>
            <w:tcW w:w="21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1238" w:type="dxa"/>
            <w:tcBorders/>
            <w:shd w:fill="CCEEFF" w:val="clear"/>
            <w:vAlign w:val="bottom"/>
          </w:tcPr>
          <w:p>
            <w:pPr>
              <w:pStyle w:val="TableContents"/>
              <w:bidi w:val="0"/>
              <w:spacing w:before="0" w:after="0"/>
              <w:jc w:val="right"/>
              <w:rPr>
                <w:color w:val="000000"/>
              </w:rPr>
            </w:pPr>
            <w:r>
              <w:rPr>
                <w:color w:val="000000"/>
              </w:rPr>
              <w:t>39,288</w:t>
            </w:r>
          </w:p>
        </w:tc>
        <w:tc>
          <w:tcPr>
            <w:tcW w:w="215" w:type="dxa"/>
            <w:tcBorders/>
            <w:shd w:fill="CCEEFF" w:val="clear"/>
            <w:vAlign w:val="bottom"/>
          </w:tcPr>
          <w:p>
            <w:pPr>
              <w:pStyle w:val="TableContents"/>
              <w:bidi w:val="0"/>
              <w:spacing w:before="0" w:after="283"/>
              <w:jc w:val="left"/>
              <w:rPr/>
            </w:pPr>
            <w:r>
              <w:rPr/>
              <w:t> </w:t>
            </w:r>
          </w:p>
        </w:tc>
      </w:tr>
      <w:tr>
        <w:trPr/>
        <w:tc>
          <w:tcPr>
            <w:tcW w:w="55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5570" w:type="dxa"/>
            <w:tcBorders/>
            <w:shd w:fill="CCEEFF" w:val="clear"/>
            <w:vAlign w:val="bottom"/>
          </w:tcPr>
          <w:p>
            <w:pPr>
              <w:pStyle w:val="TableContents"/>
              <w:bidi w:val="0"/>
              <w:spacing w:before="0" w:after="0"/>
              <w:ind w:left="144" w:right="0" w:hanging="144"/>
              <w:jc w:val="left"/>
              <w:rPr>
                <w:color w:val="000000"/>
              </w:rPr>
            </w:pPr>
            <w:r>
              <w:rPr>
                <w:color w:val="000000"/>
              </w:rPr>
              <w:t>Ratio of allowance to total loans held for investment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1.45</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1.43</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5570" w:type="dxa"/>
            <w:tcBorders/>
            <w:vAlign w:val="bottom"/>
          </w:tcPr>
          <w:p>
            <w:pPr>
              <w:pStyle w:val="TableContents"/>
              <w:bidi w:val="0"/>
              <w:spacing w:before="0" w:after="0"/>
              <w:ind w:left="144" w:right="0" w:hanging="144"/>
              <w:jc w:val="left"/>
              <w:rPr>
                <w:color w:val="000000"/>
              </w:rPr>
            </w:pPr>
            <w:r>
              <w:rPr>
                <w:color w:val="000000"/>
              </w:rPr>
              <w:t>Ratio of allowance to nonaccrual loans</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260.47</w:t>
            </w:r>
          </w:p>
        </w:tc>
        <w:tc>
          <w:tcPr>
            <w:tcW w:w="215" w:type="dxa"/>
            <w:tcBorders/>
            <w:vAlign w:val="bottom"/>
          </w:tcPr>
          <w:p>
            <w:pPr>
              <w:pStyle w:val="TableContents"/>
              <w:bidi w:val="0"/>
              <w:spacing w:before="0" w:after="0"/>
              <w:jc w:val="left"/>
              <w:rPr>
                <w:color w:val="000000"/>
              </w:rPr>
            </w:pPr>
            <w:r>
              <w:rPr>
                <w:color w:val="000000"/>
              </w:rPr>
              <w:t>%</w:t>
            </w:r>
          </w:p>
        </w:tc>
        <w:tc>
          <w:tcPr>
            <w:tcW w:w="12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0"/>
              <w:jc w:val="right"/>
              <w:rPr>
                <w:color w:val="000000"/>
              </w:rPr>
            </w:pPr>
            <w:r>
              <w:rPr>
                <w:color w:val="000000"/>
              </w:rPr>
              <w:t>677.15</w:t>
            </w:r>
          </w:p>
        </w:tc>
        <w:tc>
          <w:tcPr>
            <w:tcW w:w="215" w:type="dxa"/>
            <w:tcBorders/>
            <w:vAlign w:val="bottom"/>
          </w:tcPr>
          <w:p>
            <w:pPr>
              <w:pStyle w:val="TableContents"/>
              <w:bidi w:val="0"/>
              <w:spacing w:before="0" w:after="0"/>
              <w:jc w:val="left"/>
              <w:rPr>
                <w:color w:val="000000"/>
              </w:rPr>
            </w:pPr>
            <w:r>
              <w:rPr>
                <w:color w:val="000000"/>
              </w:rPr>
              <w:t>%</w:t>
            </w:r>
          </w:p>
        </w:tc>
      </w:tr>
      <w:tr>
        <w:trPr/>
        <w:tc>
          <w:tcPr>
            <w:tcW w:w="5570" w:type="dxa"/>
            <w:tcBorders/>
            <w:shd w:fill="CCEEFF" w:val="clear"/>
            <w:vAlign w:val="bottom"/>
          </w:tcPr>
          <w:p>
            <w:pPr>
              <w:pStyle w:val="TableContents"/>
              <w:bidi w:val="0"/>
              <w:spacing w:before="0" w:after="0"/>
              <w:ind w:left="144" w:right="0" w:hanging="144"/>
              <w:jc w:val="left"/>
              <w:rPr>
                <w:color w:val="000000"/>
              </w:rPr>
            </w:pPr>
            <w:r>
              <w:rPr>
                <w:color w:val="000000"/>
              </w:rPr>
              <w:t>Ratio of nonaccrual loans to total loans held for investment</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0.56</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12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0"/>
              <w:jc w:val="right"/>
              <w:rPr>
                <w:color w:val="000000"/>
              </w:rPr>
            </w:pPr>
            <w:r>
              <w:rPr>
                <w:color w:val="000000"/>
              </w:rPr>
              <w:t>0.21</w:t>
            </w:r>
          </w:p>
        </w:tc>
        <w:tc>
          <w:tcPr>
            <w:tcW w:w="215"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Net charge-offs (recoveries) totaled $383 thousand and were 0.05% (annualized) of average loans outstanding for the three months ended June 30, 2023, compared to $(136) thousand and (0.02)% (annualized) for the three months ended June 30, 2022. Net charge-offs totaled $1.0 million and were 0.07% (annualized) of average loans outstanding for the six months ended June 30, 2023, compared to $228 thousand and 0.02% (annualized) for the six months ended June 30, 2022. There was a $400 thousand recovery on a commercial tenant relationship in the second quarter of 2022 that affected both of the period comparisons. The allowance for loan losses as a percentage of loans held for investment was 1.45% at June 30, 2023 and 1.43% at December 31,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While the entire ACL for loans is available to absorb losses from any part of our loan portfolio, the following table sets forth the allocation of the ACL for loans for the periods presented and the percentage of allowance in each classification to total allowance:</w:t>
      </w:r>
    </w:p>
    <w:p>
      <w:pPr>
        <w:pStyle w:val="TextBody"/>
        <w:bidi w:val="0"/>
        <w:spacing w:before="0" w:after="0"/>
        <w:jc w:val="left"/>
        <w:rPr/>
      </w:pPr>
      <w:r>
        <w:rPr/>
      </w:r>
    </w:p>
    <w:tbl>
      <w:tblPr>
        <w:tblW w:w="8000" w:type="dxa"/>
        <w:jc w:val="left"/>
        <w:tblInd w:w="0" w:type="dxa"/>
        <w:tblLayout w:type="fixed"/>
        <w:tblCellMar>
          <w:top w:w="0" w:type="dxa"/>
          <w:left w:w="0" w:type="dxa"/>
          <w:bottom w:w="0" w:type="dxa"/>
          <w:right w:w="0" w:type="dxa"/>
        </w:tblCellMar>
      </w:tblPr>
      <w:tblGrid>
        <w:gridCol w:w="3065"/>
        <w:gridCol w:w="60"/>
        <w:gridCol w:w="146"/>
        <w:gridCol w:w="714"/>
        <w:gridCol w:w="60"/>
        <w:gridCol w:w="60"/>
        <w:gridCol w:w="107"/>
        <w:gridCol w:w="1007"/>
        <w:gridCol w:w="215"/>
        <w:gridCol w:w="60"/>
        <w:gridCol w:w="175"/>
        <w:gridCol w:w="852"/>
        <w:gridCol w:w="75"/>
        <w:gridCol w:w="75"/>
        <w:gridCol w:w="107"/>
        <w:gridCol w:w="1007"/>
        <w:gridCol w:w="215"/>
      </w:tblGrid>
      <w:tr>
        <w:trPr/>
        <w:tc>
          <w:tcPr>
            <w:tcW w:w="3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9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1"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2022</w:t>
            </w:r>
          </w:p>
        </w:tc>
        <w:tc>
          <w:tcPr>
            <w:tcW w:w="215" w:type="dxa"/>
            <w:tcBorders/>
            <w:vAlign w:val="bottom"/>
          </w:tcPr>
          <w:p>
            <w:pPr>
              <w:pStyle w:val="TableContents"/>
              <w:bidi w:val="0"/>
              <w:spacing w:before="0" w:after="283"/>
              <w:jc w:val="left"/>
              <w:rPr/>
            </w:pPr>
            <w:r>
              <w:rPr/>
              <w:t> </w:t>
            </w:r>
          </w:p>
        </w:tc>
      </w:tr>
      <w:tr>
        <w:trPr/>
        <w:tc>
          <w:tcPr>
            <w:tcW w:w="3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 Total</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 Total</w:t>
            </w:r>
          </w:p>
        </w:tc>
        <w:tc>
          <w:tcPr>
            <w:tcW w:w="215" w:type="dxa"/>
            <w:tcBorders/>
            <w:vAlign w:val="bottom"/>
          </w:tcPr>
          <w:p>
            <w:pPr>
              <w:pStyle w:val="TableContents"/>
              <w:bidi w:val="0"/>
              <w:spacing w:before="0" w:after="283"/>
              <w:jc w:val="left"/>
              <w:rPr/>
            </w:pPr>
            <w:r>
              <w:rPr/>
              <w:t> </w:t>
            </w:r>
          </w:p>
        </w:tc>
      </w:tr>
      <w:tr>
        <w:trPr/>
        <w:tc>
          <w:tcPr>
            <w:tcW w:w="30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60" w:type="dxa"/>
            <w:gridSpan w:val="14"/>
            <w:tcBorders/>
            <w:vAlign w:val="bottom"/>
          </w:tcPr>
          <w:p>
            <w:pPr>
              <w:pStyle w:val="TableContents"/>
              <w:bidi w:val="0"/>
              <w:spacing w:before="0" w:after="0"/>
              <w:jc w:val="center"/>
              <w:rPr>
                <w:b/>
                <w:color w:val="000000"/>
              </w:rPr>
            </w:pPr>
            <w:r>
              <w:rPr>
                <w:b/>
                <w:color w:val="000000"/>
              </w:rPr>
              <w:t>(Dollars in thousands)</w:t>
            </w:r>
          </w:p>
        </w:tc>
        <w:tc>
          <w:tcPr>
            <w:tcW w:w="215" w:type="dxa"/>
            <w:tcBorders/>
            <w:vAlign w:val="bottom"/>
          </w:tcPr>
          <w:p>
            <w:pPr>
              <w:pStyle w:val="TableContents"/>
              <w:bidi w:val="0"/>
              <w:spacing w:before="0" w:after="283"/>
              <w:jc w:val="left"/>
              <w:rPr/>
            </w:pPr>
            <w:r>
              <w:rPr/>
              <w:t> </w:t>
            </w:r>
          </w:p>
        </w:tc>
      </w:tr>
      <w:tr>
        <w:trPr/>
        <w:tc>
          <w:tcPr>
            <w:tcW w:w="3065" w:type="dxa"/>
            <w:tcBorders/>
            <w:shd w:fill="CCEEFF" w:val="clear"/>
            <w:vAlign w:val="bottom"/>
          </w:tcPr>
          <w:p>
            <w:pPr>
              <w:pStyle w:val="TableContents"/>
              <w:bidi w:val="0"/>
              <w:spacing w:before="0" w:after="0"/>
              <w:ind w:left="144" w:right="0" w:hanging="144"/>
              <w:jc w:val="left"/>
              <w:rPr>
                <w:color w:val="000000"/>
              </w:rPr>
            </w:pPr>
            <w:r>
              <w:rPr>
                <w:color w:val="000000"/>
              </w:rPr>
              <w:t>Commercial real estate</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0"/>
              <w:jc w:val="left"/>
              <w:rPr/>
            </w:pPr>
            <w:r>
              <w:rPr/>
              <w:t>$</w:t>
            </w:r>
          </w:p>
        </w:tc>
        <w:tc>
          <w:tcPr>
            <w:tcW w:w="714" w:type="dxa"/>
            <w:tcBorders/>
            <w:shd w:fill="CCEEFF" w:val="clear"/>
            <w:vAlign w:val="bottom"/>
          </w:tcPr>
          <w:p>
            <w:pPr>
              <w:pStyle w:val="TableContents"/>
              <w:bidi w:val="0"/>
              <w:spacing w:before="0" w:after="0"/>
              <w:jc w:val="right"/>
              <w:rPr/>
            </w:pPr>
            <w:r>
              <w:rPr/>
              <w:t>14,501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33.6</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0"/>
              <w:jc w:val="left"/>
              <w:rPr/>
            </w:pPr>
            <w:r>
              <w:rPr/>
              <w:t>$</w:t>
            </w:r>
          </w:p>
        </w:tc>
        <w:tc>
          <w:tcPr>
            <w:tcW w:w="852" w:type="dxa"/>
            <w:tcBorders/>
            <w:shd w:fill="CCEEFF" w:val="clear"/>
            <w:vAlign w:val="bottom"/>
          </w:tcPr>
          <w:p>
            <w:pPr>
              <w:pStyle w:val="TableContents"/>
              <w:bidi w:val="0"/>
              <w:spacing w:before="0" w:after="0"/>
              <w:jc w:val="right"/>
              <w:rPr/>
            </w:pPr>
            <w:r>
              <w:rPr/>
              <w:t>13,029</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33.1</w:t>
            </w:r>
          </w:p>
        </w:tc>
        <w:tc>
          <w:tcPr>
            <w:tcW w:w="215" w:type="dxa"/>
            <w:tcBorders/>
            <w:shd w:fill="CCEEFF" w:val="clear"/>
            <w:vAlign w:val="bottom"/>
          </w:tcPr>
          <w:p>
            <w:pPr>
              <w:pStyle w:val="TableContents"/>
              <w:bidi w:val="0"/>
              <w:spacing w:before="0" w:after="0"/>
              <w:jc w:val="left"/>
              <w:rPr/>
            </w:pPr>
            <w:r>
              <w:rPr/>
              <w:t>%</w:t>
            </w:r>
          </w:p>
        </w:tc>
      </w:tr>
      <w:tr>
        <w:trPr/>
        <w:tc>
          <w:tcPr>
            <w:tcW w:w="3065" w:type="dxa"/>
            <w:tcBorders/>
            <w:vAlign w:val="bottom"/>
          </w:tcPr>
          <w:p>
            <w:pPr>
              <w:pStyle w:val="TableContents"/>
              <w:bidi w:val="0"/>
              <w:spacing w:before="0" w:after="0"/>
              <w:ind w:left="144" w:right="0" w:hanging="144"/>
              <w:jc w:val="left"/>
              <w:rPr>
                <w:color w:val="000000"/>
              </w:rPr>
            </w:pPr>
            <w:r>
              <w:rPr>
                <w:color w:val="000000"/>
              </w:rPr>
              <w:t>Commercial – specialized</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pPr>
            <w:r>
              <w:rPr/>
              <w:t>4,154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pPr>
            <w:r>
              <w:rPr/>
              <w:t>9.7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0"/>
              <w:jc w:val="right"/>
              <w:rPr/>
            </w:pPr>
            <w:r>
              <w:rPr/>
              <w:t>3,425</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pPr>
            <w:r>
              <w:rPr/>
              <w:t>8.7</w:t>
            </w:r>
          </w:p>
        </w:tc>
        <w:tc>
          <w:tcPr>
            <w:tcW w:w="215" w:type="dxa"/>
            <w:tcBorders/>
            <w:vAlign w:val="bottom"/>
          </w:tcPr>
          <w:p>
            <w:pPr>
              <w:pStyle w:val="TableContents"/>
              <w:bidi w:val="0"/>
              <w:spacing w:before="0" w:after="283"/>
              <w:jc w:val="left"/>
              <w:rPr/>
            </w:pPr>
            <w:r>
              <w:rPr/>
              <w:t> </w:t>
            </w:r>
          </w:p>
        </w:tc>
      </w:tr>
      <w:tr>
        <w:trPr/>
        <w:tc>
          <w:tcPr>
            <w:tcW w:w="3065" w:type="dxa"/>
            <w:tcBorders/>
            <w:shd w:fill="CCEEFF" w:val="clear"/>
            <w:vAlign w:val="bottom"/>
          </w:tcPr>
          <w:p>
            <w:pPr>
              <w:pStyle w:val="TableContents"/>
              <w:bidi w:val="0"/>
              <w:spacing w:before="0" w:after="0"/>
              <w:ind w:left="144" w:right="0" w:hanging="144"/>
              <w:jc w:val="left"/>
              <w:rPr>
                <w:color w:val="000000"/>
              </w:rPr>
            </w:pPr>
            <w:r>
              <w:rPr>
                <w:color w:val="000000"/>
              </w:rPr>
              <w:t>Commercial – general</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pPr>
            <w:r>
              <w:rPr/>
              <w:t>7,637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17.7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0"/>
              <w:jc w:val="right"/>
              <w:rPr/>
            </w:pPr>
            <w:r>
              <w:rPr/>
              <w:t>9,215</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23.5</w:t>
            </w:r>
          </w:p>
        </w:tc>
        <w:tc>
          <w:tcPr>
            <w:tcW w:w="215" w:type="dxa"/>
            <w:tcBorders/>
            <w:shd w:fill="CCEEFF" w:val="clear"/>
            <w:vAlign w:val="bottom"/>
          </w:tcPr>
          <w:p>
            <w:pPr>
              <w:pStyle w:val="TableContents"/>
              <w:bidi w:val="0"/>
              <w:spacing w:before="0" w:after="283"/>
              <w:jc w:val="left"/>
              <w:rPr/>
            </w:pPr>
            <w:r>
              <w:rPr/>
              <w:t> </w:t>
            </w:r>
          </w:p>
        </w:tc>
      </w:tr>
      <w:tr>
        <w:trPr/>
        <w:tc>
          <w:tcPr>
            <w:tcW w:w="3065" w:type="dxa"/>
            <w:tcBorders/>
            <w:vAlign w:val="bottom"/>
          </w:tcPr>
          <w:p>
            <w:pPr>
              <w:pStyle w:val="TableContents"/>
              <w:bidi w:val="0"/>
              <w:spacing w:before="0" w:after="0"/>
              <w:ind w:left="144" w:right="0" w:hanging="144"/>
              <w:jc w:val="left"/>
              <w:rPr>
                <w:color w:val="000000"/>
              </w:rPr>
            </w:pPr>
            <w:r>
              <w:rPr>
                <w:color w:val="000000"/>
              </w:rPr>
              <w:t>Consumer:</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3065" w:type="dxa"/>
            <w:tcBorders/>
            <w:shd w:fill="CCEEFF" w:val="clear"/>
            <w:vAlign w:val="bottom"/>
          </w:tcPr>
          <w:p>
            <w:pPr>
              <w:pStyle w:val="TableContents"/>
              <w:bidi w:val="0"/>
              <w:spacing w:before="0" w:after="0"/>
              <w:ind w:left="324" w:right="0" w:hanging="144"/>
              <w:jc w:val="left"/>
              <w:rPr>
                <w:color w:val="000000"/>
              </w:rPr>
            </w:pPr>
            <w:r>
              <w:rPr>
                <w:color w:val="000000"/>
              </w:rPr>
              <w:t>1-4 family residential</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pPr>
            <w:r>
              <w:rPr/>
              <w:t>8,851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20.5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0"/>
              <w:jc w:val="right"/>
              <w:rPr/>
            </w:pPr>
            <w:r>
              <w:rPr/>
              <w:t>6,194</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15.8</w:t>
            </w:r>
          </w:p>
        </w:tc>
        <w:tc>
          <w:tcPr>
            <w:tcW w:w="215" w:type="dxa"/>
            <w:tcBorders/>
            <w:shd w:fill="CCEEFF" w:val="clear"/>
            <w:vAlign w:val="bottom"/>
          </w:tcPr>
          <w:p>
            <w:pPr>
              <w:pStyle w:val="TableContents"/>
              <w:bidi w:val="0"/>
              <w:spacing w:before="0" w:after="283"/>
              <w:jc w:val="left"/>
              <w:rPr/>
            </w:pPr>
            <w:r>
              <w:rPr/>
              <w:t> </w:t>
            </w:r>
          </w:p>
        </w:tc>
      </w:tr>
      <w:tr>
        <w:trPr/>
        <w:tc>
          <w:tcPr>
            <w:tcW w:w="3065" w:type="dxa"/>
            <w:tcBorders/>
            <w:vAlign w:val="bottom"/>
          </w:tcPr>
          <w:p>
            <w:pPr>
              <w:pStyle w:val="TableContents"/>
              <w:bidi w:val="0"/>
              <w:spacing w:before="0" w:after="0"/>
              <w:ind w:left="324" w:right="0" w:hanging="144"/>
              <w:jc w:val="left"/>
              <w:rPr>
                <w:color w:val="000000"/>
              </w:rPr>
            </w:pPr>
            <w:r>
              <w:rPr>
                <w:color w:val="000000"/>
              </w:rPr>
              <w:t>Auto loans</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4" w:type="dxa"/>
            <w:tcBorders/>
            <w:vAlign w:val="bottom"/>
          </w:tcPr>
          <w:p>
            <w:pPr>
              <w:pStyle w:val="TableContents"/>
              <w:bidi w:val="0"/>
              <w:spacing w:before="0" w:after="0"/>
              <w:jc w:val="right"/>
              <w:rPr/>
            </w:pPr>
            <w:r>
              <w:rPr/>
              <w:t>3,900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pPr>
            <w:r>
              <w:rPr/>
              <w:t>9.0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0"/>
              <w:jc w:val="right"/>
              <w:rPr/>
            </w:pPr>
            <w:r>
              <w:rPr/>
              <w:t>3,926</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pPr>
            <w:r>
              <w:rPr/>
              <w:t>10.0</w:t>
            </w:r>
          </w:p>
        </w:tc>
        <w:tc>
          <w:tcPr>
            <w:tcW w:w="215" w:type="dxa"/>
            <w:tcBorders/>
            <w:vAlign w:val="bottom"/>
          </w:tcPr>
          <w:p>
            <w:pPr>
              <w:pStyle w:val="TableContents"/>
              <w:bidi w:val="0"/>
              <w:spacing w:before="0" w:after="283"/>
              <w:jc w:val="left"/>
              <w:rPr/>
            </w:pPr>
            <w:r>
              <w:rPr/>
              <w:t> </w:t>
            </w:r>
          </w:p>
        </w:tc>
      </w:tr>
      <w:tr>
        <w:trPr/>
        <w:tc>
          <w:tcPr>
            <w:tcW w:w="3065" w:type="dxa"/>
            <w:tcBorders/>
            <w:shd w:fill="CCEEFF" w:val="clear"/>
            <w:vAlign w:val="bottom"/>
          </w:tcPr>
          <w:p>
            <w:pPr>
              <w:pStyle w:val="TableContents"/>
              <w:bidi w:val="0"/>
              <w:spacing w:before="0" w:after="0"/>
              <w:ind w:left="324" w:right="0" w:hanging="144"/>
              <w:jc w:val="left"/>
              <w:rPr>
                <w:color w:val="000000"/>
              </w:rPr>
            </w:pPr>
            <w:r>
              <w:rPr>
                <w:color w:val="000000"/>
              </w:rPr>
              <w:t>Other consumer</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4" w:type="dxa"/>
            <w:tcBorders/>
            <w:shd w:fill="CCEEFF" w:val="clear"/>
            <w:vAlign w:val="bottom"/>
          </w:tcPr>
          <w:p>
            <w:pPr>
              <w:pStyle w:val="TableContents"/>
              <w:bidi w:val="0"/>
              <w:spacing w:before="0" w:after="0"/>
              <w:jc w:val="right"/>
              <w:rPr/>
            </w:pPr>
            <w:r>
              <w:rPr/>
              <w:t>1,107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2.6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0"/>
              <w:jc w:val="right"/>
              <w:rPr/>
            </w:pPr>
            <w:r>
              <w:rPr/>
              <w:t>1,376</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3.5</w:t>
            </w:r>
          </w:p>
        </w:tc>
        <w:tc>
          <w:tcPr>
            <w:tcW w:w="215" w:type="dxa"/>
            <w:tcBorders/>
            <w:shd w:fill="CCEEFF" w:val="clear"/>
            <w:vAlign w:val="bottom"/>
          </w:tcPr>
          <w:p>
            <w:pPr>
              <w:pStyle w:val="TableContents"/>
              <w:bidi w:val="0"/>
              <w:spacing w:before="0" w:after="283"/>
              <w:jc w:val="left"/>
              <w:rPr/>
            </w:pPr>
            <w:r>
              <w:rPr/>
              <w:t> </w:t>
            </w:r>
          </w:p>
        </w:tc>
      </w:tr>
      <w:tr>
        <w:trPr/>
        <w:tc>
          <w:tcPr>
            <w:tcW w:w="3065" w:type="dxa"/>
            <w:tcBorders/>
            <w:vAlign w:val="bottom"/>
          </w:tcPr>
          <w:p>
            <w:pPr>
              <w:pStyle w:val="TableContents"/>
              <w:bidi w:val="0"/>
              <w:spacing w:before="0" w:after="0"/>
              <w:ind w:left="144" w:right="0" w:hanging="144"/>
              <w:jc w:val="left"/>
              <w:rPr>
                <w:color w:val="000000"/>
              </w:rPr>
            </w:pPr>
            <w:r>
              <w:rPr>
                <w:color w:val="000000"/>
              </w:rPr>
              <w:t>Construction</w:t>
            </w:r>
          </w:p>
        </w:tc>
        <w:tc>
          <w:tcPr>
            <w:tcW w:w="60" w:type="dxa"/>
            <w:tcBorders/>
            <w:vAlign w:val="bottom"/>
          </w:tcPr>
          <w:p>
            <w:pPr>
              <w:pStyle w:val="TableContents"/>
              <w:bidi w:val="0"/>
              <w:spacing w:before="0" w:after="283"/>
              <w:jc w:val="lef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714" w:type="dxa"/>
            <w:tcBorders>
              <w:bottom w:val="single" w:sz="12" w:space="0" w:color="000000"/>
            </w:tcBorders>
            <w:tcMar>
              <w:bottom w:w="28" w:type="dxa"/>
            </w:tcMar>
            <w:vAlign w:val="bottom"/>
          </w:tcPr>
          <w:p>
            <w:pPr>
              <w:pStyle w:val="TableContents"/>
              <w:bidi w:val="0"/>
              <w:spacing w:before="0" w:after="0"/>
              <w:jc w:val="right"/>
              <w:rPr/>
            </w:pPr>
            <w:r>
              <w:rPr/>
              <w:t>2,987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pPr>
            <w:r>
              <w:rPr/>
              <w:t>6.9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tcMar>
              <w:bottom w:w="28" w:type="dxa"/>
            </w:tcMar>
            <w:vAlign w:val="bottom"/>
          </w:tcPr>
          <w:p>
            <w:pPr>
              <w:pStyle w:val="TableContents"/>
              <w:bidi w:val="0"/>
              <w:spacing w:before="0" w:after="0"/>
              <w:jc w:val="right"/>
              <w:rPr/>
            </w:pPr>
            <w:r>
              <w:rPr/>
              <w:t>2,123</w:t>
            </w:r>
          </w:p>
        </w:tc>
        <w:tc>
          <w:tcPr>
            <w:tcW w:w="75"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pPr>
            <w:r>
              <w:rPr/>
              <w:t>5.4</w:t>
            </w:r>
          </w:p>
        </w:tc>
        <w:tc>
          <w:tcPr>
            <w:tcW w:w="215" w:type="dxa"/>
            <w:tcBorders/>
            <w:vAlign w:val="bottom"/>
          </w:tcPr>
          <w:p>
            <w:pPr>
              <w:pStyle w:val="TableContents"/>
              <w:bidi w:val="0"/>
              <w:spacing w:before="0" w:after="283"/>
              <w:jc w:val="left"/>
              <w:rPr/>
            </w:pPr>
            <w:r>
              <w:rPr/>
              <w:t> </w:t>
            </w:r>
          </w:p>
        </w:tc>
      </w:tr>
      <w:tr>
        <w:trPr/>
        <w:tc>
          <w:tcPr>
            <w:tcW w:w="3065" w:type="dxa"/>
            <w:tcBorders/>
            <w:shd w:fill="CCEEFF" w:val="clear"/>
            <w:vAlign w:val="bottom"/>
          </w:tcPr>
          <w:p>
            <w:pPr>
              <w:pStyle w:val="TableContents"/>
              <w:bidi w:val="0"/>
              <w:spacing w:before="0" w:after="0"/>
              <w:ind w:left="144" w:right="0" w:hanging="144"/>
              <w:jc w:val="left"/>
              <w:rPr>
                <w:color w:val="000000"/>
              </w:rPr>
            </w:pPr>
            <w:r>
              <w:rPr>
                <w:color w:val="000000"/>
              </w:rPr>
              <w:t>Total allowance for credit losses</w:t>
            </w:r>
          </w:p>
        </w:tc>
        <w:tc>
          <w:tcPr>
            <w:tcW w:w="60" w:type="dxa"/>
            <w:tcBorders/>
            <w:shd w:fill="CCEEFF" w:val="clear"/>
            <w:vAlign w:val="bottom"/>
          </w:tcPr>
          <w:p>
            <w:pPr>
              <w:pStyle w:val="TableContents"/>
              <w:bidi w:val="0"/>
              <w:spacing w:before="0" w:after="283"/>
              <w:jc w:val="left"/>
              <w:rPr/>
            </w:pPr>
            <w:r>
              <w:rPr/>
              <w:t> </w:t>
            </w:r>
          </w:p>
        </w:tc>
        <w:tc>
          <w:tcPr>
            <w:tcW w:w="146"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714" w:type="dxa"/>
            <w:tcBorders>
              <w:bottom w:val="double" w:sz="8" w:space="0" w:color="000000"/>
            </w:tcBorders>
            <w:shd w:fill="CCEEFF" w:val="clear"/>
            <w:tcMar>
              <w:bottom w:w="28" w:type="dxa"/>
            </w:tcMar>
            <w:vAlign w:val="bottom"/>
          </w:tcPr>
          <w:p>
            <w:pPr>
              <w:pStyle w:val="TableContents"/>
              <w:bidi w:val="0"/>
              <w:spacing w:before="0" w:after="0"/>
              <w:jc w:val="right"/>
              <w:rPr/>
            </w:pPr>
            <w:r>
              <w:rPr/>
              <w:t>43,137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pPr>
            <w:r>
              <w:rPr/>
              <w:t>100.0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75"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52" w:type="dxa"/>
            <w:tcBorders>
              <w:bottom w:val="double" w:sz="8" w:space="0" w:color="000000"/>
            </w:tcBorders>
            <w:shd w:fill="CCEEFF" w:val="clear"/>
            <w:tcMar>
              <w:bottom w:w="28" w:type="dxa"/>
            </w:tcMar>
            <w:vAlign w:val="bottom"/>
          </w:tcPr>
          <w:p>
            <w:pPr>
              <w:pStyle w:val="TableContents"/>
              <w:bidi w:val="0"/>
              <w:spacing w:before="0" w:after="0"/>
              <w:jc w:val="right"/>
              <w:rPr/>
            </w:pPr>
            <w:r>
              <w:rPr/>
              <w:t>39,288</w:t>
            </w:r>
          </w:p>
        </w:tc>
        <w:tc>
          <w:tcPr>
            <w:tcW w:w="75"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0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pPr>
            <w:r>
              <w:rPr/>
              <w:t>100.0</w:t>
            </w:r>
          </w:p>
        </w:tc>
        <w:tc>
          <w:tcPr>
            <w:tcW w:w="21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Asset Quality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Loans that exhibit characteristics different from their pool characteristics are evaluated on an individual basis. Loans evaluated individually are not included in the collective ACL evaluation. Income from loans on nonaccrual status is recognized to the extent cash is received and when the loan’s principal balance is deemed collectible. Depending on a particular loan’s circumstances, we analyze loans for specific allowance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specific allowance amount on a collateral-dependent loan is charged-off to the allowance if deemed not collectible and the impairment amount on a loan that is not collateral-dependent is set up as a specific reserve.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Real estate we acquire as a result of foreclosure or by deed-in-lieu of foreclosure is classified as other real estate owned (“OREO”) until sold and is initially recorded at fair value less costs to sell when acquired, establishing a new cost basis.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Nonperforming loans include nonaccrual loans and loans past due 90 days or more. Nonperforming assets consist of nonperforming loans plus OREO.</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At June 30, 2023, our total nonaccrual loans were $16.6 million, or 0.56% of total loans held for investment, as compared to $5.8 million, or 0.21% of total loans held for investment, at December 31, 2022. These loans within this amount that exceeded $250 thousand were specifically analyzed and specific valuation allowances were established as necessary and included in the ACL for loans as of June 30, 2023 to cover any probable loss. One relationship totaling $13.3 million was placed on nonaccrual during the second quarter of 2023 with a specific reserve of $1.3 million based on the borrower beginning asset liquidation. The borrower has continued with payment performance and we expect material reductions of principal in the third quarter 2023. Additionally, the Company had two credits totaling $2.9 million that were removed from nonaccrual status during the second quarter of 2023 as a result of principal paydowns, improved cash flow, and continued sustained payment performance.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Nonperforming loans were $21.0 million at June 30, 2023 and $7.8 million at December 31,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ACL for loans.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The Company closely monitors the performance of loans that are modified to borrowers experiencing financial difficulty to understand the effectiveness of its modification efforts. Upon the Company’s determination that a modified loan has subsequently been deemed to not be fully collectible, the uncollectible amount is written off. Therefore, the amortized cost basis of the loan is reduced by the uncollectible amount and the ACL for loans is adjusted by the same amount.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Securities Portfolio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securities portfolio decreased $73.6 million, or 10.5%, to $628.1 million at June 30, 2023, compared to $701.7 million at December 31, 2022. The decrease was primarily due to $76.6 million in sales, maturities, prepayments, and calls at June 30, 2023 as compared to December 31, 2022. The Company sold approximately $56.2 million of available for sale securities in the second quarter of 2023. This resulted in a loss on sale of $3.4 million. The average book yield of these securities was approximately 2.71%. The proceeds from the sale were used to help fund loan growth during the quarter.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Certain securities have fair values less than amortized cost and, therefore, contain unrealized losses. During the three months ended June 30, 2023, the fair value of the Company’s available for sale securities declined by $3.7 million. At June 30, 2023, the Company evaluated whether the decline in fair value has resulted from credit losses or other factors. Within this evaluation, management considers the extent to which fair value is less than amortized cost, any changes to the rating of the security by rating agency, and adverse conditions specifically related to the security, among other factors. Based on management’s evaluation no unrealized losses on securities were determined to be due to credit loss. Additionally,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 thus no losses have been recognized in the consolidated financial statements for securities in the portfolio.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an obligation with or without call or prepayment penalties.</w:t>
      </w:r>
    </w:p>
    <w:p>
      <w:pPr>
        <w:pStyle w:val="TextBody"/>
        <w:bidi w:val="0"/>
        <w:spacing w:before="0" w:after="0"/>
        <w:jc w:val="left"/>
        <w:rPr/>
      </w:pPr>
      <w:r>
        <w:rPr/>
      </w:r>
    </w:p>
    <w:tbl>
      <w:tblPr>
        <w:tblW w:w="11621" w:type="dxa"/>
        <w:jc w:val="left"/>
        <w:tblInd w:w="0" w:type="dxa"/>
        <w:tblLayout w:type="fixed"/>
        <w:tblCellMar>
          <w:top w:w="0" w:type="dxa"/>
          <w:left w:w="0" w:type="dxa"/>
          <w:bottom w:w="0" w:type="dxa"/>
          <w:right w:w="0" w:type="dxa"/>
        </w:tblCellMar>
      </w:tblPr>
      <w:tblGrid>
        <w:gridCol w:w="1661"/>
        <w:gridCol w:w="60"/>
        <w:gridCol w:w="220"/>
        <w:gridCol w:w="880"/>
        <w:gridCol w:w="60"/>
        <w:gridCol w:w="60"/>
        <w:gridCol w:w="119"/>
        <w:gridCol w:w="876"/>
        <w:gridCol w:w="215"/>
        <w:gridCol w:w="60"/>
        <w:gridCol w:w="221"/>
        <w:gridCol w:w="879"/>
        <w:gridCol w:w="60"/>
        <w:gridCol w:w="60"/>
        <w:gridCol w:w="119"/>
        <w:gridCol w:w="876"/>
        <w:gridCol w:w="215"/>
        <w:gridCol w:w="60"/>
        <w:gridCol w:w="191"/>
        <w:gridCol w:w="909"/>
        <w:gridCol w:w="60"/>
        <w:gridCol w:w="60"/>
        <w:gridCol w:w="119"/>
        <w:gridCol w:w="876"/>
        <w:gridCol w:w="215"/>
        <w:gridCol w:w="60"/>
        <w:gridCol w:w="163"/>
        <w:gridCol w:w="937"/>
        <w:gridCol w:w="60"/>
        <w:gridCol w:w="60"/>
        <w:gridCol w:w="119"/>
        <w:gridCol w:w="876"/>
        <w:gridCol w:w="215"/>
      </w:tblGrid>
      <w:tr>
        <w:trPr/>
        <w:tc>
          <w:tcPr>
            <w:tcW w:w="16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85" w:type="dxa"/>
            <w:gridSpan w:val="3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 of June 30, 2023</w:t>
            </w:r>
          </w:p>
        </w:tc>
        <w:tc>
          <w:tcPr>
            <w:tcW w:w="215" w:type="dxa"/>
            <w:tcBorders/>
            <w:vAlign w:val="bottom"/>
          </w:tcPr>
          <w:p>
            <w:pPr>
              <w:pStyle w:val="TableContents"/>
              <w:bidi w:val="0"/>
              <w:spacing w:before="0" w:after="283"/>
              <w:jc w:val="left"/>
              <w:rPr/>
            </w:pPr>
            <w:r>
              <w:rPr/>
              <w:t> </w:t>
            </w:r>
          </w:p>
        </w:tc>
      </w:tr>
      <w:tr>
        <w:trPr/>
        <w:tc>
          <w:tcPr>
            <w:tcW w:w="16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in One</w:t>
            </w:r>
          </w:p>
          <w:p>
            <w:pPr>
              <w:pStyle w:val="TableContents"/>
              <w:bidi w:val="0"/>
              <w:spacing w:before="0" w:after="0"/>
              <w:jc w:val="center"/>
              <w:rPr>
                <w:b/>
                <w:color w:val="000000"/>
              </w:rPr>
            </w:pPr>
            <w:r>
              <w:rPr>
                <w:b/>
                <w:color w:val="000000"/>
              </w:rPr>
              <w:t>Year or Less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 One Year</w:t>
            </w:r>
          </w:p>
          <w:p>
            <w:pPr>
              <w:pStyle w:val="TableContents"/>
              <w:bidi w:val="0"/>
              <w:spacing w:before="0" w:after="0"/>
              <w:jc w:val="center"/>
              <w:rPr>
                <w:b/>
                <w:color w:val="000000"/>
              </w:rPr>
            </w:pPr>
            <w:r>
              <w:rPr>
                <w:b/>
                <w:color w:val="000000"/>
              </w:rPr>
              <w:t>Through Five Years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 Five Years</w:t>
            </w:r>
          </w:p>
          <w:p>
            <w:pPr>
              <w:pStyle w:val="TableContents"/>
              <w:bidi w:val="0"/>
              <w:spacing w:before="0" w:after="0"/>
              <w:jc w:val="center"/>
              <w:rPr>
                <w:b/>
                <w:color w:val="000000"/>
              </w:rPr>
            </w:pPr>
            <w:r>
              <w:rPr>
                <w:b/>
                <w:color w:val="000000"/>
              </w:rPr>
              <w:t>Through Ten Years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w:t>
            </w:r>
          </w:p>
          <w:p>
            <w:pPr>
              <w:pStyle w:val="TableContents"/>
              <w:bidi w:val="0"/>
              <w:spacing w:before="0" w:after="0"/>
              <w:jc w:val="center"/>
              <w:rPr>
                <w:b/>
                <w:color w:val="000000"/>
              </w:rPr>
            </w:pPr>
            <w:r>
              <w:rPr>
                <w:b/>
                <w:color w:val="000000"/>
              </w:rPr>
              <w:t>Ten Years</w:t>
            </w:r>
          </w:p>
        </w:tc>
        <w:tc>
          <w:tcPr>
            <w:tcW w:w="215" w:type="dxa"/>
            <w:tcBorders/>
            <w:vAlign w:val="bottom"/>
          </w:tcPr>
          <w:p>
            <w:pPr>
              <w:pStyle w:val="TableContents"/>
              <w:bidi w:val="0"/>
              <w:spacing w:before="0" w:after="283"/>
              <w:jc w:val="left"/>
              <w:rPr/>
            </w:pPr>
            <w:r>
              <w:rPr/>
              <w:t> </w:t>
            </w:r>
          </w:p>
        </w:tc>
      </w:tr>
      <w:tr>
        <w:trPr/>
        <w:tc>
          <w:tcPr>
            <w:tcW w:w="16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Yield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Yield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Yield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Yield</w:t>
            </w:r>
          </w:p>
        </w:tc>
        <w:tc>
          <w:tcPr>
            <w:tcW w:w="215" w:type="dxa"/>
            <w:tcBorders/>
            <w:vAlign w:val="bottom"/>
          </w:tcPr>
          <w:p>
            <w:pPr>
              <w:pStyle w:val="TableContents"/>
              <w:bidi w:val="0"/>
              <w:spacing w:before="0" w:after="283"/>
              <w:jc w:val="left"/>
              <w:rPr/>
            </w:pPr>
            <w:r>
              <w:rPr/>
              <w:t> </w:t>
            </w:r>
          </w:p>
        </w:tc>
      </w:tr>
      <w:tr>
        <w:trPr/>
        <w:tc>
          <w:tcPr>
            <w:tcW w:w="16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85" w:type="dxa"/>
            <w:gridSpan w:val="30"/>
            <w:tcBorders/>
            <w:vAlign w:val="bottom"/>
          </w:tcPr>
          <w:p>
            <w:pPr>
              <w:pStyle w:val="TableContents"/>
              <w:bidi w:val="0"/>
              <w:spacing w:before="0" w:after="0"/>
              <w:jc w:val="center"/>
              <w:rPr>
                <w:b/>
                <w:color w:val="000000"/>
              </w:rPr>
            </w:pPr>
            <w:r>
              <w:rPr>
                <w:b/>
                <w:color w:val="000000"/>
              </w:rPr>
              <w:t>(Dollars in thousands)</w:t>
            </w:r>
          </w:p>
        </w:tc>
        <w:tc>
          <w:tcPr>
            <w:tcW w:w="215" w:type="dxa"/>
            <w:tcBorders/>
            <w:vAlign w:val="bottom"/>
          </w:tcPr>
          <w:p>
            <w:pPr>
              <w:pStyle w:val="TableContents"/>
              <w:bidi w:val="0"/>
              <w:spacing w:before="0" w:after="283"/>
              <w:jc w:val="left"/>
              <w:rPr/>
            </w:pPr>
            <w:r>
              <w:rPr/>
              <w:t> </w:t>
            </w:r>
          </w:p>
        </w:tc>
      </w:tr>
      <w:tr>
        <w:trPr/>
        <w:tc>
          <w:tcPr>
            <w:tcW w:w="1661" w:type="dxa"/>
            <w:tcBorders/>
            <w:vAlign w:val="bottom"/>
          </w:tcPr>
          <w:p>
            <w:pPr>
              <w:pStyle w:val="TableContents"/>
              <w:bidi w:val="0"/>
              <w:spacing w:before="0" w:after="0"/>
              <w:ind w:left="144" w:right="0" w:hanging="144"/>
              <w:jc w:val="left"/>
              <w:rPr>
                <w:b/>
                <w:color w:val="000000"/>
              </w:rPr>
            </w:pPr>
            <w:r>
              <w:rPr>
                <w:b/>
                <w:color w:val="000000"/>
              </w:rPr>
              <w:t>Available-for-sale</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1661" w:type="dxa"/>
            <w:tcBorders/>
            <w:shd w:fill="CCEEFF" w:val="clear"/>
            <w:vAlign w:val="bottom"/>
          </w:tcPr>
          <w:p>
            <w:pPr>
              <w:pStyle w:val="TableContents"/>
              <w:bidi w:val="0"/>
              <w:spacing w:before="0" w:after="0"/>
              <w:ind w:left="324" w:right="0" w:hanging="144"/>
              <w:jc w:val="left"/>
              <w:rPr>
                <w:color w:val="000000"/>
              </w:rPr>
            </w:pPr>
            <w:r>
              <w:rPr>
                <w:color w:val="000000"/>
              </w:rPr>
              <w:t>State and municipal</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0"/>
              <w:jc w:val="left"/>
              <w:rPr/>
            </w:pPr>
            <w:r>
              <w:rPr/>
              <w:t>$</w:t>
            </w:r>
          </w:p>
        </w:tc>
        <w:tc>
          <w:tcPr>
            <w:tcW w:w="880" w:type="dxa"/>
            <w:tcBorders/>
            <w:shd w:fill="CCEEFF" w:val="clear"/>
            <w:vAlign w:val="bottom"/>
          </w:tcPr>
          <w:p>
            <w:pPr>
              <w:pStyle w:val="TableContents"/>
              <w:bidi w:val="0"/>
              <w:spacing w:before="0" w:after="0"/>
              <w:jc w:val="right"/>
              <w:rPr/>
            </w:pPr>
            <w:r>
              <w:rPr/>
              <w:t>2,628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3.49</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pPr>
            <w:r>
              <w:rPr/>
              <w:t>$</w:t>
            </w:r>
          </w:p>
        </w:tc>
        <w:tc>
          <w:tcPr>
            <w:tcW w:w="879" w:type="dxa"/>
            <w:tcBorders/>
            <w:shd w:fill="CCEEFF" w:val="clear"/>
            <w:vAlign w:val="bottom"/>
          </w:tcPr>
          <w:p>
            <w:pPr>
              <w:pStyle w:val="TableContents"/>
              <w:bidi w:val="0"/>
              <w:spacing w:before="0" w:after="0"/>
              <w:jc w:val="right"/>
              <w:rPr/>
            </w:pPr>
            <w:r>
              <w:rPr/>
              <w:t>5,387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1.93</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0"/>
              <w:jc w:val="left"/>
              <w:rPr/>
            </w:pPr>
            <w:r>
              <w:rPr/>
              <w:t>$</w:t>
            </w:r>
          </w:p>
        </w:tc>
        <w:tc>
          <w:tcPr>
            <w:tcW w:w="909" w:type="dxa"/>
            <w:tcBorders/>
            <w:shd w:fill="CCEEFF" w:val="clear"/>
            <w:vAlign w:val="bottom"/>
          </w:tcPr>
          <w:p>
            <w:pPr>
              <w:pStyle w:val="TableContents"/>
              <w:bidi w:val="0"/>
              <w:spacing w:before="0" w:after="0"/>
              <w:jc w:val="right"/>
              <w:rPr/>
            </w:pPr>
            <w:r>
              <w:rPr/>
              <w:t>5,405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2.10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0"/>
              <w:jc w:val="left"/>
              <w:rPr/>
            </w:pPr>
            <w:r>
              <w:rPr/>
              <w:t>$</w:t>
            </w:r>
          </w:p>
        </w:tc>
        <w:tc>
          <w:tcPr>
            <w:tcW w:w="937" w:type="dxa"/>
            <w:tcBorders/>
            <w:shd w:fill="CCEEFF" w:val="clear"/>
            <w:vAlign w:val="bottom"/>
          </w:tcPr>
          <w:p>
            <w:pPr>
              <w:pStyle w:val="TableContents"/>
              <w:bidi w:val="0"/>
              <w:spacing w:before="0" w:after="0"/>
              <w:jc w:val="right"/>
              <w:rPr/>
            </w:pPr>
            <w:r>
              <w:rPr/>
              <w:t>193,415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2.29</w:t>
            </w:r>
          </w:p>
        </w:tc>
        <w:tc>
          <w:tcPr>
            <w:tcW w:w="215" w:type="dxa"/>
            <w:tcBorders/>
            <w:shd w:fill="CCEEFF" w:val="clear"/>
            <w:vAlign w:val="bottom"/>
          </w:tcPr>
          <w:p>
            <w:pPr>
              <w:pStyle w:val="TableContents"/>
              <w:bidi w:val="0"/>
              <w:spacing w:before="0" w:after="0"/>
              <w:jc w:val="left"/>
              <w:rPr/>
            </w:pPr>
            <w:r>
              <w:rPr/>
              <w:t>%</w:t>
            </w:r>
          </w:p>
        </w:tc>
      </w:tr>
      <w:tr>
        <w:trPr/>
        <w:tc>
          <w:tcPr>
            <w:tcW w:w="1661" w:type="dxa"/>
            <w:tcBorders/>
            <w:vAlign w:val="bottom"/>
          </w:tcPr>
          <w:p>
            <w:pPr>
              <w:pStyle w:val="TableContents"/>
              <w:bidi w:val="0"/>
              <w:spacing w:before="0" w:after="0"/>
              <w:ind w:left="324" w:right="0" w:hanging="144"/>
              <w:jc w:val="left"/>
              <w:rPr>
                <w:color w:val="000000"/>
              </w:rPr>
            </w:pPr>
            <w:r>
              <w:rPr>
                <w:color w:val="000000"/>
              </w:rPr>
              <w:t>Residential mortgage-backed securities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pPr>
            <w:r>
              <w:rPr/>
              <w:t>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1.29</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pPr>
            <w:r>
              <w:rPr/>
              <w:t>2,311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2.01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0"/>
              <w:jc w:val="right"/>
              <w:rPr/>
            </w:pPr>
            <w:r>
              <w:rPr/>
              <w:t>2,368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2.43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pPr>
            <w:r>
              <w:rPr/>
              <w:t>361,494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2.20</w:t>
            </w:r>
          </w:p>
        </w:tc>
        <w:tc>
          <w:tcPr>
            <w:tcW w:w="215" w:type="dxa"/>
            <w:tcBorders/>
            <w:vAlign w:val="bottom"/>
          </w:tcPr>
          <w:p>
            <w:pPr>
              <w:pStyle w:val="TableContents"/>
              <w:bidi w:val="0"/>
              <w:spacing w:before="0" w:after="283"/>
              <w:jc w:val="left"/>
              <w:rPr/>
            </w:pPr>
            <w:r>
              <w:rPr/>
              <w:t> </w:t>
            </w:r>
          </w:p>
        </w:tc>
      </w:tr>
      <w:tr>
        <w:trPr/>
        <w:tc>
          <w:tcPr>
            <w:tcW w:w="1661" w:type="dxa"/>
            <w:tcBorders/>
            <w:shd w:fill="CCEEFF" w:val="clear"/>
            <w:vAlign w:val="bottom"/>
          </w:tcPr>
          <w:p>
            <w:pPr>
              <w:pStyle w:val="TableContents"/>
              <w:bidi w:val="0"/>
              <w:spacing w:before="0" w:after="0"/>
              <w:ind w:left="324" w:right="0" w:hanging="144"/>
              <w:jc w:val="left"/>
              <w:rPr>
                <w:color w:val="000000"/>
              </w:rPr>
            </w:pPr>
            <w:r>
              <w:rPr>
                <w:color w:val="000000"/>
              </w:rPr>
              <w:t>Commercial mortgage-backed securities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0"/>
              <w:jc w:val="right"/>
              <w:rPr/>
            </w:pPr>
            <w:r>
              <w:rPr/>
              <w:t>48,533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2.22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r>
      <w:tr>
        <w:trPr/>
        <w:tc>
          <w:tcPr>
            <w:tcW w:w="1661" w:type="dxa"/>
            <w:tcBorders/>
            <w:vAlign w:val="bottom"/>
          </w:tcPr>
          <w:p>
            <w:pPr>
              <w:pStyle w:val="TableContents"/>
              <w:bidi w:val="0"/>
              <w:spacing w:before="0" w:after="0"/>
              <w:ind w:left="324" w:right="0" w:hanging="144"/>
              <w:jc w:val="left"/>
              <w:rPr>
                <w:color w:val="000000"/>
              </w:rPr>
            </w:pPr>
            <w:r>
              <w:rPr>
                <w:color w:val="000000"/>
              </w:rPr>
              <w:t>Commercial collateralized mortgage obligations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0"/>
              <w:jc w:val="right"/>
              <w:rPr/>
            </w:pPr>
            <w:r>
              <w:rPr/>
              <w:t>72,823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5.71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r>
      <w:tr>
        <w:trPr/>
        <w:tc>
          <w:tcPr>
            <w:tcW w:w="1661" w:type="dxa"/>
            <w:tcBorders/>
            <w:shd w:fill="CCEEFF" w:val="clear"/>
            <w:vAlign w:val="bottom"/>
          </w:tcPr>
          <w:p>
            <w:pPr>
              <w:pStyle w:val="TableContents"/>
              <w:bidi w:val="0"/>
              <w:spacing w:before="0" w:after="0"/>
              <w:ind w:left="324" w:right="0" w:hanging="144"/>
              <w:jc w:val="left"/>
              <w:rPr>
                <w:color w:val="000000"/>
              </w:rPr>
            </w:pPr>
            <w:r>
              <w:rPr>
                <w:color w:val="000000"/>
              </w:rPr>
              <w:t>Asset-backed and other amortizing securities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0"/>
              <w:jc w:val="right"/>
              <w:rPr/>
            </w:pPr>
            <w:r>
              <w:rPr/>
              <w:t>1,539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2.94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pPr>
            <w:r>
              <w:rPr/>
              <w:t>17,990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2.81</w:t>
            </w:r>
          </w:p>
        </w:tc>
        <w:tc>
          <w:tcPr>
            <w:tcW w:w="215" w:type="dxa"/>
            <w:tcBorders/>
            <w:shd w:fill="CCEEFF" w:val="clear"/>
            <w:vAlign w:val="bottom"/>
          </w:tcPr>
          <w:p>
            <w:pPr>
              <w:pStyle w:val="TableContents"/>
              <w:bidi w:val="0"/>
              <w:spacing w:before="0" w:after="283"/>
              <w:jc w:val="left"/>
              <w:rPr/>
            </w:pPr>
            <w:r>
              <w:rPr/>
              <w:t> </w:t>
            </w:r>
          </w:p>
        </w:tc>
      </w:tr>
      <w:tr>
        <w:trPr/>
        <w:tc>
          <w:tcPr>
            <w:tcW w:w="1661" w:type="dxa"/>
            <w:tcBorders/>
            <w:vAlign w:val="bottom"/>
          </w:tcPr>
          <w:p>
            <w:pPr>
              <w:pStyle w:val="TableContents"/>
              <w:bidi w:val="0"/>
              <w:spacing w:before="0" w:after="0"/>
              <w:ind w:left="324" w:right="0" w:hanging="144"/>
              <w:jc w:val="left"/>
              <w:rPr>
                <w:color w:val="000000"/>
              </w:rPr>
            </w:pPr>
            <w:r>
              <w:rPr>
                <w:color w:val="000000"/>
              </w:rPr>
              <w:t>Other securities</w:t>
            </w:r>
          </w:p>
        </w:tc>
        <w:tc>
          <w:tcPr>
            <w:tcW w:w="60" w:type="dxa"/>
            <w:tcBorders/>
            <w:vAlign w:val="bottom"/>
          </w:tcPr>
          <w:p>
            <w:pPr>
              <w:pStyle w:val="TableContents"/>
              <w:bidi w:val="0"/>
              <w:spacing w:before="0" w:after="283"/>
              <w:jc w:val="left"/>
              <w:rPr/>
            </w:pPr>
            <w:r>
              <w:rPr/>
              <w:t> </w:t>
            </w:r>
          </w:p>
        </w:tc>
        <w:tc>
          <w:tcPr>
            <w:tcW w:w="220" w:type="dxa"/>
            <w:tcBorders>
              <w:bottom w:val="single" w:sz="12" w:space="0" w:color="000000"/>
            </w:tcBorders>
            <w:tcMar>
              <w:bottom w:w="28" w:type="dxa"/>
            </w:tcMar>
            <w:vAlign w:val="bottom"/>
          </w:tcPr>
          <w:p>
            <w:pPr>
              <w:pStyle w:val="TableContents"/>
              <w:bidi w:val="0"/>
              <w:spacing w:before="0" w:after="283"/>
              <w:jc w:val="left"/>
              <w:rPr/>
            </w:pPr>
            <w:r>
              <w:rPr/>
              <w:t> </w:t>
            </w:r>
          </w:p>
        </w:tc>
        <w:tc>
          <w:tcPr>
            <w:tcW w:w="88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 w:type="dxa"/>
            <w:tcBorders>
              <w:bottom w:val="single" w:sz="12" w:space="0" w:color="000000"/>
            </w:tcBorders>
            <w:tcMar>
              <w:bottom w:w="28" w:type="dxa"/>
            </w:tcMar>
            <w:vAlign w:val="bottom"/>
          </w:tcPr>
          <w:p>
            <w:pPr>
              <w:pStyle w:val="TableContents"/>
              <w:bidi w:val="0"/>
              <w:spacing w:before="0" w:after="283"/>
              <w:jc w:val="left"/>
              <w:rPr/>
            </w:pPr>
            <w:r>
              <w:rPr/>
              <w:t> </w:t>
            </w:r>
          </w:p>
        </w:tc>
        <w:tc>
          <w:tcPr>
            <w:tcW w:w="879"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tcMar>
              <w:bottom w:w="28" w:type="dxa"/>
            </w:tcMar>
            <w:vAlign w:val="bottom"/>
          </w:tcPr>
          <w:p>
            <w:pPr>
              <w:pStyle w:val="TableContents"/>
              <w:bidi w:val="0"/>
              <w:spacing w:before="0" w:after="0"/>
              <w:jc w:val="right"/>
              <w:rPr/>
            </w:pPr>
            <w:r>
              <w:rPr/>
              <w:t>12,000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pPr>
            <w:r>
              <w:rPr/>
              <w:t>4.47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7"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r>
      <w:tr>
        <w:trPr/>
        <w:tc>
          <w:tcPr>
            <w:tcW w:w="1661" w:type="dxa"/>
            <w:tcBorders/>
            <w:shd w:fill="CCEEFF" w:val="clear"/>
            <w:vAlign w:val="bottom"/>
          </w:tcPr>
          <w:p>
            <w:pPr>
              <w:pStyle w:val="TableContents"/>
              <w:bidi w:val="0"/>
              <w:spacing w:before="0" w:after="0"/>
              <w:ind w:left="504" w:right="0" w:hanging="144"/>
              <w:jc w:val="left"/>
              <w:rPr>
                <w:color w:val="000000"/>
              </w:rPr>
            </w:pPr>
            <w:r>
              <w:rPr>
                <w:color w:val="000000"/>
              </w:rPr>
              <w:t>Total available-for-sale</w:t>
            </w:r>
          </w:p>
        </w:tc>
        <w:tc>
          <w:tcPr>
            <w:tcW w:w="60" w:type="dxa"/>
            <w:tcBorders/>
            <w:shd w:fill="CCEEFF" w:val="clear"/>
            <w:vAlign w:val="bottom"/>
          </w:tcPr>
          <w:p>
            <w:pPr>
              <w:pStyle w:val="TableContents"/>
              <w:bidi w:val="0"/>
              <w:spacing w:before="0" w:after="283"/>
              <w:jc w:val="left"/>
              <w:rPr/>
            </w:pPr>
            <w:r>
              <w:rPr/>
              <w:t> </w:t>
            </w:r>
          </w:p>
        </w:tc>
        <w:tc>
          <w:tcPr>
            <w:tcW w:w="22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80" w:type="dxa"/>
            <w:tcBorders>
              <w:bottom w:val="double" w:sz="8" w:space="0" w:color="000000"/>
            </w:tcBorders>
            <w:shd w:fill="CCEEFF" w:val="clear"/>
            <w:tcMar>
              <w:bottom w:w="28" w:type="dxa"/>
            </w:tcMar>
            <w:vAlign w:val="bottom"/>
          </w:tcPr>
          <w:p>
            <w:pPr>
              <w:pStyle w:val="TableContents"/>
              <w:bidi w:val="0"/>
              <w:spacing w:before="0" w:after="0"/>
              <w:jc w:val="right"/>
              <w:rPr/>
            </w:pPr>
            <w:r>
              <w:rPr/>
              <w:t>2,662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3.47</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2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79" w:type="dxa"/>
            <w:tcBorders>
              <w:bottom w:val="double" w:sz="8" w:space="0" w:color="000000"/>
            </w:tcBorders>
            <w:shd w:fill="CCEEFF" w:val="clear"/>
            <w:tcMar>
              <w:bottom w:w="28" w:type="dxa"/>
            </w:tcMar>
            <w:vAlign w:val="bottom"/>
          </w:tcPr>
          <w:p>
            <w:pPr>
              <w:pStyle w:val="TableContents"/>
              <w:bidi w:val="0"/>
              <w:spacing w:before="0" w:after="0"/>
              <w:jc w:val="right"/>
              <w:rPr/>
            </w:pPr>
            <w:r>
              <w:rPr/>
              <w:t>7,698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1.95</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9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9" w:type="dxa"/>
            <w:tcBorders>
              <w:bottom w:val="double" w:sz="8" w:space="0" w:color="000000"/>
            </w:tcBorders>
            <w:shd w:fill="CCEEFF" w:val="clear"/>
            <w:tcMar>
              <w:bottom w:w="28" w:type="dxa"/>
            </w:tcMar>
            <w:vAlign w:val="bottom"/>
          </w:tcPr>
          <w:p>
            <w:pPr>
              <w:pStyle w:val="TableContents"/>
              <w:bidi w:val="0"/>
              <w:spacing w:before="0" w:after="0"/>
              <w:jc w:val="right"/>
              <w:rPr/>
            </w:pPr>
            <w:r>
              <w:rPr/>
              <w:t>142,668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4.20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7" w:type="dxa"/>
            <w:tcBorders>
              <w:bottom w:val="double" w:sz="8" w:space="0" w:color="000000"/>
            </w:tcBorders>
            <w:shd w:fill="CCEEFF" w:val="clear"/>
            <w:tcMar>
              <w:bottom w:w="28" w:type="dxa"/>
            </w:tcMar>
            <w:vAlign w:val="bottom"/>
          </w:tcPr>
          <w:p>
            <w:pPr>
              <w:pStyle w:val="TableContents"/>
              <w:bidi w:val="0"/>
              <w:spacing w:before="0" w:after="0"/>
              <w:jc w:val="right"/>
              <w:rPr/>
            </w:pPr>
            <w:r>
              <w:rPr/>
              <w:t>572,899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2.25</w:t>
            </w:r>
          </w:p>
        </w:tc>
        <w:tc>
          <w:tcPr>
            <w:tcW w:w="21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tbl>
      <w:tblPr>
        <w:tblW w:w="11621" w:type="dxa"/>
        <w:jc w:val="left"/>
        <w:tblInd w:w="0" w:type="dxa"/>
        <w:tblLayout w:type="fixed"/>
        <w:tblCellMar>
          <w:top w:w="0" w:type="dxa"/>
          <w:left w:w="0" w:type="dxa"/>
          <w:bottom w:w="0" w:type="dxa"/>
          <w:right w:w="0" w:type="dxa"/>
        </w:tblCellMar>
      </w:tblPr>
      <w:tblGrid>
        <w:gridCol w:w="1661"/>
        <w:gridCol w:w="60"/>
        <w:gridCol w:w="220"/>
        <w:gridCol w:w="880"/>
        <w:gridCol w:w="60"/>
        <w:gridCol w:w="60"/>
        <w:gridCol w:w="119"/>
        <w:gridCol w:w="876"/>
        <w:gridCol w:w="215"/>
        <w:gridCol w:w="60"/>
        <w:gridCol w:w="203"/>
        <w:gridCol w:w="897"/>
        <w:gridCol w:w="60"/>
        <w:gridCol w:w="60"/>
        <w:gridCol w:w="119"/>
        <w:gridCol w:w="876"/>
        <w:gridCol w:w="215"/>
        <w:gridCol w:w="60"/>
        <w:gridCol w:w="191"/>
        <w:gridCol w:w="909"/>
        <w:gridCol w:w="60"/>
        <w:gridCol w:w="60"/>
        <w:gridCol w:w="119"/>
        <w:gridCol w:w="876"/>
        <w:gridCol w:w="215"/>
        <w:gridCol w:w="60"/>
        <w:gridCol w:w="163"/>
        <w:gridCol w:w="937"/>
        <w:gridCol w:w="60"/>
        <w:gridCol w:w="60"/>
        <w:gridCol w:w="119"/>
        <w:gridCol w:w="876"/>
        <w:gridCol w:w="215"/>
      </w:tblGrid>
      <w:tr>
        <w:trPr/>
        <w:tc>
          <w:tcPr>
            <w:tcW w:w="16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85" w:type="dxa"/>
            <w:gridSpan w:val="30"/>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 of December 31, 2022</w:t>
            </w:r>
          </w:p>
        </w:tc>
        <w:tc>
          <w:tcPr>
            <w:tcW w:w="215" w:type="dxa"/>
            <w:tcBorders/>
            <w:vAlign w:val="bottom"/>
          </w:tcPr>
          <w:p>
            <w:pPr>
              <w:pStyle w:val="TableContents"/>
              <w:bidi w:val="0"/>
              <w:spacing w:before="0" w:after="283"/>
              <w:jc w:val="left"/>
              <w:rPr/>
            </w:pPr>
            <w:r>
              <w:rPr/>
              <w:t> </w:t>
            </w:r>
          </w:p>
        </w:tc>
      </w:tr>
      <w:tr>
        <w:trPr/>
        <w:tc>
          <w:tcPr>
            <w:tcW w:w="16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in One</w:t>
            </w:r>
          </w:p>
          <w:p>
            <w:pPr>
              <w:pStyle w:val="TableContents"/>
              <w:bidi w:val="0"/>
              <w:spacing w:before="0" w:after="0"/>
              <w:jc w:val="center"/>
              <w:rPr>
                <w:b/>
                <w:color w:val="000000"/>
              </w:rPr>
            </w:pPr>
            <w:r>
              <w:rPr>
                <w:b/>
                <w:color w:val="000000"/>
              </w:rPr>
              <w:t>Year or Less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 One Year</w:t>
            </w:r>
          </w:p>
          <w:p>
            <w:pPr>
              <w:pStyle w:val="TableContents"/>
              <w:bidi w:val="0"/>
              <w:spacing w:before="0" w:after="0"/>
              <w:jc w:val="center"/>
              <w:rPr>
                <w:b/>
                <w:color w:val="000000"/>
              </w:rPr>
            </w:pPr>
            <w:r>
              <w:rPr>
                <w:b/>
                <w:color w:val="000000"/>
              </w:rPr>
              <w:t>Through Five Years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 Five Years</w:t>
            </w:r>
          </w:p>
          <w:p>
            <w:pPr>
              <w:pStyle w:val="TableContents"/>
              <w:bidi w:val="0"/>
              <w:spacing w:before="0" w:after="0"/>
              <w:jc w:val="center"/>
              <w:rPr>
                <w:b/>
                <w:color w:val="000000"/>
              </w:rPr>
            </w:pPr>
            <w:r>
              <w:rPr>
                <w:b/>
                <w:color w:val="000000"/>
              </w:rPr>
              <w:t>Through Ten Years</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Due after</w:t>
            </w:r>
          </w:p>
          <w:p>
            <w:pPr>
              <w:pStyle w:val="TableContents"/>
              <w:bidi w:val="0"/>
              <w:spacing w:before="0" w:after="0"/>
              <w:jc w:val="center"/>
              <w:rPr>
                <w:b/>
                <w:color w:val="000000"/>
              </w:rPr>
            </w:pPr>
            <w:r>
              <w:rPr>
                <w:b/>
                <w:color w:val="000000"/>
              </w:rPr>
              <w:t>Ten Years</w:t>
            </w:r>
          </w:p>
        </w:tc>
        <w:tc>
          <w:tcPr>
            <w:tcW w:w="215" w:type="dxa"/>
            <w:tcBorders/>
            <w:vAlign w:val="bottom"/>
          </w:tcPr>
          <w:p>
            <w:pPr>
              <w:pStyle w:val="TableContents"/>
              <w:bidi w:val="0"/>
              <w:spacing w:before="0" w:after="283"/>
              <w:jc w:val="left"/>
              <w:rPr/>
            </w:pPr>
            <w:r>
              <w:rPr/>
              <w:t> </w:t>
            </w:r>
          </w:p>
        </w:tc>
      </w:tr>
      <w:tr>
        <w:trPr/>
        <w:tc>
          <w:tcPr>
            <w:tcW w:w="16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Yield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Yield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Yield</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Amortized</w:t>
            </w:r>
          </w:p>
          <w:p>
            <w:pPr>
              <w:pStyle w:val="TableContents"/>
              <w:bidi w:val="0"/>
              <w:spacing w:before="0" w:after="0"/>
              <w:jc w:val="center"/>
              <w:rPr>
                <w:b/>
                <w:color w:val="000000"/>
              </w:rPr>
            </w:pPr>
            <w:r>
              <w:rPr>
                <w:b/>
                <w:color w:val="00000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Yield</w:t>
            </w:r>
          </w:p>
        </w:tc>
        <w:tc>
          <w:tcPr>
            <w:tcW w:w="215" w:type="dxa"/>
            <w:tcBorders/>
            <w:vAlign w:val="bottom"/>
          </w:tcPr>
          <w:p>
            <w:pPr>
              <w:pStyle w:val="TableContents"/>
              <w:bidi w:val="0"/>
              <w:spacing w:before="0" w:after="283"/>
              <w:jc w:val="left"/>
              <w:rPr/>
            </w:pPr>
            <w:r>
              <w:rPr/>
              <w:t> </w:t>
            </w:r>
          </w:p>
        </w:tc>
      </w:tr>
      <w:tr>
        <w:trPr/>
        <w:tc>
          <w:tcPr>
            <w:tcW w:w="16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85" w:type="dxa"/>
            <w:gridSpan w:val="30"/>
            <w:tcBorders/>
            <w:vAlign w:val="bottom"/>
          </w:tcPr>
          <w:p>
            <w:pPr>
              <w:pStyle w:val="TableContents"/>
              <w:bidi w:val="0"/>
              <w:spacing w:before="0" w:after="0"/>
              <w:jc w:val="center"/>
              <w:rPr>
                <w:b/>
                <w:color w:val="000000"/>
              </w:rPr>
            </w:pPr>
            <w:r>
              <w:rPr>
                <w:b/>
                <w:color w:val="000000"/>
              </w:rPr>
              <w:t>(Dollars in thousands)</w:t>
            </w:r>
          </w:p>
        </w:tc>
        <w:tc>
          <w:tcPr>
            <w:tcW w:w="215" w:type="dxa"/>
            <w:tcBorders/>
            <w:vAlign w:val="bottom"/>
          </w:tcPr>
          <w:p>
            <w:pPr>
              <w:pStyle w:val="TableContents"/>
              <w:bidi w:val="0"/>
              <w:spacing w:before="0" w:after="283"/>
              <w:jc w:val="left"/>
              <w:rPr/>
            </w:pPr>
            <w:r>
              <w:rPr/>
              <w:t> </w:t>
            </w:r>
          </w:p>
        </w:tc>
      </w:tr>
      <w:tr>
        <w:trPr/>
        <w:tc>
          <w:tcPr>
            <w:tcW w:w="1661" w:type="dxa"/>
            <w:tcBorders/>
            <w:vAlign w:val="bottom"/>
          </w:tcPr>
          <w:p>
            <w:pPr>
              <w:pStyle w:val="TableContents"/>
              <w:bidi w:val="0"/>
              <w:spacing w:before="0" w:after="0"/>
              <w:ind w:left="144" w:right="0" w:hanging="144"/>
              <w:jc w:val="left"/>
              <w:rPr>
                <w:b/>
                <w:color w:val="000000"/>
              </w:rPr>
            </w:pPr>
            <w:r>
              <w:rPr>
                <w:b/>
                <w:color w:val="000000"/>
              </w:rPr>
              <w:t>Available-for-sale</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1661" w:type="dxa"/>
            <w:tcBorders/>
            <w:shd w:fill="CCEEFF" w:val="clear"/>
            <w:vAlign w:val="bottom"/>
          </w:tcPr>
          <w:p>
            <w:pPr>
              <w:pStyle w:val="TableContents"/>
              <w:bidi w:val="0"/>
              <w:spacing w:before="0" w:after="0"/>
              <w:ind w:left="324" w:right="0" w:hanging="144"/>
              <w:jc w:val="left"/>
              <w:rPr>
                <w:color w:val="000000"/>
              </w:rPr>
            </w:pPr>
            <w:r>
              <w:rPr>
                <w:color w:val="000000"/>
              </w:rPr>
              <w:t>State and municipal</w:t>
            </w:r>
          </w:p>
        </w:tc>
        <w:tc>
          <w:tcPr>
            <w:tcW w:w="60"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0"/>
              <w:jc w:val="left"/>
              <w:rPr/>
            </w:pPr>
            <w:r>
              <w:rPr/>
              <w:t>$</w:t>
            </w:r>
          </w:p>
        </w:tc>
        <w:tc>
          <w:tcPr>
            <w:tcW w:w="880" w:type="dxa"/>
            <w:tcBorders/>
            <w:shd w:fill="CCEEFF" w:val="clear"/>
            <w:vAlign w:val="bottom"/>
          </w:tcPr>
          <w:p>
            <w:pPr>
              <w:pStyle w:val="TableContents"/>
              <w:bidi w:val="0"/>
              <w:spacing w:before="0" w:after="0"/>
              <w:jc w:val="right"/>
              <w:rPr/>
            </w:pPr>
            <w:r>
              <w:rPr/>
              <w:t>1,898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3.43</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0"/>
              <w:jc w:val="left"/>
              <w:rPr/>
            </w:pPr>
            <w:r>
              <w:rPr/>
              <w:t>$</w:t>
            </w:r>
          </w:p>
        </w:tc>
        <w:tc>
          <w:tcPr>
            <w:tcW w:w="897" w:type="dxa"/>
            <w:tcBorders/>
            <w:shd w:fill="CCEEFF" w:val="clear"/>
            <w:vAlign w:val="bottom"/>
          </w:tcPr>
          <w:p>
            <w:pPr>
              <w:pStyle w:val="TableContents"/>
              <w:bidi w:val="0"/>
              <w:spacing w:before="0" w:after="0"/>
              <w:jc w:val="right"/>
              <w:rPr/>
            </w:pPr>
            <w:r>
              <w:rPr/>
              <w:t>8,663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2.17</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0"/>
              <w:jc w:val="left"/>
              <w:rPr/>
            </w:pPr>
            <w:r>
              <w:rPr/>
              <w:t>$</w:t>
            </w:r>
          </w:p>
        </w:tc>
        <w:tc>
          <w:tcPr>
            <w:tcW w:w="909" w:type="dxa"/>
            <w:tcBorders/>
            <w:shd w:fill="CCEEFF" w:val="clear"/>
            <w:vAlign w:val="bottom"/>
          </w:tcPr>
          <w:p>
            <w:pPr>
              <w:pStyle w:val="TableContents"/>
              <w:bidi w:val="0"/>
              <w:spacing w:before="0" w:after="0"/>
              <w:jc w:val="right"/>
              <w:rPr/>
            </w:pPr>
            <w:r>
              <w:rPr/>
              <w:t>7,508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2.22</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0"/>
              <w:jc w:val="left"/>
              <w:rPr/>
            </w:pPr>
            <w:r>
              <w:rPr/>
              <w:t>$</w:t>
            </w:r>
          </w:p>
        </w:tc>
        <w:tc>
          <w:tcPr>
            <w:tcW w:w="937" w:type="dxa"/>
            <w:tcBorders/>
            <w:shd w:fill="CCEEFF" w:val="clear"/>
            <w:vAlign w:val="bottom"/>
          </w:tcPr>
          <w:p>
            <w:pPr>
              <w:pStyle w:val="TableContents"/>
              <w:bidi w:val="0"/>
              <w:spacing w:before="0" w:after="0"/>
              <w:jc w:val="right"/>
              <w:rPr/>
            </w:pPr>
            <w:r>
              <w:rPr/>
              <w:t>241,360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2.24</w:t>
            </w:r>
          </w:p>
        </w:tc>
        <w:tc>
          <w:tcPr>
            <w:tcW w:w="215" w:type="dxa"/>
            <w:tcBorders/>
            <w:shd w:fill="CCEEFF" w:val="clear"/>
            <w:vAlign w:val="bottom"/>
          </w:tcPr>
          <w:p>
            <w:pPr>
              <w:pStyle w:val="TableContents"/>
              <w:bidi w:val="0"/>
              <w:spacing w:before="0" w:after="0"/>
              <w:jc w:val="left"/>
              <w:rPr/>
            </w:pPr>
            <w:r>
              <w:rPr/>
              <w:t>%</w:t>
            </w:r>
          </w:p>
        </w:tc>
      </w:tr>
      <w:tr>
        <w:trPr/>
        <w:tc>
          <w:tcPr>
            <w:tcW w:w="1661" w:type="dxa"/>
            <w:tcBorders/>
            <w:vAlign w:val="bottom"/>
          </w:tcPr>
          <w:p>
            <w:pPr>
              <w:pStyle w:val="TableContents"/>
              <w:bidi w:val="0"/>
              <w:spacing w:before="0" w:after="0"/>
              <w:ind w:left="324" w:right="0" w:hanging="144"/>
              <w:jc w:val="left"/>
              <w:rPr>
                <w:color w:val="000000"/>
              </w:rPr>
            </w:pPr>
            <w:r>
              <w:rPr>
                <w:color w:val="000000"/>
              </w:rPr>
              <w:t>Residential mortgage-backed securities</w:t>
            </w:r>
          </w:p>
        </w:tc>
        <w:tc>
          <w:tcPr>
            <w:tcW w:w="60"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pPr>
            <w:r>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1.90</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0"/>
              <w:jc w:val="right"/>
              <w:rPr/>
            </w:pPr>
            <w:r>
              <w:rPr/>
              <w:t>3,037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1.88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0"/>
              <w:jc w:val="right"/>
              <w:rPr/>
            </w:pPr>
            <w:r>
              <w:rPr/>
              <w:t>3,993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2.37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pPr>
            <w:r>
              <w:rPr/>
              <w:t>379,750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2.22</w:t>
            </w:r>
          </w:p>
        </w:tc>
        <w:tc>
          <w:tcPr>
            <w:tcW w:w="215" w:type="dxa"/>
            <w:tcBorders/>
            <w:vAlign w:val="bottom"/>
          </w:tcPr>
          <w:p>
            <w:pPr>
              <w:pStyle w:val="TableContents"/>
              <w:bidi w:val="0"/>
              <w:spacing w:before="0" w:after="283"/>
              <w:jc w:val="left"/>
              <w:rPr/>
            </w:pPr>
            <w:r>
              <w:rPr/>
              <w:t> </w:t>
            </w:r>
          </w:p>
        </w:tc>
      </w:tr>
      <w:tr>
        <w:trPr/>
        <w:tc>
          <w:tcPr>
            <w:tcW w:w="1661" w:type="dxa"/>
            <w:tcBorders/>
            <w:shd w:fill="CCEEFF" w:val="clear"/>
            <w:vAlign w:val="bottom"/>
          </w:tcPr>
          <w:p>
            <w:pPr>
              <w:pStyle w:val="TableContents"/>
              <w:bidi w:val="0"/>
              <w:spacing w:before="0" w:after="0"/>
              <w:ind w:left="324" w:right="0" w:hanging="144"/>
              <w:jc w:val="left"/>
              <w:rPr>
                <w:color w:val="000000"/>
              </w:rPr>
            </w:pPr>
            <w:r>
              <w:rPr>
                <w:color w:val="000000"/>
              </w:rPr>
              <w:t>Commercial mortgage-backed securities</w:t>
            </w:r>
          </w:p>
        </w:tc>
        <w:tc>
          <w:tcPr>
            <w:tcW w:w="60"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0"/>
              <w:jc w:val="right"/>
              <w:rPr/>
            </w:pPr>
            <w:r>
              <w:rPr/>
              <w:t>49,161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2.21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r>
      <w:tr>
        <w:trPr/>
        <w:tc>
          <w:tcPr>
            <w:tcW w:w="1661" w:type="dxa"/>
            <w:tcBorders/>
            <w:vAlign w:val="bottom"/>
          </w:tcPr>
          <w:p>
            <w:pPr>
              <w:pStyle w:val="TableContents"/>
              <w:bidi w:val="0"/>
              <w:spacing w:before="0" w:after="0"/>
              <w:ind w:left="324" w:right="0" w:hanging="144"/>
              <w:jc w:val="left"/>
              <w:rPr>
                <w:color w:val="000000"/>
              </w:rPr>
            </w:pPr>
            <w:r>
              <w:rPr>
                <w:color w:val="000000"/>
              </w:rPr>
              <w:t>Commercial collateralized mortgage obligations</w:t>
            </w:r>
          </w:p>
        </w:tc>
        <w:tc>
          <w:tcPr>
            <w:tcW w:w="60" w:type="dxa"/>
            <w:tcBorders/>
            <w:vAlign w:val="bottom"/>
          </w:tcPr>
          <w:p>
            <w:pPr>
              <w:pStyle w:val="TableContents"/>
              <w:bidi w:val="0"/>
              <w:spacing w:before="0" w:after="283"/>
              <w:jc w:val="righ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3"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0"/>
              <w:jc w:val="right"/>
              <w:rPr/>
            </w:pPr>
            <w:r>
              <w:rPr/>
              <w:t>76,189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4.89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r>
      <w:tr>
        <w:trPr/>
        <w:tc>
          <w:tcPr>
            <w:tcW w:w="1661" w:type="dxa"/>
            <w:tcBorders/>
            <w:shd w:fill="CCEEFF" w:val="clear"/>
            <w:vAlign w:val="bottom"/>
          </w:tcPr>
          <w:p>
            <w:pPr>
              <w:pStyle w:val="TableContents"/>
              <w:bidi w:val="0"/>
              <w:spacing w:before="0" w:after="0"/>
              <w:ind w:left="324" w:right="0" w:hanging="144"/>
              <w:jc w:val="left"/>
              <w:rPr>
                <w:color w:val="000000"/>
              </w:rPr>
            </w:pPr>
            <w:r>
              <w:rPr>
                <w:color w:val="000000"/>
              </w:rPr>
              <w:t>Asset-backed and other amortizing securities</w:t>
            </w:r>
          </w:p>
        </w:tc>
        <w:tc>
          <w:tcPr>
            <w:tcW w:w="60" w:type="dxa"/>
            <w:tcBorders/>
            <w:shd w:fill="CCEEFF" w:val="clear"/>
            <w:vAlign w:val="bottom"/>
          </w:tcPr>
          <w:p>
            <w:pPr>
              <w:pStyle w:val="TableContents"/>
              <w:bidi w:val="0"/>
              <w:spacing w:before="0" w:after="283"/>
              <w:jc w:val="righ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3" w:type="dxa"/>
            <w:tcBorders/>
            <w:shd w:fill="CCEEFF" w:val="clear"/>
            <w:vAlign w:val="bottom"/>
          </w:tcPr>
          <w:p>
            <w:pPr>
              <w:pStyle w:val="TableContents"/>
              <w:bidi w:val="0"/>
              <w:spacing w:before="0" w:after="283"/>
              <w:jc w:val="left"/>
              <w:rPr/>
            </w:pPr>
            <w:r>
              <w:rPr/>
              <w:t> </w:t>
            </w:r>
          </w:p>
        </w:tc>
        <w:tc>
          <w:tcPr>
            <w:tcW w:w="897"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0"/>
              <w:jc w:val="right"/>
              <w:rPr/>
            </w:pPr>
            <w:r>
              <w:rPr/>
              <w:t>1,689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2.93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0"/>
              <w:jc w:val="right"/>
              <w:rPr/>
            </w:pPr>
            <w:r>
              <w:rPr/>
              <w:t>19,218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pPr>
            <w:r>
              <w:rPr/>
              <w:t>2.81</w:t>
            </w:r>
          </w:p>
        </w:tc>
        <w:tc>
          <w:tcPr>
            <w:tcW w:w="215" w:type="dxa"/>
            <w:tcBorders/>
            <w:shd w:fill="CCEEFF" w:val="clear"/>
            <w:vAlign w:val="bottom"/>
          </w:tcPr>
          <w:p>
            <w:pPr>
              <w:pStyle w:val="TableContents"/>
              <w:bidi w:val="0"/>
              <w:spacing w:before="0" w:after="283"/>
              <w:jc w:val="left"/>
              <w:rPr/>
            </w:pPr>
            <w:r>
              <w:rPr/>
              <w:t> </w:t>
            </w:r>
          </w:p>
        </w:tc>
      </w:tr>
      <w:tr>
        <w:trPr/>
        <w:tc>
          <w:tcPr>
            <w:tcW w:w="1661" w:type="dxa"/>
            <w:tcBorders/>
            <w:vAlign w:val="bottom"/>
          </w:tcPr>
          <w:p>
            <w:pPr>
              <w:pStyle w:val="TableContents"/>
              <w:bidi w:val="0"/>
              <w:spacing w:before="0" w:after="0"/>
              <w:ind w:left="324" w:right="0" w:hanging="144"/>
              <w:jc w:val="left"/>
              <w:rPr>
                <w:color w:val="000000"/>
              </w:rPr>
            </w:pPr>
            <w:r>
              <w:rPr>
                <w:color w:val="000000"/>
              </w:rPr>
              <w:t>Other securities</w:t>
            </w:r>
          </w:p>
        </w:tc>
        <w:tc>
          <w:tcPr>
            <w:tcW w:w="60" w:type="dxa"/>
            <w:tcBorders/>
            <w:vAlign w:val="bottom"/>
          </w:tcPr>
          <w:p>
            <w:pPr>
              <w:pStyle w:val="TableContents"/>
              <w:bidi w:val="0"/>
              <w:spacing w:before="0" w:after="283"/>
              <w:jc w:val="right"/>
              <w:rPr/>
            </w:pPr>
            <w:r>
              <w:rPr/>
              <w:t> </w:t>
            </w:r>
          </w:p>
        </w:tc>
        <w:tc>
          <w:tcPr>
            <w:tcW w:w="220" w:type="dxa"/>
            <w:tcBorders>
              <w:bottom w:val="single" w:sz="12" w:space="0" w:color="000000"/>
            </w:tcBorders>
            <w:tcMar>
              <w:bottom w:w="28" w:type="dxa"/>
            </w:tcMar>
            <w:vAlign w:val="bottom"/>
          </w:tcPr>
          <w:p>
            <w:pPr>
              <w:pStyle w:val="TableContents"/>
              <w:bidi w:val="0"/>
              <w:spacing w:before="0" w:after="283"/>
              <w:jc w:val="left"/>
              <w:rPr/>
            </w:pPr>
            <w:r>
              <w:rPr/>
              <w:t> </w:t>
            </w:r>
          </w:p>
        </w:tc>
        <w:tc>
          <w:tcPr>
            <w:tcW w:w="88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3" w:type="dxa"/>
            <w:tcBorders>
              <w:bottom w:val="single" w:sz="12" w:space="0" w:color="000000"/>
            </w:tcBorders>
            <w:tcMar>
              <w:bottom w:w="28" w:type="dxa"/>
            </w:tcMar>
            <w:vAlign w:val="bottom"/>
          </w:tcPr>
          <w:p>
            <w:pPr>
              <w:pStyle w:val="TableContents"/>
              <w:bidi w:val="0"/>
              <w:spacing w:before="0" w:after="283"/>
              <w:jc w:val="left"/>
              <w:rPr/>
            </w:pPr>
            <w:r>
              <w:rPr/>
              <w:t> </w:t>
            </w:r>
          </w:p>
        </w:tc>
        <w:tc>
          <w:tcPr>
            <w:tcW w:w="897"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tcMar>
              <w:bottom w:w="28" w:type="dxa"/>
            </w:tcMar>
            <w:vAlign w:val="bottom"/>
          </w:tcPr>
          <w:p>
            <w:pPr>
              <w:pStyle w:val="TableContents"/>
              <w:bidi w:val="0"/>
              <w:spacing w:before="0" w:after="0"/>
              <w:jc w:val="right"/>
              <w:rPr/>
            </w:pPr>
            <w:r>
              <w:rPr/>
              <w:t>12,000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pPr>
            <w:r>
              <w:rPr/>
              <w:t>4.47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7"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pPr>
            <w:r>
              <w:rPr/>
              <w:t>—</w:t>
            </w:r>
          </w:p>
        </w:tc>
        <w:tc>
          <w:tcPr>
            <w:tcW w:w="215" w:type="dxa"/>
            <w:tcBorders/>
            <w:vAlign w:val="bottom"/>
          </w:tcPr>
          <w:p>
            <w:pPr>
              <w:pStyle w:val="TableContents"/>
              <w:bidi w:val="0"/>
              <w:spacing w:before="0" w:after="283"/>
              <w:jc w:val="left"/>
              <w:rPr/>
            </w:pPr>
            <w:r>
              <w:rPr/>
              <w:t> </w:t>
            </w:r>
          </w:p>
        </w:tc>
      </w:tr>
      <w:tr>
        <w:trPr/>
        <w:tc>
          <w:tcPr>
            <w:tcW w:w="1661" w:type="dxa"/>
            <w:tcBorders/>
            <w:shd w:fill="CCEEFF" w:val="clear"/>
            <w:vAlign w:val="bottom"/>
          </w:tcPr>
          <w:p>
            <w:pPr>
              <w:pStyle w:val="TableContents"/>
              <w:bidi w:val="0"/>
              <w:spacing w:before="0" w:after="0"/>
              <w:ind w:left="504" w:right="0" w:hanging="144"/>
              <w:jc w:val="left"/>
              <w:rPr>
                <w:color w:val="000000"/>
              </w:rPr>
            </w:pPr>
            <w:r>
              <w:rPr>
                <w:color w:val="000000"/>
              </w:rPr>
              <w:t>Total available-for-sale</w:t>
            </w:r>
          </w:p>
        </w:tc>
        <w:tc>
          <w:tcPr>
            <w:tcW w:w="60" w:type="dxa"/>
            <w:tcBorders/>
            <w:shd w:fill="CCEEFF" w:val="clear"/>
            <w:vAlign w:val="bottom"/>
          </w:tcPr>
          <w:p>
            <w:pPr>
              <w:pStyle w:val="TableContents"/>
              <w:bidi w:val="0"/>
              <w:spacing w:before="0" w:after="283"/>
              <w:jc w:val="right"/>
              <w:rPr/>
            </w:pPr>
            <w:r>
              <w:rPr/>
              <w:t> </w:t>
            </w:r>
          </w:p>
        </w:tc>
        <w:tc>
          <w:tcPr>
            <w:tcW w:w="22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80" w:type="dxa"/>
            <w:tcBorders>
              <w:bottom w:val="double" w:sz="8" w:space="0" w:color="000000"/>
            </w:tcBorders>
            <w:shd w:fill="CCEEFF" w:val="clear"/>
            <w:tcMar>
              <w:bottom w:w="28" w:type="dxa"/>
            </w:tcMar>
            <w:vAlign w:val="bottom"/>
          </w:tcPr>
          <w:p>
            <w:pPr>
              <w:pStyle w:val="TableContents"/>
              <w:bidi w:val="0"/>
              <w:spacing w:before="0" w:after="0"/>
              <w:jc w:val="right"/>
              <w:rPr/>
            </w:pPr>
            <w:r>
              <w:rPr/>
              <w:t>1,901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3.43</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20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897" w:type="dxa"/>
            <w:tcBorders>
              <w:bottom w:val="double" w:sz="8" w:space="0" w:color="000000"/>
            </w:tcBorders>
            <w:shd w:fill="CCEEFF" w:val="clear"/>
            <w:tcMar>
              <w:bottom w:w="28" w:type="dxa"/>
            </w:tcMar>
            <w:vAlign w:val="bottom"/>
          </w:tcPr>
          <w:p>
            <w:pPr>
              <w:pStyle w:val="TableContents"/>
              <w:bidi w:val="0"/>
              <w:spacing w:before="0" w:after="0"/>
              <w:jc w:val="right"/>
              <w:rPr/>
            </w:pPr>
            <w:r>
              <w:rPr/>
              <w:t>11,700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2.09</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91"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09" w:type="dxa"/>
            <w:tcBorders>
              <w:bottom w:val="double" w:sz="8" w:space="0" w:color="000000"/>
            </w:tcBorders>
            <w:shd w:fill="CCEEFF" w:val="clear"/>
            <w:tcMar>
              <w:bottom w:w="28" w:type="dxa"/>
            </w:tcMar>
            <w:vAlign w:val="bottom"/>
          </w:tcPr>
          <w:p>
            <w:pPr>
              <w:pStyle w:val="TableContents"/>
              <w:bidi w:val="0"/>
              <w:spacing w:before="0" w:after="0"/>
              <w:jc w:val="right"/>
              <w:rPr/>
            </w:pPr>
            <w:r>
              <w:rPr/>
              <w:t>150,540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3.76</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63"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37" w:type="dxa"/>
            <w:tcBorders>
              <w:bottom w:val="double" w:sz="8" w:space="0" w:color="000000"/>
            </w:tcBorders>
            <w:shd w:fill="CCEEFF" w:val="clear"/>
            <w:tcMar>
              <w:bottom w:w="28" w:type="dxa"/>
            </w:tcMar>
            <w:vAlign w:val="bottom"/>
          </w:tcPr>
          <w:p>
            <w:pPr>
              <w:pStyle w:val="TableContents"/>
              <w:bidi w:val="0"/>
              <w:spacing w:before="0" w:after="0"/>
              <w:jc w:val="right"/>
              <w:rPr/>
            </w:pPr>
            <w:r>
              <w:rPr/>
              <w:t>640,328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pPr>
            <w:r>
              <w:rPr/>
              <w:t>2.24</w:t>
            </w:r>
          </w:p>
        </w:tc>
        <w:tc>
          <w:tcPr>
            <w:tcW w:w="21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Deposits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Total deposits at June 30, 2023 were $3.57 billion, representing an increase of $168.1 million, or 4.9%, compared to $3.41 billion at December 31, 2022. The increase in total deposits since December 31, 2022 is primarily due to organic growth. The growth was largely in brokered deposits, which grew $81 million, and in public fund deposits, which grew approximately $45 million. As of June 30, 2023, 30.8% of total deposits were comprised of noninterest-bearing demand accounts, 60.2% of interest-bearing non-maturity accounts and 9.0% of time deposits.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table shows the deposit mix as of the dates presented:</w:t>
      </w:r>
    </w:p>
    <w:p>
      <w:pPr>
        <w:pStyle w:val="TextBody"/>
        <w:bidi w:val="0"/>
        <w:spacing w:before="0" w:after="0"/>
        <w:jc w:val="left"/>
        <w:rPr/>
      </w:pPr>
      <w:r>
        <w:rPr/>
      </w:r>
    </w:p>
    <w:tbl>
      <w:tblPr>
        <w:tblW w:w="8836" w:type="dxa"/>
        <w:jc w:val="left"/>
        <w:tblInd w:w="0" w:type="dxa"/>
        <w:tblLayout w:type="fixed"/>
        <w:tblCellMar>
          <w:top w:w="0" w:type="dxa"/>
          <w:left w:w="0" w:type="dxa"/>
          <w:bottom w:w="0" w:type="dxa"/>
          <w:right w:w="0" w:type="dxa"/>
        </w:tblCellMar>
      </w:tblPr>
      <w:tblGrid>
        <w:gridCol w:w="3515"/>
        <w:gridCol w:w="60"/>
        <w:gridCol w:w="140"/>
        <w:gridCol w:w="980"/>
        <w:gridCol w:w="60"/>
        <w:gridCol w:w="60"/>
        <w:gridCol w:w="107"/>
        <w:gridCol w:w="1007"/>
        <w:gridCol w:w="215"/>
        <w:gridCol w:w="60"/>
        <w:gridCol w:w="147"/>
        <w:gridCol w:w="1030"/>
        <w:gridCol w:w="63"/>
        <w:gridCol w:w="63"/>
        <w:gridCol w:w="107"/>
        <w:gridCol w:w="1007"/>
        <w:gridCol w:w="215"/>
      </w:tblGrid>
      <w:tr>
        <w:trPr/>
        <w:tc>
          <w:tcPr>
            <w:tcW w:w="35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5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7"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2022</w:t>
            </w:r>
          </w:p>
        </w:tc>
        <w:tc>
          <w:tcPr>
            <w:tcW w:w="215" w:type="dxa"/>
            <w:tcBorders/>
            <w:vAlign w:val="bottom"/>
          </w:tcPr>
          <w:p>
            <w:pPr>
              <w:pStyle w:val="TableContents"/>
              <w:bidi w:val="0"/>
              <w:spacing w:before="0" w:after="283"/>
              <w:jc w:val="left"/>
              <w:rPr/>
            </w:pPr>
            <w:r>
              <w:rPr/>
              <w:t> </w:t>
            </w:r>
          </w:p>
        </w:tc>
      </w:tr>
      <w:tr>
        <w:trPr/>
        <w:tc>
          <w:tcPr>
            <w:tcW w:w="35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 Total</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7"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of Total</w:t>
            </w:r>
          </w:p>
        </w:tc>
        <w:tc>
          <w:tcPr>
            <w:tcW w:w="215" w:type="dxa"/>
            <w:tcBorders/>
            <w:vAlign w:val="bottom"/>
          </w:tcPr>
          <w:p>
            <w:pPr>
              <w:pStyle w:val="TableContents"/>
              <w:bidi w:val="0"/>
              <w:spacing w:before="0" w:after="283"/>
              <w:jc w:val="left"/>
              <w:rPr/>
            </w:pPr>
            <w:r>
              <w:rPr/>
              <w:t> </w:t>
            </w:r>
          </w:p>
        </w:tc>
      </w:tr>
      <w:tr>
        <w:trPr/>
        <w:tc>
          <w:tcPr>
            <w:tcW w:w="35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46" w:type="dxa"/>
            <w:gridSpan w:val="14"/>
            <w:tcBorders/>
            <w:vAlign w:val="bottom"/>
          </w:tcPr>
          <w:p>
            <w:pPr>
              <w:pStyle w:val="TableContents"/>
              <w:bidi w:val="0"/>
              <w:spacing w:before="0" w:after="0"/>
              <w:jc w:val="center"/>
              <w:rPr>
                <w:b/>
                <w:color w:val="000000"/>
              </w:rPr>
            </w:pPr>
            <w:r>
              <w:rPr>
                <w:b/>
                <w:color w:val="000000"/>
              </w:rPr>
              <w:t>(Dollars in thousands)</w:t>
            </w:r>
          </w:p>
        </w:tc>
        <w:tc>
          <w:tcPr>
            <w:tcW w:w="215" w:type="dxa"/>
            <w:tcBorders/>
            <w:vAlign w:val="bottom"/>
          </w:tcPr>
          <w:p>
            <w:pPr>
              <w:pStyle w:val="TableContents"/>
              <w:bidi w:val="0"/>
              <w:spacing w:before="0" w:after="283"/>
              <w:jc w:val="left"/>
              <w:rPr/>
            </w:pPr>
            <w:r>
              <w:rPr/>
              <w:t> </w:t>
            </w:r>
          </w:p>
        </w:tc>
      </w:tr>
      <w:tr>
        <w:trPr/>
        <w:tc>
          <w:tcPr>
            <w:tcW w:w="3515" w:type="dxa"/>
            <w:tcBorders/>
            <w:shd w:fill="CCEEFF" w:val="clear"/>
            <w:vAlign w:val="bottom"/>
          </w:tcPr>
          <w:p>
            <w:pPr>
              <w:pStyle w:val="TableContents"/>
              <w:bidi w:val="0"/>
              <w:spacing w:before="0" w:after="0"/>
              <w:ind w:left="144" w:right="0" w:hanging="144"/>
              <w:jc w:val="left"/>
              <w:rPr>
                <w:color w:val="000000"/>
              </w:rPr>
            </w:pPr>
            <w:r>
              <w:rPr>
                <w:color w:val="000000"/>
              </w:rPr>
              <w:t>Noninterest-bearing deposits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1,100,767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30.8</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0"/>
              <w:jc w:val="left"/>
              <w:rPr/>
            </w:pPr>
            <w:r>
              <w:rPr/>
              <w:t>$</w:t>
            </w:r>
          </w:p>
        </w:tc>
        <w:tc>
          <w:tcPr>
            <w:tcW w:w="1030" w:type="dxa"/>
            <w:tcBorders/>
            <w:shd w:fill="CCEEFF" w:val="clear"/>
            <w:vAlign w:val="bottom"/>
          </w:tcPr>
          <w:p>
            <w:pPr>
              <w:pStyle w:val="TableContents"/>
              <w:bidi w:val="0"/>
              <w:spacing w:before="0" w:after="0"/>
              <w:jc w:val="right"/>
              <w:rPr/>
            </w:pPr>
            <w:r>
              <w:rPr/>
              <w:t>1,150,488</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33.8</w:t>
            </w:r>
          </w:p>
        </w:tc>
        <w:tc>
          <w:tcPr>
            <w:tcW w:w="215" w:type="dxa"/>
            <w:tcBorders/>
            <w:shd w:fill="CCEEFF" w:val="clear"/>
            <w:vAlign w:val="bottom"/>
          </w:tcPr>
          <w:p>
            <w:pPr>
              <w:pStyle w:val="TableContents"/>
              <w:bidi w:val="0"/>
              <w:spacing w:before="0" w:after="0"/>
              <w:jc w:val="left"/>
              <w:rPr/>
            </w:pPr>
            <w:r>
              <w:rPr/>
              <w:t>%</w:t>
            </w:r>
          </w:p>
        </w:tc>
      </w:tr>
      <w:tr>
        <w:trPr/>
        <w:tc>
          <w:tcPr>
            <w:tcW w:w="3515" w:type="dxa"/>
            <w:tcBorders/>
            <w:vAlign w:val="bottom"/>
          </w:tcPr>
          <w:p>
            <w:pPr>
              <w:pStyle w:val="TableContents"/>
              <w:bidi w:val="0"/>
              <w:spacing w:before="0" w:after="0"/>
              <w:ind w:left="144" w:right="0" w:hanging="144"/>
              <w:jc w:val="left"/>
              <w:rPr>
                <w:color w:val="000000"/>
              </w:rPr>
            </w:pPr>
            <w:r>
              <w:rPr>
                <w:color w:val="000000"/>
              </w:rPr>
              <w:t>NOW and other transaction accounts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pPr>
            <w:r>
              <w:rPr/>
              <w:t>400,779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pPr>
            <w:r>
              <w:rPr/>
              <w:t>11.2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0"/>
              <w:jc w:val="right"/>
              <w:rPr/>
            </w:pPr>
            <w:r>
              <w:rPr/>
              <w:t>350,910</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07" w:type="dxa"/>
            <w:tcBorders/>
            <w:vAlign w:val="bottom"/>
          </w:tcPr>
          <w:p>
            <w:pPr>
              <w:pStyle w:val="TableContents"/>
              <w:bidi w:val="0"/>
              <w:spacing w:before="0" w:after="0"/>
              <w:jc w:val="right"/>
              <w:rPr/>
            </w:pPr>
            <w:r>
              <w:rPr/>
              <w:t>10.3</w:t>
            </w:r>
          </w:p>
        </w:tc>
        <w:tc>
          <w:tcPr>
            <w:tcW w:w="215" w:type="dxa"/>
            <w:tcBorders/>
            <w:vAlign w:val="bottom"/>
          </w:tcPr>
          <w:p>
            <w:pPr>
              <w:pStyle w:val="TableContents"/>
              <w:bidi w:val="0"/>
              <w:spacing w:before="0" w:after="283"/>
              <w:jc w:val="left"/>
              <w:rPr/>
            </w:pPr>
            <w:r>
              <w:rPr/>
              <w:t> </w:t>
            </w:r>
          </w:p>
        </w:tc>
      </w:tr>
      <w:tr>
        <w:trPr/>
        <w:tc>
          <w:tcPr>
            <w:tcW w:w="3515" w:type="dxa"/>
            <w:tcBorders/>
            <w:shd w:fill="CCEEFF" w:val="clear"/>
            <w:vAlign w:val="bottom"/>
          </w:tcPr>
          <w:p>
            <w:pPr>
              <w:pStyle w:val="TableContents"/>
              <w:bidi w:val="0"/>
              <w:spacing w:before="0" w:after="0"/>
              <w:ind w:left="144" w:right="0" w:hanging="144"/>
              <w:jc w:val="left"/>
              <w:rPr>
                <w:color w:val="000000"/>
              </w:rPr>
            </w:pPr>
            <w:r>
              <w:rPr>
                <w:color w:val="000000"/>
              </w:rPr>
              <w:t>Money market and other savings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1,751,029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49.0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0"/>
              <w:jc w:val="right"/>
              <w:rPr/>
            </w:pPr>
            <w:r>
              <w:rPr/>
              <w:t>1,618,833</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07" w:type="dxa"/>
            <w:tcBorders/>
            <w:shd w:fill="CCEEFF" w:val="clear"/>
            <w:vAlign w:val="bottom"/>
          </w:tcPr>
          <w:p>
            <w:pPr>
              <w:pStyle w:val="TableContents"/>
              <w:bidi w:val="0"/>
              <w:spacing w:before="0" w:after="0"/>
              <w:jc w:val="right"/>
              <w:rPr/>
            </w:pPr>
            <w:r>
              <w:rPr/>
              <w:t>47.5</w:t>
            </w:r>
          </w:p>
        </w:tc>
        <w:tc>
          <w:tcPr>
            <w:tcW w:w="215" w:type="dxa"/>
            <w:tcBorders/>
            <w:shd w:fill="CCEEFF" w:val="clear"/>
            <w:vAlign w:val="bottom"/>
          </w:tcPr>
          <w:p>
            <w:pPr>
              <w:pStyle w:val="TableContents"/>
              <w:bidi w:val="0"/>
              <w:spacing w:before="0" w:after="283"/>
              <w:jc w:val="left"/>
              <w:rPr/>
            </w:pPr>
            <w:r>
              <w:rPr/>
              <w:t> </w:t>
            </w:r>
          </w:p>
        </w:tc>
      </w:tr>
      <w:tr>
        <w:trPr/>
        <w:tc>
          <w:tcPr>
            <w:tcW w:w="3515" w:type="dxa"/>
            <w:tcBorders/>
            <w:vAlign w:val="bottom"/>
          </w:tcPr>
          <w:p>
            <w:pPr>
              <w:pStyle w:val="TableContents"/>
              <w:bidi w:val="0"/>
              <w:spacing w:before="0" w:after="0"/>
              <w:ind w:left="144" w:right="0" w:hanging="144"/>
              <w:jc w:val="left"/>
              <w:rPr>
                <w:color w:val="000000"/>
              </w:rPr>
            </w:pPr>
            <w:r>
              <w:rPr>
                <w:color w:val="000000"/>
              </w:rPr>
              <w:t>Time deposits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321,947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pPr>
            <w:r>
              <w:rPr/>
              <w:t>9.0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tcMar>
              <w:bottom w:w="28" w:type="dxa"/>
            </w:tcMar>
            <w:vAlign w:val="bottom"/>
          </w:tcPr>
          <w:p>
            <w:pPr>
              <w:pStyle w:val="TableContents"/>
              <w:bidi w:val="0"/>
              <w:spacing w:before="0" w:after="0"/>
              <w:jc w:val="right"/>
              <w:rPr/>
            </w:pPr>
            <w:r>
              <w:rPr/>
              <w:t>286,199</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7" w:type="dxa"/>
            <w:tcBorders>
              <w:bottom w:val="single" w:sz="12" w:space="0" w:color="000000"/>
            </w:tcBorders>
            <w:tcMar>
              <w:bottom w:w="28" w:type="dxa"/>
            </w:tcMar>
            <w:vAlign w:val="bottom"/>
          </w:tcPr>
          <w:p>
            <w:pPr>
              <w:pStyle w:val="TableContents"/>
              <w:bidi w:val="0"/>
              <w:spacing w:before="0" w:after="0"/>
              <w:jc w:val="right"/>
              <w:rPr/>
            </w:pPr>
            <w:r>
              <w:rPr/>
              <w:t>8.4</w:t>
            </w:r>
          </w:p>
        </w:tc>
        <w:tc>
          <w:tcPr>
            <w:tcW w:w="215" w:type="dxa"/>
            <w:tcBorders/>
            <w:vAlign w:val="bottom"/>
          </w:tcPr>
          <w:p>
            <w:pPr>
              <w:pStyle w:val="TableContents"/>
              <w:bidi w:val="0"/>
              <w:spacing w:before="0" w:after="283"/>
              <w:jc w:val="left"/>
              <w:rPr/>
            </w:pPr>
            <w:r>
              <w:rPr/>
              <w:t> </w:t>
            </w:r>
          </w:p>
        </w:tc>
      </w:tr>
      <w:tr>
        <w:trPr/>
        <w:tc>
          <w:tcPr>
            <w:tcW w:w="3515" w:type="dxa"/>
            <w:tcBorders/>
            <w:shd w:fill="CCEEFF" w:val="clear"/>
            <w:vAlign w:val="bottom"/>
          </w:tcPr>
          <w:p>
            <w:pPr>
              <w:pStyle w:val="TableContents"/>
              <w:bidi w:val="0"/>
              <w:spacing w:before="0" w:after="0"/>
              <w:ind w:left="144" w:right="0" w:hanging="144"/>
              <w:jc w:val="left"/>
              <w:rPr>
                <w:color w:val="000000"/>
              </w:rPr>
            </w:pPr>
            <w:r>
              <w:rPr>
                <w:color w:val="000000"/>
              </w:rPr>
              <w:t>Total deposits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980" w:type="dxa"/>
            <w:tcBorders>
              <w:bottom w:val="double" w:sz="8" w:space="0" w:color="000000"/>
            </w:tcBorders>
            <w:shd w:fill="CCEEFF" w:val="clear"/>
            <w:tcMar>
              <w:bottom w:w="28" w:type="dxa"/>
            </w:tcMar>
            <w:vAlign w:val="bottom"/>
          </w:tcPr>
          <w:p>
            <w:pPr>
              <w:pStyle w:val="TableContents"/>
              <w:bidi w:val="0"/>
              <w:spacing w:before="0" w:after="0"/>
              <w:jc w:val="right"/>
              <w:rPr/>
            </w:pPr>
            <w:r>
              <w:rPr/>
              <w:t>3,574,522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pPr>
            <w:r>
              <w:rPr/>
              <w:t>100.0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7"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030" w:type="dxa"/>
            <w:tcBorders>
              <w:bottom w:val="double" w:sz="8" w:space="0" w:color="000000"/>
            </w:tcBorders>
            <w:shd w:fill="CCEEFF" w:val="clear"/>
            <w:tcMar>
              <w:bottom w:w="28" w:type="dxa"/>
            </w:tcMar>
            <w:vAlign w:val="bottom"/>
          </w:tcPr>
          <w:p>
            <w:pPr>
              <w:pStyle w:val="TableContents"/>
              <w:bidi w:val="0"/>
              <w:spacing w:before="0" w:after="0"/>
              <w:jc w:val="right"/>
              <w:rPr/>
            </w:pPr>
            <w:r>
              <w:rPr/>
              <w:t>3,406,430</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7"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07" w:type="dxa"/>
            <w:tcBorders>
              <w:bottom w:val="double" w:sz="8" w:space="0" w:color="000000"/>
            </w:tcBorders>
            <w:shd w:fill="CCEEFF" w:val="clear"/>
            <w:tcMar>
              <w:bottom w:w="28" w:type="dxa"/>
            </w:tcMar>
            <w:vAlign w:val="bottom"/>
          </w:tcPr>
          <w:p>
            <w:pPr>
              <w:pStyle w:val="TableContents"/>
              <w:bidi w:val="0"/>
              <w:spacing w:before="0" w:after="0"/>
              <w:jc w:val="right"/>
              <w:rPr/>
            </w:pPr>
            <w:r>
              <w:rPr/>
              <w:t>100.0</w:t>
            </w:r>
          </w:p>
        </w:tc>
        <w:tc>
          <w:tcPr>
            <w:tcW w:w="21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Average deposit balances and weighted average rates paid on deposits, on an annualized basis, for the periods indicated are shown below.</w:t>
      </w:r>
    </w:p>
    <w:p>
      <w:pPr>
        <w:pStyle w:val="TextBody"/>
        <w:bidi w:val="0"/>
        <w:spacing w:before="0" w:after="0"/>
        <w:jc w:val="left"/>
        <w:rPr/>
      </w:pPr>
      <w:r>
        <w:rPr/>
      </w:r>
    </w:p>
    <w:tbl>
      <w:tblPr>
        <w:tblW w:w="10078" w:type="dxa"/>
        <w:jc w:val="left"/>
        <w:tblInd w:w="0" w:type="dxa"/>
        <w:tblLayout w:type="fixed"/>
        <w:tblCellMar>
          <w:top w:w="0" w:type="dxa"/>
          <w:left w:w="0" w:type="dxa"/>
          <w:bottom w:w="0" w:type="dxa"/>
          <w:right w:w="0" w:type="dxa"/>
        </w:tblCellMar>
      </w:tblPr>
      <w:tblGrid>
        <w:gridCol w:w="4220"/>
        <w:gridCol w:w="60"/>
        <w:gridCol w:w="140"/>
        <w:gridCol w:w="980"/>
        <w:gridCol w:w="60"/>
        <w:gridCol w:w="60"/>
        <w:gridCol w:w="169"/>
        <w:gridCol w:w="1245"/>
        <w:gridCol w:w="215"/>
        <w:gridCol w:w="60"/>
        <w:gridCol w:w="140"/>
        <w:gridCol w:w="980"/>
        <w:gridCol w:w="60"/>
        <w:gridCol w:w="60"/>
        <w:gridCol w:w="169"/>
        <w:gridCol w:w="1245"/>
        <w:gridCol w:w="215"/>
      </w:tblGrid>
      <w:tr>
        <w:trPr/>
        <w:tc>
          <w:tcPr>
            <w:tcW w:w="4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83" w:type="dxa"/>
            <w:gridSpan w:val="14"/>
            <w:tcBorders/>
            <w:vAlign w:val="bottom"/>
          </w:tcPr>
          <w:p>
            <w:pPr>
              <w:pStyle w:val="TableContents"/>
              <w:bidi w:val="0"/>
              <w:spacing w:before="0" w:after="0"/>
              <w:jc w:val="center"/>
              <w:rPr>
                <w:b/>
                <w:color w:val="000000"/>
              </w:rPr>
            </w:pPr>
            <w:r>
              <w:rPr>
                <w:b/>
                <w:color w:val="000000"/>
              </w:rPr>
              <w:t>Three Months Ended June 30,</w:t>
            </w:r>
          </w:p>
        </w:tc>
        <w:tc>
          <w:tcPr>
            <w:tcW w:w="215" w:type="dxa"/>
            <w:tcBorders/>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215" w:type="dxa"/>
            <w:tcBorders/>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 Rate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ind w:left="0" w:right="0" w:hanging="140"/>
              <w:jc w:val="center"/>
              <w:rPr>
                <w:b/>
                <w:color w:val="000000"/>
              </w:rPr>
            </w:pPr>
            <w:r>
              <w:rPr>
                <w:b/>
                <w:color w:val="00000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ind w:left="0" w:right="0" w:hanging="140"/>
              <w:jc w:val="center"/>
              <w:rPr>
                <w:b/>
                <w:color w:val="000000"/>
              </w:rPr>
            </w:pPr>
            <w:r>
              <w:rPr>
                <w:b/>
                <w:color w:val="000000"/>
              </w:rPr>
              <w:t>Average Rate</w:t>
            </w:r>
          </w:p>
        </w:tc>
        <w:tc>
          <w:tcPr>
            <w:tcW w:w="215" w:type="dxa"/>
            <w:tcBorders/>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83" w:type="dxa"/>
            <w:gridSpan w:val="14"/>
            <w:tcBorders/>
            <w:vAlign w:val="bottom"/>
          </w:tcPr>
          <w:p>
            <w:pPr>
              <w:pStyle w:val="TableContents"/>
              <w:bidi w:val="0"/>
              <w:spacing w:before="0" w:after="0"/>
              <w:ind w:left="0" w:right="0" w:hanging="140"/>
              <w:jc w:val="center"/>
              <w:rPr>
                <w:b/>
                <w:color w:val="000000"/>
              </w:rPr>
            </w:pPr>
            <w:r>
              <w:rPr>
                <w:b/>
                <w:color w:val="000000"/>
              </w:rPr>
              <w:t>(Dollars in thousands)</w:t>
            </w:r>
          </w:p>
        </w:tc>
        <w:tc>
          <w:tcPr>
            <w:tcW w:w="215" w:type="dxa"/>
            <w:tcBorders/>
            <w:vAlign w:val="bottom"/>
          </w:tcPr>
          <w:p>
            <w:pPr>
              <w:pStyle w:val="TableContents"/>
              <w:bidi w:val="0"/>
              <w:spacing w:before="0" w:after="283"/>
              <w:jc w:val="left"/>
              <w:rPr/>
            </w:pPr>
            <w:r>
              <w:rPr/>
              <w:t> </w:t>
            </w:r>
          </w:p>
        </w:tc>
      </w:tr>
      <w:tr>
        <w:trPr/>
        <w:tc>
          <w:tcPr>
            <w:tcW w:w="4220" w:type="dxa"/>
            <w:tcBorders/>
            <w:shd w:fill="CCEEFF" w:val="clear"/>
            <w:vAlign w:val="bottom"/>
          </w:tcPr>
          <w:p>
            <w:pPr>
              <w:pStyle w:val="TableContents"/>
              <w:bidi w:val="0"/>
              <w:spacing w:before="0" w:after="0"/>
              <w:ind w:left="144" w:right="0" w:hanging="144"/>
              <w:jc w:val="left"/>
              <w:rPr>
                <w:color w:val="000000"/>
              </w:rPr>
            </w:pPr>
            <w:r>
              <w:rPr>
                <w:color w:val="000000"/>
              </w:rPr>
              <w:t>Noninterest-bearing deposits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1,075,514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color w:val="000000"/>
              </w:rPr>
            </w:pPr>
            <w:r>
              <w:rPr>
                <w:color w:val="000000"/>
              </w:rPr>
              <w:t>0.00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1,171,454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color w:val="000000"/>
              </w:rPr>
            </w:pPr>
            <w:r>
              <w:rPr>
                <w:color w:val="000000"/>
              </w:rPr>
              <w:t>0.00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4220" w:type="dxa"/>
            <w:tcBorders/>
            <w:vAlign w:val="bottom"/>
          </w:tcPr>
          <w:p>
            <w:pPr>
              <w:pStyle w:val="TableContents"/>
              <w:bidi w:val="0"/>
              <w:spacing w:before="0" w:after="0"/>
              <w:ind w:left="144" w:right="0" w:hanging="144"/>
              <w:jc w:val="left"/>
              <w:rPr>
                <w:color w:val="000000"/>
              </w:rPr>
            </w:pPr>
            <w:r>
              <w:rPr>
                <w:color w:val="000000"/>
              </w:rPr>
              <w:t>Interest-bearing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4220" w:type="dxa"/>
            <w:tcBorders/>
            <w:shd w:fill="CCEEFF" w:val="clear"/>
            <w:vAlign w:val="bottom"/>
          </w:tcPr>
          <w:p>
            <w:pPr>
              <w:pStyle w:val="TableContents"/>
              <w:bidi w:val="0"/>
              <w:spacing w:before="0" w:after="0"/>
              <w:ind w:left="324" w:right="0" w:hanging="144"/>
              <w:jc w:val="left"/>
              <w:rPr>
                <w:color w:val="000000"/>
              </w:rPr>
            </w:pPr>
            <w:r>
              <w:rPr>
                <w:color w:val="000000"/>
              </w:rPr>
              <w:t>NOW and interest-bearing demand accounts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307,171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color w:val="000000"/>
              </w:rPr>
            </w:pPr>
            <w:r>
              <w:rPr>
                <w:color w:val="000000"/>
              </w:rPr>
              <w:t>2.24</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352,350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color w:val="000000"/>
              </w:rPr>
            </w:pPr>
            <w:r>
              <w:rPr>
                <w:color w:val="000000"/>
              </w:rPr>
              <w:t>0.25</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4220" w:type="dxa"/>
            <w:tcBorders/>
            <w:vAlign w:val="bottom"/>
          </w:tcPr>
          <w:p>
            <w:pPr>
              <w:pStyle w:val="TableContents"/>
              <w:bidi w:val="0"/>
              <w:spacing w:before="0" w:after="0"/>
              <w:ind w:left="324" w:right="0" w:hanging="144"/>
              <w:jc w:val="left"/>
              <w:rPr>
                <w:color w:val="000000"/>
              </w:rPr>
            </w:pPr>
            <w:r>
              <w:rPr>
                <w:color w:val="000000"/>
              </w:rPr>
              <w:t>Savings accounts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147,533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color w:val="000000"/>
              </w:rPr>
            </w:pPr>
            <w:r>
              <w:rPr>
                <w:color w:val="000000"/>
              </w:rPr>
              <w:t>0.59</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147,535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color w:val="000000"/>
              </w:rPr>
            </w:pPr>
            <w:r>
              <w:rPr>
                <w:color w:val="000000"/>
              </w:rPr>
              <w:t>0.11</w:t>
            </w:r>
          </w:p>
        </w:tc>
        <w:tc>
          <w:tcPr>
            <w:tcW w:w="215" w:type="dxa"/>
            <w:tcBorders/>
            <w:vAlign w:val="bottom"/>
          </w:tcPr>
          <w:p>
            <w:pPr>
              <w:pStyle w:val="TableContents"/>
              <w:bidi w:val="0"/>
              <w:spacing w:before="0" w:after="0"/>
              <w:jc w:val="left"/>
              <w:rPr>
                <w:color w:val="000000"/>
              </w:rPr>
            </w:pPr>
            <w:r>
              <w:rPr>
                <w:color w:val="000000"/>
              </w:rPr>
              <w:t>%</w:t>
            </w:r>
          </w:p>
        </w:tc>
      </w:tr>
      <w:tr>
        <w:trPr/>
        <w:tc>
          <w:tcPr>
            <w:tcW w:w="4220" w:type="dxa"/>
            <w:tcBorders/>
            <w:shd w:fill="CCEEFF" w:val="clear"/>
            <w:vAlign w:val="bottom"/>
          </w:tcPr>
          <w:p>
            <w:pPr>
              <w:pStyle w:val="TableContents"/>
              <w:bidi w:val="0"/>
              <w:spacing w:before="0" w:after="0"/>
              <w:ind w:left="324" w:right="0" w:hanging="144"/>
              <w:jc w:val="left"/>
              <w:rPr>
                <w:color w:val="000000"/>
              </w:rPr>
            </w:pPr>
            <w:r>
              <w:rPr>
                <w:color w:val="000000"/>
              </w:rPr>
              <w:t>Money market accounts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1,604,478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color w:val="000000"/>
              </w:rPr>
            </w:pPr>
            <w:r>
              <w:rPr>
                <w:color w:val="000000"/>
              </w:rPr>
              <w:t>2.64</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1,403,567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color w:val="000000"/>
              </w:rPr>
            </w:pPr>
            <w:r>
              <w:rPr>
                <w:color w:val="000000"/>
              </w:rPr>
              <w:t>0.31</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4220" w:type="dxa"/>
            <w:tcBorders/>
            <w:vAlign w:val="bottom"/>
          </w:tcPr>
          <w:p>
            <w:pPr>
              <w:pStyle w:val="TableContents"/>
              <w:bidi w:val="0"/>
              <w:spacing w:before="0" w:after="0"/>
              <w:ind w:left="324" w:right="0" w:hanging="144"/>
              <w:jc w:val="left"/>
              <w:rPr>
                <w:color w:val="000000"/>
              </w:rPr>
            </w:pPr>
            <w:r>
              <w:rPr>
                <w:color w:val="000000"/>
              </w:rPr>
              <w:t>Time deposits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299,358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color w:val="000000"/>
              </w:rPr>
            </w:pPr>
            <w:r>
              <w:rPr>
                <w:color w:val="000000"/>
              </w:rPr>
              <w:t>2.61</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334,819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color w:val="000000"/>
              </w:rPr>
            </w:pPr>
            <w:r>
              <w:rPr>
                <w:color w:val="000000"/>
              </w:rPr>
              <w:t>1.15</w:t>
            </w:r>
          </w:p>
        </w:tc>
        <w:tc>
          <w:tcPr>
            <w:tcW w:w="215" w:type="dxa"/>
            <w:tcBorders/>
            <w:vAlign w:val="bottom"/>
          </w:tcPr>
          <w:p>
            <w:pPr>
              <w:pStyle w:val="TableContents"/>
              <w:bidi w:val="0"/>
              <w:spacing w:before="0" w:after="0"/>
              <w:jc w:val="left"/>
              <w:rPr>
                <w:color w:val="000000"/>
              </w:rPr>
            </w:pPr>
            <w:r>
              <w:rPr>
                <w:color w:val="000000"/>
              </w:rPr>
              <w:t>%</w:t>
            </w:r>
          </w:p>
        </w:tc>
      </w:tr>
      <w:tr>
        <w:trPr/>
        <w:tc>
          <w:tcPr>
            <w:tcW w:w="4220" w:type="dxa"/>
            <w:tcBorders/>
            <w:shd w:fill="CCEEFF" w:val="clear"/>
            <w:vAlign w:val="bottom"/>
          </w:tcPr>
          <w:p>
            <w:pPr>
              <w:pStyle w:val="TableContents"/>
              <w:bidi w:val="0"/>
              <w:spacing w:before="0" w:after="0"/>
              <w:ind w:left="504" w:right="0" w:hanging="144"/>
              <w:jc w:val="left"/>
              <w:rPr>
                <w:color w:val="000000"/>
              </w:rPr>
            </w:pPr>
            <w:r>
              <w:rPr>
                <w:color w:val="000000"/>
              </w:rPr>
              <w:t>Total interest-bearing deposits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2,358,540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color w:val="000000"/>
              </w:rPr>
            </w:pPr>
            <w:r>
              <w:rPr>
                <w:color w:val="000000"/>
              </w:rPr>
              <w:t>2.45</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2,238,271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color w:val="000000"/>
              </w:rPr>
            </w:pPr>
            <w:r>
              <w:rPr>
                <w:color w:val="000000"/>
              </w:rPr>
              <w:t>0.39</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4220" w:type="dxa"/>
            <w:tcBorders/>
            <w:vAlign w:val="bottom"/>
          </w:tcPr>
          <w:p>
            <w:pPr>
              <w:pStyle w:val="TableContents"/>
              <w:bidi w:val="0"/>
              <w:spacing w:before="0" w:after="0"/>
              <w:ind w:left="684" w:right="0" w:hanging="144"/>
              <w:jc w:val="left"/>
              <w:rPr>
                <w:color w:val="000000"/>
              </w:rPr>
            </w:pPr>
            <w:r>
              <w:rPr>
                <w:color w:val="000000"/>
              </w:rPr>
              <w:t>Total deposits</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3,434,054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color w:val="000000"/>
              </w:rPr>
            </w:pPr>
            <w:r>
              <w:rPr>
                <w:color w:val="000000"/>
              </w:rPr>
              <w:t>1.69</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3,409,725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color w:val="000000"/>
              </w:rPr>
            </w:pPr>
            <w:r>
              <w:rPr>
                <w:color w:val="000000"/>
              </w:rPr>
              <w:t>0.27</w:t>
            </w:r>
          </w:p>
        </w:tc>
        <w:tc>
          <w:tcPr>
            <w:tcW w:w="21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tbl>
      <w:tblPr>
        <w:tblW w:w="10078" w:type="dxa"/>
        <w:jc w:val="left"/>
        <w:tblInd w:w="0" w:type="dxa"/>
        <w:tblLayout w:type="fixed"/>
        <w:tblCellMar>
          <w:top w:w="0" w:type="dxa"/>
          <w:left w:w="0" w:type="dxa"/>
          <w:bottom w:w="0" w:type="dxa"/>
          <w:right w:w="0" w:type="dxa"/>
        </w:tblCellMar>
      </w:tblPr>
      <w:tblGrid>
        <w:gridCol w:w="4220"/>
        <w:gridCol w:w="60"/>
        <w:gridCol w:w="140"/>
        <w:gridCol w:w="980"/>
        <w:gridCol w:w="60"/>
        <w:gridCol w:w="60"/>
        <w:gridCol w:w="169"/>
        <w:gridCol w:w="1245"/>
        <w:gridCol w:w="215"/>
        <w:gridCol w:w="60"/>
        <w:gridCol w:w="140"/>
        <w:gridCol w:w="980"/>
        <w:gridCol w:w="60"/>
        <w:gridCol w:w="60"/>
        <w:gridCol w:w="169"/>
        <w:gridCol w:w="1245"/>
        <w:gridCol w:w="215"/>
      </w:tblGrid>
      <w:tr>
        <w:trPr/>
        <w:tc>
          <w:tcPr>
            <w:tcW w:w="4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83" w:type="dxa"/>
            <w:gridSpan w:val="14"/>
            <w:tcBorders/>
            <w:vAlign w:val="bottom"/>
          </w:tcPr>
          <w:p>
            <w:pPr>
              <w:pStyle w:val="TableContents"/>
              <w:bidi w:val="0"/>
              <w:spacing w:before="0" w:after="0"/>
              <w:jc w:val="center"/>
              <w:rPr>
                <w:b/>
                <w:color w:val="000000"/>
              </w:rPr>
            </w:pPr>
            <w:r>
              <w:rPr>
                <w:b/>
                <w:color w:val="000000"/>
              </w:rPr>
              <w:t>Six Months Ended June 30,</w:t>
            </w:r>
          </w:p>
        </w:tc>
        <w:tc>
          <w:tcPr>
            <w:tcW w:w="215" w:type="dxa"/>
            <w:tcBorders/>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4"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2022</w:t>
            </w:r>
          </w:p>
        </w:tc>
        <w:tc>
          <w:tcPr>
            <w:tcW w:w="215" w:type="dxa"/>
            <w:tcBorders/>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jc w:val="center"/>
              <w:rPr>
                <w:b/>
                <w:color w:val="000000"/>
              </w:rPr>
            </w:pPr>
            <w:r>
              <w:rPr>
                <w:b/>
                <w:color w:val="00000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jc w:val="center"/>
              <w:rPr>
                <w:b/>
                <w:color w:val="000000"/>
              </w:rPr>
            </w:pPr>
            <w:r>
              <w:rPr>
                <w:b/>
                <w:color w:val="000000"/>
              </w:rPr>
              <w:t>Average Rate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w:t>
            </w:r>
          </w:p>
          <w:p>
            <w:pPr>
              <w:pStyle w:val="TableContents"/>
              <w:bidi w:val="0"/>
              <w:spacing w:before="0" w:after="0"/>
              <w:ind w:left="0" w:right="0" w:hanging="140"/>
              <w:jc w:val="center"/>
              <w:rPr>
                <w:b/>
                <w:color w:val="000000"/>
              </w:rPr>
            </w:pPr>
            <w:r>
              <w:rPr>
                <w:b/>
                <w:color w:val="00000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Weighted</w:t>
            </w:r>
          </w:p>
          <w:p>
            <w:pPr>
              <w:pStyle w:val="TableContents"/>
              <w:bidi w:val="0"/>
              <w:spacing w:before="0" w:after="0"/>
              <w:ind w:left="0" w:right="0" w:hanging="140"/>
              <w:jc w:val="center"/>
              <w:rPr>
                <w:b/>
                <w:color w:val="000000"/>
              </w:rPr>
            </w:pPr>
            <w:r>
              <w:rPr>
                <w:b/>
                <w:color w:val="000000"/>
              </w:rPr>
              <w:t>Average Rate</w:t>
            </w:r>
          </w:p>
        </w:tc>
        <w:tc>
          <w:tcPr>
            <w:tcW w:w="215" w:type="dxa"/>
            <w:tcBorders/>
            <w:vAlign w:val="bottom"/>
          </w:tcPr>
          <w:p>
            <w:pPr>
              <w:pStyle w:val="TableContents"/>
              <w:bidi w:val="0"/>
              <w:spacing w:before="0" w:after="283"/>
              <w:jc w:val="left"/>
              <w:rPr/>
            </w:pPr>
            <w:r>
              <w:rPr/>
              <w:t> </w:t>
            </w:r>
          </w:p>
        </w:tc>
      </w:tr>
      <w:tr>
        <w:trPr/>
        <w:tc>
          <w:tcPr>
            <w:tcW w:w="42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83" w:type="dxa"/>
            <w:gridSpan w:val="14"/>
            <w:tcBorders/>
            <w:vAlign w:val="bottom"/>
          </w:tcPr>
          <w:p>
            <w:pPr>
              <w:pStyle w:val="TableContents"/>
              <w:bidi w:val="0"/>
              <w:spacing w:before="0" w:after="0"/>
              <w:ind w:left="0" w:right="0" w:hanging="140"/>
              <w:jc w:val="center"/>
              <w:rPr>
                <w:b/>
                <w:color w:val="000000"/>
              </w:rPr>
            </w:pPr>
            <w:r>
              <w:rPr>
                <w:b/>
                <w:color w:val="000000"/>
              </w:rPr>
              <w:t>(Dollars in thousands)</w:t>
            </w:r>
          </w:p>
        </w:tc>
        <w:tc>
          <w:tcPr>
            <w:tcW w:w="215" w:type="dxa"/>
            <w:tcBorders/>
            <w:vAlign w:val="bottom"/>
          </w:tcPr>
          <w:p>
            <w:pPr>
              <w:pStyle w:val="TableContents"/>
              <w:bidi w:val="0"/>
              <w:spacing w:before="0" w:after="283"/>
              <w:jc w:val="left"/>
              <w:rPr/>
            </w:pPr>
            <w:r>
              <w:rPr/>
              <w:t> </w:t>
            </w:r>
          </w:p>
        </w:tc>
      </w:tr>
      <w:tr>
        <w:trPr/>
        <w:tc>
          <w:tcPr>
            <w:tcW w:w="4220" w:type="dxa"/>
            <w:tcBorders/>
            <w:shd w:fill="CCEEFF" w:val="clear"/>
            <w:vAlign w:val="bottom"/>
          </w:tcPr>
          <w:p>
            <w:pPr>
              <w:pStyle w:val="TableContents"/>
              <w:bidi w:val="0"/>
              <w:spacing w:before="0" w:after="0"/>
              <w:ind w:left="144" w:right="0" w:hanging="144"/>
              <w:jc w:val="left"/>
              <w:rPr>
                <w:color w:val="000000"/>
              </w:rPr>
            </w:pPr>
            <w:r>
              <w:rPr>
                <w:color w:val="000000"/>
              </w:rPr>
              <w:t>Noninterest-bearing deposits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1,092,429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color w:val="000000"/>
              </w:rPr>
            </w:pPr>
            <w:r>
              <w:rPr>
                <w:color w:val="000000"/>
              </w:rPr>
              <w:t>0.00</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1,137,771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color w:val="000000"/>
              </w:rPr>
            </w:pPr>
            <w:r>
              <w:rPr>
                <w:color w:val="000000"/>
              </w:rPr>
              <w:t>0.00</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4220" w:type="dxa"/>
            <w:tcBorders/>
            <w:vAlign w:val="bottom"/>
          </w:tcPr>
          <w:p>
            <w:pPr>
              <w:pStyle w:val="TableContents"/>
              <w:bidi w:val="0"/>
              <w:spacing w:before="0" w:after="0"/>
              <w:ind w:left="144" w:right="0" w:hanging="144"/>
              <w:jc w:val="left"/>
              <w:rPr>
                <w:color w:val="000000"/>
              </w:rPr>
            </w:pPr>
            <w:r>
              <w:rPr>
                <w:color w:val="000000"/>
              </w:rPr>
              <w:t>Interest-bearing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4220" w:type="dxa"/>
            <w:tcBorders/>
            <w:shd w:fill="CCEEFF" w:val="clear"/>
            <w:vAlign w:val="bottom"/>
          </w:tcPr>
          <w:p>
            <w:pPr>
              <w:pStyle w:val="TableContents"/>
              <w:bidi w:val="0"/>
              <w:spacing w:before="0" w:after="0"/>
              <w:ind w:left="324" w:right="0" w:hanging="144"/>
              <w:jc w:val="left"/>
              <w:rPr>
                <w:color w:val="000000"/>
              </w:rPr>
            </w:pPr>
            <w:r>
              <w:rPr>
                <w:color w:val="000000"/>
              </w:rPr>
              <w:t>NOW and interest-bearing demand accounts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321,199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color w:val="000000"/>
              </w:rPr>
            </w:pPr>
            <w:r>
              <w:rPr>
                <w:color w:val="000000"/>
              </w:rPr>
              <w:t>1.95</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363,796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color w:val="000000"/>
              </w:rPr>
            </w:pPr>
            <w:r>
              <w:rPr>
                <w:color w:val="000000"/>
              </w:rPr>
              <w:t>0.17</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4220" w:type="dxa"/>
            <w:tcBorders/>
            <w:vAlign w:val="bottom"/>
          </w:tcPr>
          <w:p>
            <w:pPr>
              <w:pStyle w:val="TableContents"/>
              <w:bidi w:val="0"/>
              <w:spacing w:before="0" w:after="0"/>
              <w:ind w:left="324" w:right="0" w:hanging="144"/>
              <w:jc w:val="left"/>
              <w:rPr>
                <w:color w:val="000000"/>
              </w:rPr>
            </w:pPr>
            <w:r>
              <w:rPr>
                <w:color w:val="000000"/>
              </w:rPr>
              <w:t>Savings accounts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149,743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color w:val="000000"/>
              </w:rPr>
            </w:pPr>
            <w:r>
              <w:rPr>
                <w:color w:val="000000"/>
              </w:rPr>
              <w:t>0.83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0"/>
              <w:jc w:val="right"/>
              <w:rPr>
                <w:color w:val="000000"/>
              </w:rPr>
            </w:pPr>
            <w:r>
              <w:rPr>
                <w:color w:val="000000"/>
              </w:rPr>
              <w:t>148,276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color w:val="000000"/>
              </w:rPr>
            </w:pPr>
            <w:r>
              <w:rPr>
                <w:color w:val="000000"/>
              </w:rPr>
              <w:t>0.10</w:t>
            </w:r>
          </w:p>
        </w:tc>
        <w:tc>
          <w:tcPr>
            <w:tcW w:w="215" w:type="dxa"/>
            <w:tcBorders/>
            <w:vAlign w:val="bottom"/>
          </w:tcPr>
          <w:p>
            <w:pPr>
              <w:pStyle w:val="TableContents"/>
              <w:bidi w:val="0"/>
              <w:spacing w:before="0" w:after="0"/>
              <w:jc w:val="left"/>
              <w:rPr>
                <w:color w:val="000000"/>
              </w:rPr>
            </w:pPr>
            <w:r>
              <w:rPr>
                <w:color w:val="000000"/>
              </w:rPr>
              <w:t>%</w:t>
            </w:r>
          </w:p>
        </w:tc>
      </w:tr>
      <w:tr>
        <w:trPr/>
        <w:tc>
          <w:tcPr>
            <w:tcW w:w="4220" w:type="dxa"/>
            <w:tcBorders/>
            <w:shd w:fill="CCEEFF" w:val="clear"/>
            <w:vAlign w:val="bottom"/>
          </w:tcPr>
          <w:p>
            <w:pPr>
              <w:pStyle w:val="TableContents"/>
              <w:bidi w:val="0"/>
              <w:spacing w:before="0" w:after="0"/>
              <w:ind w:left="324" w:right="0" w:hanging="144"/>
              <w:jc w:val="left"/>
              <w:rPr>
                <w:color w:val="000000"/>
              </w:rPr>
            </w:pPr>
            <w:r>
              <w:rPr>
                <w:color w:val="000000"/>
              </w:rPr>
              <w:t>Money market accounts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1,552,927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color w:val="000000"/>
              </w:rPr>
            </w:pPr>
            <w:r>
              <w:rPr>
                <w:color w:val="000000"/>
              </w:rPr>
              <w:t>2.44</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color w:val="000000"/>
              </w:rPr>
            </w:pPr>
            <w:r>
              <w:rPr>
                <w:color w:val="000000"/>
              </w:rPr>
              <w:t>1,408,536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color w:val="000000"/>
              </w:rPr>
            </w:pPr>
            <w:r>
              <w:rPr>
                <w:color w:val="000000"/>
              </w:rPr>
              <w:t>0.27</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4220" w:type="dxa"/>
            <w:tcBorders/>
            <w:vAlign w:val="bottom"/>
          </w:tcPr>
          <w:p>
            <w:pPr>
              <w:pStyle w:val="TableContents"/>
              <w:bidi w:val="0"/>
              <w:spacing w:before="0" w:after="0"/>
              <w:ind w:left="324" w:right="0" w:hanging="144"/>
              <w:jc w:val="left"/>
              <w:rPr>
                <w:color w:val="000000"/>
              </w:rPr>
            </w:pPr>
            <w:r>
              <w:rPr>
                <w:color w:val="000000"/>
              </w:rPr>
              <w:t>Time deposits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291,677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color w:val="000000"/>
              </w:rPr>
            </w:pPr>
            <w:r>
              <w:rPr>
                <w:color w:val="000000"/>
              </w:rPr>
              <w:t>2.31</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336,962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color w:val="000000"/>
              </w:rPr>
            </w:pPr>
            <w:r>
              <w:rPr>
                <w:color w:val="000000"/>
              </w:rPr>
              <w:t>1.16</w:t>
            </w:r>
          </w:p>
        </w:tc>
        <w:tc>
          <w:tcPr>
            <w:tcW w:w="215" w:type="dxa"/>
            <w:tcBorders/>
            <w:vAlign w:val="bottom"/>
          </w:tcPr>
          <w:p>
            <w:pPr>
              <w:pStyle w:val="TableContents"/>
              <w:bidi w:val="0"/>
              <w:spacing w:before="0" w:after="0"/>
              <w:jc w:val="left"/>
              <w:rPr>
                <w:color w:val="000000"/>
              </w:rPr>
            </w:pPr>
            <w:r>
              <w:rPr>
                <w:color w:val="000000"/>
              </w:rPr>
              <w:t>%</w:t>
            </w:r>
          </w:p>
        </w:tc>
      </w:tr>
      <w:tr>
        <w:trPr/>
        <w:tc>
          <w:tcPr>
            <w:tcW w:w="4220" w:type="dxa"/>
            <w:tcBorders/>
            <w:shd w:fill="CCEEFF" w:val="clear"/>
            <w:vAlign w:val="bottom"/>
          </w:tcPr>
          <w:p>
            <w:pPr>
              <w:pStyle w:val="TableContents"/>
              <w:bidi w:val="0"/>
              <w:spacing w:before="0" w:after="0"/>
              <w:ind w:left="504" w:right="0" w:hanging="144"/>
              <w:jc w:val="left"/>
              <w:rPr>
                <w:color w:val="000000"/>
              </w:rPr>
            </w:pPr>
            <w:r>
              <w:rPr>
                <w:color w:val="000000"/>
              </w:rPr>
              <w:t>Total interest-bearing deposits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2,315,546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color w:val="000000"/>
              </w:rPr>
            </w:pPr>
            <w:r>
              <w:rPr>
                <w:color w:val="000000"/>
              </w:rPr>
              <w:t>2.25</w:t>
            </w:r>
          </w:p>
        </w:tc>
        <w:tc>
          <w:tcPr>
            <w:tcW w:w="215"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2,257,570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0"/>
              <w:jc w:val="right"/>
              <w:rPr>
                <w:color w:val="000000"/>
              </w:rPr>
            </w:pPr>
            <w:r>
              <w:rPr>
                <w:color w:val="000000"/>
              </w:rPr>
              <w:t>0.38</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4220" w:type="dxa"/>
            <w:tcBorders/>
            <w:vAlign w:val="bottom"/>
          </w:tcPr>
          <w:p>
            <w:pPr>
              <w:pStyle w:val="TableContents"/>
              <w:bidi w:val="0"/>
              <w:spacing w:before="0" w:after="0"/>
              <w:ind w:left="684" w:right="0" w:hanging="144"/>
              <w:jc w:val="left"/>
              <w:rPr>
                <w:color w:val="000000"/>
              </w:rPr>
            </w:pPr>
            <w:r>
              <w:rPr>
                <w:color w:val="000000"/>
              </w:rPr>
              <w:t>Total deposits</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3,407,975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color w:val="000000"/>
              </w:rPr>
            </w:pPr>
            <w:r>
              <w:rPr>
                <w:color w:val="000000"/>
              </w:rPr>
              <w:t>1.53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8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3,395,341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0"/>
              <w:jc w:val="right"/>
              <w:rPr>
                <w:color w:val="000000"/>
              </w:rPr>
            </w:pPr>
            <w:r>
              <w:rPr>
                <w:color w:val="000000"/>
              </w:rPr>
              <w:t>0.25</w:t>
            </w:r>
          </w:p>
        </w:tc>
        <w:tc>
          <w:tcPr>
            <w:tcW w:w="21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scheduled maturities of time deposits as of June 30, 2023 follows:</w:t>
      </w:r>
    </w:p>
    <w:p>
      <w:pPr>
        <w:pStyle w:val="TextBody"/>
        <w:bidi w:val="0"/>
        <w:spacing w:before="0" w:after="0"/>
        <w:jc w:val="left"/>
        <w:rPr/>
      </w:pPr>
      <w:r>
        <w:rPr/>
      </w:r>
    </w:p>
    <w:tbl>
      <w:tblPr>
        <w:tblW w:w="7848" w:type="dxa"/>
        <w:jc w:val="left"/>
        <w:tblInd w:w="0" w:type="dxa"/>
        <w:tblLayout w:type="fixed"/>
        <w:tblCellMar>
          <w:top w:w="0" w:type="dxa"/>
          <w:left w:w="0" w:type="dxa"/>
          <w:bottom w:w="0" w:type="dxa"/>
          <w:right w:w="0" w:type="dxa"/>
        </w:tblCellMar>
      </w:tblPr>
      <w:tblGrid>
        <w:gridCol w:w="2255"/>
        <w:gridCol w:w="60"/>
        <w:gridCol w:w="160"/>
        <w:gridCol w:w="640"/>
        <w:gridCol w:w="60"/>
        <w:gridCol w:w="60"/>
        <w:gridCol w:w="235"/>
        <w:gridCol w:w="940"/>
        <w:gridCol w:w="60"/>
        <w:gridCol w:w="60"/>
        <w:gridCol w:w="187"/>
        <w:gridCol w:w="912"/>
        <w:gridCol w:w="60"/>
        <w:gridCol w:w="60"/>
        <w:gridCol w:w="187"/>
        <w:gridCol w:w="912"/>
        <w:gridCol w:w="60"/>
        <w:gridCol w:w="60"/>
        <w:gridCol w:w="140"/>
        <w:gridCol w:w="680"/>
        <w:gridCol w:w="60"/>
      </w:tblGrid>
      <w:tr>
        <w:trPr/>
        <w:tc>
          <w:tcPr>
            <w:tcW w:w="2255" w:type="dxa"/>
            <w:tcBorders/>
            <w:vAlign w:val="bottom"/>
          </w:tcPr>
          <w:p>
            <w:pPr>
              <w:pStyle w:val="TableContents"/>
              <w:bidi w:val="0"/>
              <w:spacing w:before="0" w:after="0"/>
              <w:ind w:left="144" w:right="0" w:hanging="144"/>
              <w:jc w:val="left"/>
              <w:rPr>
                <w:b/>
                <w:color w:val="000000"/>
              </w:rPr>
            </w:pPr>
            <w:r>
              <w:rPr>
                <w:b/>
                <w:color w:val="000000"/>
              </w:rPr>
              <w:t>(Dollars in thousands)</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w:t>
            </w:r>
          </w:p>
          <w:p>
            <w:pPr>
              <w:pStyle w:val="TableContents"/>
              <w:bidi w:val="0"/>
              <w:spacing w:before="0" w:after="0"/>
              <w:jc w:val="center"/>
              <w:rPr>
                <w:b/>
                <w:color w:val="000000"/>
              </w:rPr>
            </w:pPr>
            <w:r>
              <w:rPr>
                <w:b/>
                <w:color w:val="000000"/>
              </w:rPr>
              <w:t>Months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to</w:t>
            </w:r>
          </w:p>
          <w:p>
            <w:pPr>
              <w:pStyle w:val="TableContents"/>
              <w:bidi w:val="0"/>
              <w:spacing w:before="0" w:after="0"/>
              <w:jc w:val="center"/>
              <w:rPr>
                <w:b/>
                <w:color w:val="000000"/>
              </w:rPr>
            </w:pPr>
            <w:r>
              <w:rPr>
                <w:b/>
                <w:color w:val="000000"/>
              </w:rPr>
              <w:t>Six Months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to</w:t>
            </w:r>
          </w:p>
          <w:p>
            <w:pPr>
              <w:pStyle w:val="TableContents"/>
              <w:bidi w:val="0"/>
              <w:spacing w:before="0" w:after="0"/>
              <w:jc w:val="center"/>
              <w:rPr>
                <w:b/>
                <w:color w:val="000000"/>
              </w:rPr>
            </w:pPr>
            <w:r>
              <w:rPr>
                <w:b/>
                <w:color w:val="000000"/>
              </w:rPr>
              <w:t>12 Months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After</w:t>
            </w:r>
          </w:p>
          <w:p>
            <w:pPr>
              <w:pStyle w:val="TableContents"/>
              <w:bidi w:val="0"/>
              <w:spacing w:before="0" w:after="0"/>
              <w:jc w:val="center"/>
              <w:rPr>
                <w:b/>
                <w:color w:val="000000"/>
              </w:rPr>
            </w:pPr>
            <w:r>
              <w:rPr>
                <w:b/>
                <w:color w:val="000000"/>
              </w:rPr>
              <w:t>12 Months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60"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0"/>
              <w:jc w:val="left"/>
              <w:rPr>
                <w:color w:val="000000"/>
              </w:rPr>
            </w:pPr>
            <w:r>
              <w:rPr>
                <w:color w:val="000000"/>
              </w:rPr>
              <w:t>$</w:t>
            </w:r>
          </w:p>
        </w:tc>
        <w:tc>
          <w:tcPr>
            <w:tcW w:w="640" w:type="dxa"/>
            <w:tcBorders/>
            <w:shd w:fill="CCEEFF" w:val="clear"/>
            <w:vAlign w:val="bottom"/>
          </w:tcPr>
          <w:p>
            <w:pPr>
              <w:pStyle w:val="TableContents"/>
              <w:bidi w:val="0"/>
              <w:spacing w:before="0" w:after="0"/>
              <w:jc w:val="right"/>
              <w:rPr>
                <w:color w:val="000000"/>
              </w:rPr>
            </w:pPr>
            <w:r>
              <w:rPr>
                <w:color w:val="000000"/>
              </w:rPr>
              <w:t>3,610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0"/>
              <w:jc w:val="left"/>
              <w:rPr>
                <w:color w:val="000000"/>
              </w:rPr>
            </w:pPr>
            <w:r>
              <w:rPr>
                <w:color w:val="000000"/>
              </w:rPr>
              <w:t>$</w:t>
            </w:r>
          </w:p>
        </w:tc>
        <w:tc>
          <w:tcPr>
            <w:tcW w:w="940" w:type="dxa"/>
            <w:tcBorders/>
            <w:shd w:fill="CCEEFF" w:val="clear"/>
            <w:vAlign w:val="bottom"/>
          </w:tcPr>
          <w:p>
            <w:pPr>
              <w:pStyle w:val="TableContents"/>
              <w:bidi w:val="0"/>
              <w:spacing w:before="0" w:after="0"/>
              <w:jc w:val="right"/>
              <w:rPr>
                <w:color w:val="000000"/>
              </w:rPr>
            </w:pPr>
            <w:r>
              <w:rPr>
                <w:color w:val="000000"/>
              </w:rPr>
              <w:t>8,927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912" w:type="dxa"/>
            <w:tcBorders/>
            <w:shd w:fill="CCEEFF" w:val="clear"/>
            <w:vAlign w:val="bottom"/>
          </w:tcPr>
          <w:p>
            <w:pPr>
              <w:pStyle w:val="TableContents"/>
              <w:bidi w:val="0"/>
              <w:spacing w:before="0" w:after="0"/>
              <w:jc w:val="right"/>
              <w:rPr>
                <w:color w:val="000000"/>
              </w:rPr>
            </w:pPr>
            <w:r>
              <w:rPr>
                <w:color w:val="000000"/>
              </w:rPr>
              <w:t>36,665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0"/>
              <w:jc w:val="left"/>
              <w:rPr>
                <w:color w:val="000000"/>
              </w:rPr>
            </w:pPr>
            <w:r>
              <w:rPr>
                <w:color w:val="000000"/>
              </w:rPr>
              <w:t>$</w:t>
            </w:r>
          </w:p>
        </w:tc>
        <w:tc>
          <w:tcPr>
            <w:tcW w:w="912" w:type="dxa"/>
            <w:tcBorders/>
            <w:shd w:fill="CCEEFF" w:val="clear"/>
            <w:vAlign w:val="bottom"/>
          </w:tcPr>
          <w:p>
            <w:pPr>
              <w:pStyle w:val="TableContents"/>
              <w:bidi w:val="0"/>
              <w:spacing w:before="0" w:after="0"/>
              <w:jc w:val="right"/>
              <w:rPr>
                <w:color w:val="000000"/>
              </w:rPr>
            </w:pPr>
            <w:r>
              <w:rPr>
                <w:color w:val="000000"/>
              </w:rPr>
              <w:t>19,974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69,176</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estimated amount of uninsured and uncollateralized deposits as of June 30, 2023 was $576.9 million. This represented approximately 16% of total deposits and excludes collateralized public fund deposits.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Time deposits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 Time deposits in amounts of more than $250 thousand totaled $130.4 million at June 30, 2023.</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Borrowed Funds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addition to deposits, we may utilize advances from the FHLB and other borrowings as a supplementary funding source to finance our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FHLB Advances</w:t>
      </w:r>
      <w:r>
        <w:rPr>
          <w:rFonts w:ascii="Times New Roman" w:hAnsi="Times New Roman"/>
          <w:color w:val="000000"/>
          <w:sz w:val="20"/>
        </w:rPr>
        <w:t>. The FHLB allows us to borrow, both short and long-term, on a blanket floating lien status collateralized by first mortgage loans and commercial real estate loans as well as FHLB stock. At June 30, 2023 and December 31, 2022, we had total remaining borrowing capacity from the FHLB of $1.01 billion and $920.2 million, respectively.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had no FHLB borrowings during the six months ended June 30, 2023 or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Federal Reserve Bank of Dallas</w:t>
      </w:r>
      <w:r>
        <w:rPr>
          <w:rFonts w:ascii="Times New Roman" w:hAnsi="Times New Roman"/>
          <w:color w:val="000000"/>
          <w:sz w:val="20"/>
        </w:rPr>
        <w:t>. The Bank has a line of credit with the Federal Reserve Bank of Dallas (the “FRB”). The amount of the line is determined on a monthly basis by the FRB. The line is collateralized by a blanket floating lien on all agriculture, commercial and consumer loans. The amount of the line was $611.7 million and $648.3 million at June 30, 2023 and December 31, 2022, respectively.</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had no long-term FRB borrowings during the six months ended June 30, 2023 or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addition, we have access to the FRB’s BTFP. As of June 30, 2023, the Company has not pledged any securities for the BTFP but has approximately $200 million of available securities that can be used as collateral for additional borrowings through the program.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Lines of Credit</w:t>
      </w:r>
      <w:r>
        <w:rPr>
          <w:rFonts w:ascii="Times New Roman" w:hAnsi="Times New Roman"/>
          <w:color w:val="000000"/>
          <w:sz w:val="20"/>
        </w:rPr>
        <w:t>. The Bank has uncollateralized lines of credit with multiple banks as a source of funding for liquidity management. The total amount of the lines was $140.0 million and 160.0 million as of June 30, 2023 and December 31, 2022, respectively. The lines of credit were not used, other than testing, during the three or six months ended June 30, 2023 or the three or six months ended June 30, 2022.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Subordinated Debt</w:t>
      </w:r>
      <w:r>
        <w:rPr>
          <w:rFonts w:ascii="Times New Roman" w:hAnsi="Times New Roman"/>
          <w:color w:val="000000"/>
          <w:sz w:val="20"/>
        </w:rPr>
        <w:t xml:space="preserve">. In December 2018, the Company issued $26.5 million in subordinated notes. Notes totaling $12.4 million have a maturity date of December 2028 and an average fixed rate of 5.74% for the first five years. The remaining $14.1 million of notes have a maturity date of December 2030 and an average fixed rate of 6.41% for the first seven years. After the fixed rate periods, all notes will float at the </w:t>
      </w:r>
      <w:r>
        <w:rPr>
          <w:rFonts w:ascii="Times New Roman" w:hAnsi="Times New Roman"/>
          <w:i/>
          <w:color w:val="000000"/>
          <w:sz w:val="20"/>
        </w:rPr>
        <w:t>Wall Street Journal</w:t>
      </w:r>
      <w:r>
        <w:rPr>
          <w:rFonts w:ascii="Times New Roman" w:hAnsi="Times New Roman"/>
          <w:color w:val="000000"/>
          <w:sz w:val="20"/>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September 29, 2020, the Company issued $50.0 million in subordinated notes. Proceeds were reduced by approximately $926 thousand in debt issuance costs. The notes have a maturity date of September 2030 with a fixed rate of 4.50% for the first five years. After the expiration of the fixed rate period, the notes will reset quarterly at a variable rate equal to the then current three-month Secured Overnight Financing Rate, as published by the Federal Reserve Bank of New York, plus 438 basis points. These notes pay interest semi-annually, are unsecured, and may be called by the Company at any time after the remaining maturity is five years or less. Additionally, these notes are intended to qualify for Tier 2 capital treatment, subject to regulatory limitations.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June 30, 2023, the total amount of subordinated debt outstanding was $76.5 million less approximately $418 thousand of remaining debt issuance costs for a total balance of $76.1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Junior Subordinated Deferrable Interest Debentures and Trust Preferred Securities</w:t>
      </w:r>
      <w:r>
        <w:rPr>
          <w:rFonts w:ascii="Times New Roman" w:hAnsi="Times New Roman"/>
          <w:color w:val="000000"/>
          <w:sz w:val="20"/>
        </w:rPr>
        <w:t>. Between March 2004 and June 2007, the 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Consolidated Balance Sheets. The Company records interest expense on the debentures in its consolidated financial statements. The amount of debentures outstanding was $46.4 million at June 30, 2023 and December 31, 2022.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chart below indicates certain information, as of June 30, 2023,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and the interest rates on the junior subordinated deferrable interest debentures.</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2664"/>
        <w:gridCol w:w="568"/>
        <w:gridCol w:w="60"/>
        <w:gridCol w:w="240"/>
        <w:gridCol w:w="1172"/>
        <w:gridCol w:w="60"/>
        <w:gridCol w:w="60"/>
        <w:gridCol w:w="203"/>
        <w:gridCol w:w="987"/>
        <w:gridCol w:w="60"/>
        <w:gridCol w:w="60"/>
        <w:gridCol w:w="166"/>
        <w:gridCol w:w="1395"/>
        <w:gridCol w:w="60"/>
        <w:gridCol w:w="2450"/>
      </w:tblGrid>
      <w:tr>
        <w:trPr/>
        <w:tc>
          <w:tcPr>
            <w:tcW w:w="2664" w:type="dxa"/>
            <w:tcBorders>
              <w:bottom w:val="single" w:sz="12" w:space="0" w:color="000000"/>
            </w:tcBorders>
            <w:vAlign w:val="bottom"/>
          </w:tcPr>
          <w:p>
            <w:pPr>
              <w:pStyle w:val="TableContents"/>
              <w:bidi w:val="0"/>
              <w:spacing w:before="0" w:after="0"/>
              <w:ind w:left="144" w:right="0" w:hanging="144"/>
              <w:jc w:val="left"/>
              <w:rPr>
                <w:b/>
                <w:color w:val="000000"/>
              </w:rPr>
            </w:pPr>
            <w:r>
              <w:rPr>
                <w:b/>
                <w:color w:val="000000"/>
              </w:rPr>
              <w:t>Name of Trust</w:t>
            </w:r>
          </w:p>
        </w:tc>
        <w:tc>
          <w:tcPr>
            <w:tcW w:w="568" w:type="dxa"/>
            <w:tcBorders>
              <w:bottom w:val="single" w:sz="12" w:space="0" w:color="000000"/>
            </w:tcBorders>
            <w:vAlign w:val="bottom"/>
          </w:tcPr>
          <w:p>
            <w:pPr>
              <w:pStyle w:val="TableContents"/>
              <w:bidi w:val="0"/>
              <w:spacing w:before="0" w:after="0"/>
              <w:jc w:val="center"/>
              <w:rPr>
                <w:b/>
                <w:color w:val="000000"/>
              </w:rPr>
            </w:pPr>
            <w:r>
              <w:rPr>
                <w:b/>
                <w:color w:val="000000"/>
              </w:rPr>
              <w:t xml:space="preserve">Issue </w:t>
            </w:r>
          </w:p>
          <w:p>
            <w:pPr>
              <w:pStyle w:val="TableContents"/>
              <w:bidi w:val="0"/>
              <w:spacing w:before="0" w:after="0"/>
              <w:jc w:val="center"/>
              <w:rPr>
                <w:b/>
                <w:color w:val="000000"/>
              </w:rPr>
            </w:pPr>
            <w:r>
              <w:rPr>
                <w:b/>
                <w:color w:val="000000"/>
              </w:rPr>
              <w:t>Date</w:t>
            </w:r>
          </w:p>
        </w:tc>
        <w:tc>
          <w:tcPr>
            <w:tcW w:w="60" w:type="dxa"/>
            <w:tcBorders/>
            <w:tcMar>
              <w:bottom w:w="0" w:type="dxa"/>
            </w:tcMar>
            <w:vAlign w:val="bottom"/>
          </w:tcPr>
          <w:p>
            <w:pPr>
              <w:pStyle w:val="TableContents"/>
              <w:bidi w:val="0"/>
              <w:spacing w:before="0" w:after="283"/>
              <w:jc w:val="left"/>
              <w:rPr/>
            </w:pPr>
            <w:r>
              <w:rPr/>
              <w:t> </w:t>
            </w:r>
          </w:p>
        </w:tc>
        <w:tc>
          <w:tcPr>
            <w:tcW w:w="1412" w:type="dxa"/>
            <w:gridSpan w:val="2"/>
            <w:tcBorders>
              <w:bottom w:val="single" w:sz="12" w:space="0" w:color="000000"/>
            </w:tcBorders>
            <w:vAlign w:val="bottom"/>
          </w:tcPr>
          <w:p>
            <w:pPr>
              <w:pStyle w:val="TableContents"/>
              <w:bidi w:val="0"/>
              <w:spacing w:before="0" w:after="0"/>
              <w:jc w:val="center"/>
              <w:rPr>
                <w:b/>
                <w:color w:val="000000"/>
              </w:rPr>
            </w:pPr>
            <w:r>
              <w:rPr>
                <w:b/>
                <w:color w:val="000000"/>
              </w:rPr>
              <w:t>Amount of</w:t>
            </w:r>
          </w:p>
          <w:p>
            <w:pPr>
              <w:pStyle w:val="TableContents"/>
              <w:bidi w:val="0"/>
              <w:spacing w:before="0" w:after="0"/>
              <w:jc w:val="center"/>
              <w:rPr>
                <w:b/>
                <w:color w:val="000000"/>
              </w:rPr>
            </w:pPr>
            <w:r>
              <w:rPr>
                <w:b/>
                <w:color w:val="000000"/>
              </w:rPr>
              <w:t>Trust Preferred</w:t>
            </w:r>
          </w:p>
          <w:p>
            <w:pPr>
              <w:pStyle w:val="TableContents"/>
              <w:bidi w:val="0"/>
              <w:spacing w:before="0" w:after="0"/>
              <w:jc w:val="center"/>
              <w:rPr>
                <w:b/>
                <w:color w:val="000000"/>
              </w:rPr>
            </w:pPr>
            <w:r>
              <w:rPr>
                <w:b/>
                <w:color w:val="000000"/>
              </w:rPr>
              <w:t>Securities</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90" w:type="dxa"/>
            <w:gridSpan w:val="2"/>
            <w:tcBorders>
              <w:bottom w:val="single" w:sz="12" w:space="0" w:color="000000"/>
            </w:tcBorders>
            <w:vAlign w:val="bottom"/>
          </w:tcPr>
          <w:p>
            <w:pPr>
              <w:pStyle w:val="TableContents"/>
              <w:bidi w:val="0"/>
              <w:spacing w:before="0" w:after="0"/>
              <w:jc w:val="center"/>
              <w:rPr>
                <w:b/>
                <w:color w:val="000000"/>
              </w:rPr>
            </w:pPr>
            <w:r>
              <w:rPr>
                <w:b/>
                <w:color w:val="000000"/>
              </w:rPr>
              <w:t>Amount of</w:t>
            </w:r>
          </w:p>
          <w:p>
            <w:pPr>
              <w:pStyle w:val="TableContents"/>
              <w:bidi w:val="0"/>
              <w:spacing w:before="0" w:after="0"/>
              <w:jc w:val="center"/>
              <w:rPr>
                <w:b/>
                <w:color w:val="000000"/>
              </w:rPr>
            </w:pPr>
            <w:r>
              <w:rPr>
                <w:b/>
                <w:color w:val="000000"/>
              </w:rPr>
              <w:t>Debentures</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61" w:type="dxa"/>
            <w:gridSpan w:val="2"/>
            <w:tcBorders>
              <w:bottom w:val="single" w:sz="12" w:space="0" w:color="000000"/>
            </w:tcBorders>
            <w:vAlign w:val="bottom"/>
          </w:tcPr>
          <w:p>
            <w:pPr>
              <w:pStyle w:val="TableContents"/>
              <w:bidi w:val="0"/>
              <w:spacing w:before="0" w:after="0"/>
              <w:jc w:val="center"/>
              <w:rPr>
                <w:b/>
                <w:color w:val="000000"/>
              </w:rPr>
            </w:pPr>
            <w:r>
              <w:rPr>
                <w:b/>
                <w:color w:val="000000"/>
              </w:rPr>
              <w:t>Stated</w:t>
            </w:r>
          </w:p>
          <w:p>
            <w:pPr>
              <w:pStyle w:val="TableContents"/>
              <w:bidi w:val="0"/>
              <w:spacing w:before="0" w:after="0"/>
              <w:jc w:val="center"/>
              <w:rPr>
                <w:b/>
                <w:color w:val="000000"/>
              </w:rPr>
            </w:pPr>
            <w:r>
              <w:rPr>
                <w:b/>
                <w:color w:val="000000"/>
              </w:rPr>
              <w:t>Maturity Date of</w:t>
            </w:r>
          </w:p>
          <w:p>
            <w:pPr>
              <w:pStyle w:val="TableContents"/>
              <w:bidi w:val="0"/>
              <w:spacing w:before="0" w:after="0"/>
              <w:jc w:val="center"/>
              <w:rPr>
                <w:b/>
                <w:color w:val="000000"/>
              </w:rPr>
            </w:pPr>
            <w:r>
              <w:rPr>
                <w:b/>
                <w:color w:val="000000"/>
              </w:rPr>
              <w:t>Trust Preferred</w:t>
            </w:r>
          </w:p>
          <w:p>
            <w:pPr>
              <w:pStyle w:val="TableContents"/>
              <w:bidi w:val="0"/>
              <w:spacing w:before="0" w:after="0"/>
              <w:jc w:val="center"/>
              <w:rPr>
                <w:b/>
                <w:color w:val="000000"/>
              </w:rPr>
            </w:pPr>
            <w:r>
              <w:rPr>
                <w:b/>
                <w:color w:val="000000"/>
              </w:rPr>
              <w:t>Securities and</w:t>
            </w:r>
          </w:p>
          <w:p>
            <w:pPr>
              <w:pStyle w:val="TableContents"/>
              <w:bidi w:val="0"/>
              <w:spacing w:lineRule="auto" w:line="240" w:before="0" w:after="0"/>
              <w:jc w:val="center"/>
              <w:rPr>
                <w:b/>
                <w:color w:val="000000"/>
              </w:rPr>
            </w:pPr>
            <w:r>
              <w:rPr>
                <w:b/>
                <w:color w:val="000000"/>
              </w:rPr>
              <w:t>Debentures(1)</w:t>
            </w:r>
          </w:p>
        </w:tc>
        <w:tc>
          <w:tcPr>
            <w:tcW w:w="60" w:type="dxa"/>
            <w:tcBorders/>
            <w:tcMar>
              <w:bottom w:w="0" w:type="dxa"/>
            </w:tcMar>
            <w:vAlign w:val="bottom"/>
          </w:tcPr>
          <w:p>
            <w:pPr>
              <w:pStyle w:val="TableContents"/>
              <w:bidi w:val="0"/>
              <w:spacing w:before="0" w:after="283"/>
              <w:jc w:val="left"/>
              <w:rPr/>
            </w:pPr>
            <w:r>
              <w:rPr/>
              <w:t> </w:t>
            </w:r>
          </w:p>
        </w:tc>
        <w:tc>
          <w:tcPr>
            <w:tcW w:w="2450" w:type="dxa"/>
            <w:tcBorders>
              <w:bottom w:val="single" w:sz="12" w:space="0" w:color="000000"/>
            </w:tcBorders>
            <w:vAlign w:val="bottom"/>
          </w:tcPr>
          <w:p>
            <w:pPr>
              <w:pStyle w:val="TableContents"/>
              <w:bidi w:val="0"/>
              <w:spacing w:before="0" w:after="0"/>
              <w:jc w:val="center"/>
              <w:rPr>
                <w:b/>
                <w:color w:val="000000"/>
              </w:rPr>
            </w:pPr>
            <w:r>
              <w:rPr>
                <w:b/>
                <w:color w:val="000000"/>
              </w:rPr>
              <w:t>Interest Rate of</w:t>
            </w:r>
          </w:p>
          <w:p>
            <w:pPr>
              <w:pStyle w:val="TableContents"/>
              <w:bidi w:val="0"/>
              <w:spacing w:before="0" w:after="0"/>
              <w:jc w:val="center"/>
              <w:rPr>
                <w:b/>
                <w:color w:val="000000"/>
              </w:rPr>
            </w:pPr>
            <w:r>
              <w:rPr>
                <w:b/>
                <w:color w:val="000000"/>
              </w:rPr>
              <w:t>Trust Preferred</w:t>
            </w:r>
          </w:p>
          <w:p>
            <w:pPr>
              <w:pStyle w:val="TableContents"/>
              <w:bidi w:val="0"/>
              <w:spacing w:before="0" w:after="0"/>
              <w:jc w:val="center"/>
              <w:rPr>
                <w:b/>
                <w:color w:val="000000"/>
              </w:rPr>
            </w:pPr>
            <w:r>
              <w:rPr>
                <w:b/>
                <w:color w:val="000000"/>
              </w:rPr>
              <w:t>Securities and</w:t>
            </w:r>
          </w:p>
          <w:p>
            <w:pPr>
              <w:pStyle w:val="TableContents"/>
              <w:bidi w:val="0"/>
              <w:spacing w:lineRule="auto" w:line="240" w:before="0" w:after="0"/>
              <w:jc w:val="center"/>
              <w:rPr>
                <w:b/>
                <w:color w:val="000000"/>
              </w:rPr>
            </w:pPr>
            <w:r>
              <w:rPr>
                <w:b/>
                <w:color w:val="000000"/>
              </w:rPr>
              <w:t>Debentures(2)(3)</w:t>
            </w:r>
          </w:p>
        </w:tc>
      </w:tr>
      <w:tr>
        <w:trPr/>
        <w:tc>
          <w:tcPr>
            <w:tcW w:w="2664" w:type="dxa"/>
            <w:tcBorders/>
            <w:tcMar>
              <w:bottom w:w="0" w:type="dxa"/>
            </w:tcMar>
            <w:vAlign w:val="bottom"/>
          </w:tcPr>
          <w:p>
            <w:pPr>
              <w:pStyle w:val="TableContents"/>
              <w:bidi w:val="0"/>
              <w:spacing w:before="0" w:after="283"/>
              <w:jc w:val="left"/>
              <w:rPr/>
            </w:pPr>
            <w:r>
              <w:rPr/>
              <w:t> </w:t>
            </w:r>
          </w:p>
        </w:tc>
        <w:tc>
          <w:tcPr>
            <w:tcW w:w="7541" w:type="dxa"/>
            <w:gridSpan w:val="14"/>
            <w:tcBorders/>
            <w:tcMar>
              <w:bottom w:w="0" w:type="dxa"/>
            </w:tcMar>
            <w:vAlign w:val="bottom"/>
          </w:tcPr>
          <w:p>
            <w:pPr>
              <w:pStyle w:val="TableContents"/>
              <w:bidi w:val="0"/>
              <w:spacing w:before="0" w:after="0"/>
              <w:jc w:val="center"/>
              <w:rPr>
                <w:b/>
                <w:color w:val="000000"/>
              </w:rPr>
            </w:pPr>
            <w:r>
              <w:rPr>
                <w:b/>
                <w:color w:val="000000"/>
              </w:rPr>
              <w:t>(Dollars in thousands)</w:t>
            </w:r>
          </w:p>
        </w:tc>
      </w:tr>
      <w:tr>
        <w:trPr/>
        <w:tc>
          <w:tcPr>
            <w:tcW w:w="2664"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South Plains Financial Capital Trust III</w:t>
            </w:r>
          </w:p>
        </w:tc>
        <w:tc>
          <w:tcPr>
            <w:tcW w:w="568" w:type="dxa"/>
            <w:tcBorders/>
            <w:shd w:fill="CCEEFF" w:val="clear"/>
            <w:tcMar>
              <w:bottom w:w="0" w:type="dxa"/>
            </w:tcMar>
            <w:vAlign w:val="bottom"/>
          </w:tcPr>
          <w:p>
            <w:pPr>
              <w:pStyle w:val="TableContents"/>
              <w:bidi w:val="0"/>
              <w:spacing w:before="0" w:after="0"/>
              <w:jc w:val="center"/>
              <w:rPr/>
            </w:pPr>
            <w:r>
              <w:rPr/>
              <w:t>2004</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0" w:type="dxa"/>
            <w:tcBorders/>
            <w:shd w:fill="CCEEFF" w:val="clear"/>
            <w:tcMar>
              <w:bottom w:w="0" w:type="dxa"/>
            </w:tcMar>
            <w:vAlign w:val="bottom"/>
          </w:tcPr>
          <w:p>
            <w:pPr>
              <w:pStyle w:val="TableContents"/>
              <w:bidi w:val="0"/>
              <w:spacing w:before="0" w:after="0"/>
              <w:jc w:val="left"/>
              <w:rPr/>
            </w:pPr>
            <w:r>
              <w:rPr/>
              <w:t>$</w:t>
            </w:r>
          </w:p>
        </w:tc>
        <w:tc>
          <w:tcPr>
            <w:tcW w:w="1172" w:type="dxa"/>
            <w:tcBorders/>
            <w:shd w:fill="CCEEFF" w:val="clear"/>
            <w:tcMar>
              <w:bottom w:w="0" w:type="dxa"/>
            </w:tcMar>
            <w:vAlign w:val="bottom"/>
          </w:tcPr>
          <w:p>
            <w:pPr>
              <w:pStyle w:val="TableContents"/>
              <w:bidi w:val="0"/>
              <w:spacing w:before="0" w:after="0"/>
              <w:jc w:val="right"/>
              <w:rPr/>
            </w:pPr>
            <w:r>
              <w:rPr/>
              <w:t>10,000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3" w:type="dxa"/>
            <w:tcBorders/>
            <w:shd w:fill="CCEEFF" w:val="clear"/>
            <w:tcMar>
              <w:bottom w:w="0" w:type="dxa"/>
            </w:tcMar>
            <w:vAlign w:val="bottom"/>
          </w:tcPr>
          <w:p>
            <w:pPr>
              <w:pStyle w:val="TableContents"/>
              <w:bidi w:val="0"/>
              <w:spacing w:before="0" w:after="0"/>
              <w:jc w:val="left"/>
              <w:rPr/>
            </w:pPr>
            <w:r>
              <w:rPr/>
              <w:t>$</w:t>
            </w:r>
          </w:p>
        </w:tc>
        <w:tc>
          <w:tcPr>
            <w:tcW w:w="987" w:type="dxa"/>
            <w:tcBorders/>
            <w:shd w:fill="CCEEFF" w:val="clear"/>
            <w:tcMar>
              <w:bottom w:w="0" w:type="dxa"/>
            </w:tcMar>
            <w:vAlign w:val="bottom"/>
          </w:tcPr>
          <w:p>
            <w:pPr>
              <w:pStyle w:val="TableContents"/>
              <w:bidi w:val="0"/>
              <w:spacing w:before="0" w:after="0"/>
              <w:jc w:val="right"/>
              <w:rPr/>
            </w:pPr>
            <w:r>
              <w:rPr/>
              <w:t>10,310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6" w:type="dxa"/>
            <w:tcBorders/>
            <w:shd w:fill="CCEEFF" w:val="clear"/>
            <w:tcMar>
              <w:bottom w:w="0" w:type="dxa"/>
            </w:tcMar>
            <w:vAlign w:val="bottom"/>
          </w:tcPr>
          <w:p>
            <w:pPr>
              <w:pStyle w:val="TableContents"/>
              <w:bidi w:val="0"/>
              <w:spacing w:before="0" w:after="283"/>
              <w:jc w:val="left"/>
              <w:rPr/>
            </w:pPr>
            <w:r>
              <w:rPr/>
              <w:t> </w:t>
            </w:r>
          </w:p>
        </w:tc>
        <w:tc>
          <w:tcPr>
            <w:tcW w:w="1395" w:type="dxa"/>
            <w:tcBorders/>
            <w:shd w:fill="CCEEFF" w:val="clear"/>
            <w:tcMar>
              <w:bottom w:w="0" w:type="dxa"/>
            </w:tcMar>
            <w:vAlign w:val="bottom"/>
          </w:tcPr>
          <w:p>
            <w:pPr>
              <w:pStyle w:val="TableContents"/>
              <w:bidi w:val="0"/>
              <w:spacing w:before="0" w:after="0"/>
              <w:jc w:val="right"/>
              <w:rPr/>
            </w:pPr>
            <w:r>
              <w:rPr/>
              <w:t>2034</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50" w:type="dxa"/>
            <w:tcBorders/>
            <w:shd w:fill="CCEEFF" w:val="clear"/>
            <w:tcMar>
              <w:bottom w:w="0" w:type="dxa"/>
            </w:tcMar>
            <w:vAlign w:val="bottom"/>
          </w:tcPr>
          <w:p>
            <w:pPr>
              <w:pStyle w:val="TableContents"/>
              <w:bidi w:val="0"/>
              <w:spacing w:before="0" w:after="0"/>
              <w:jc w:val="right"/>
              <w:rPr/>
            </w:pPr>
            <w:r>
              <w:rPr/>
              <w:t>3-mo. LIBOR + 265 bps; 7.47%</w:t>
            </w:r>
          </w:p>
        </w:tc>
      </w:tr>
      <w:tr>
        <w:trPr/>
        <w:tc>
          <w:tcPr>
            <w:tcW w:w="2664" w:type="dxa"/>
            <w:tcBorders/>
            <w:tcMar>
              <w:bottom w:w="0" w:type="dxa"/>
            </w:tcMar>
            <w:vAlign w:val="bottom"/>
          </w:tcPr>
          <w:p>
            <w:pPr>
              <w:pStyle w:val="TableContents"/>
              <w:bidi w:val="0"/>
              <w:spacing w:before="0" w:after="0"/>
              <w:ind w:left="144" w:right="0" w:hanging="144"/>
              <w:jc w:val="left"/>
              <w:rPr>
                <w:color w:val="000000"/>
              </w:rPr>
            </w:pPr>
            <w:r>
              <w:rPr>
                <w:color w:val="000000"/>
              </w:rPr>
              <w:t>South Plains Financial Capital Trust IV</w:t>
            </w:r>
          </w:p>
        </w:tc>
        <w:tc>
          <w:tcPr>
            <w:tcW w:w="568" w:type="dxa"/>
            <w:tcBorders/>
            <w:tcMar>
              <w:bottom w:w="0" w:type="dxa"/>
            </w:tcMar>
            <w:vAlign w:val="bottom"/>
          </w:tcPr>
          <w:p>
            <w:pPr>
              <w:pStyle w:val="TableContents"/>
              <w:bidi w:val="0"/>
              <w:spacing w:before="0" w:after="0"/>
              <w:jc w:val="center"/>
              <w:rPr/>
            </w:pPr>
            <w:r>
              <w:rPr/>
              <w:t>2005</w:t>
            </w:r>
          </w:p>
        </w:tc>
        <w:tc>
          <w:tcPr>
            <w:tcW w:w="60" w:type="dxa"/>
            <w:tcBorders/>
            <w:tcMar>
              <w:bottom w:w="0" w:type="dxa"/>
            </w:tcMar>
            <w:vAlign w:val="bottom"/>
          </w:tcPr>
          <w:p>
            <w:pPr>
              <w:pStyle w:val="TableContents"/>
              <w:bidi w:val="0"/>
              <w:spacing w:before="0" w:after="283"/>
              <w:jc w:val="left"/>
              <w:rPr/>
            </w:pPr>
            <w:r>
              <w:rPr/>
              <w:t> </w:t>
            </w:r>
          </w:p>
        </w:tc>
        <w:tc>
          <w:tcPr>
            <w:tcW w:w="240" w:type="dxa"/>
            <w:tcBorders/>
            <w:tcMar>
              <w:bottom w:w="0" w:type="dxa"/>
            </w:tcMar>
            <w:vAlign w:val="bottom"/>
          </w:tcPr>
          <w:p>
            <w:pPr>
              <w:pStyle w:val="TableContents"/>
              <w:bidi w:val="0"/>
              <w:spacing w:before="0" w:after="283"/>
              <w:jc w:val="left"/>
              <w:rPr/>
            </w:pPr>
            <w:r>
              <w:rPr/>
              <w:t> </w:t>
            </w:r>
          </w:p>
        </w:tc>
        <w:tc>
          <w:tcPr>
            <w:tcW w:w="1172" w:type="dxa"/>
            <w:tcBorders/>
            <w:tcMar>
              <w:bottom w:w="0" w:type="dxa"/>
            </w:tcMar>
            <w:vAlign w:val="bottom"/>
          </w:tcPr>
          <w:p>
            <w:pPr>
              <w:pStyle w:val="TableContents"/>
              <w:bidi w:val="0"/>
              <w:spacing w:before="0" w:after="0"/>
              <w:jc w:val="right"/>
              <w:rPr/>
            </w:pPr>
            <w:r>
              <w:rPr/>
              <w:t>20,000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3" w:type="dxa"/>
            <w:tcBorders/>
            <w:tcMar>
              <w:bottom w:w="0" w:type="dxa"/>
            </w:tcMar>
            <w:vAlign w:val="bottom"/>
          </w:tcPr>
          <w:p>
            <w:pPr>
              <w:pStyle w:val="TableContents"/>
              <w:bidi w:val="0"/>
              <w:spacing w:before="0" w:after="283"/>
              <w:jc w:val="left"/>
              <w:rPr/>
            </w:pPr>
            <w:r>
              <w:rPr/>
              <w:t> </w:t>
            </w:r>
          </w:p>
        </w:tc>
        <w:tc>
          <w:tcPr>
            <w:tcW w:w="987" w:type="dxa"/>
            <w:tcBorders/>
            <w:tcMar>
              <w:bottom w:w="0" w:type="dxa"/>
            </w:tcMar>
            <w:vAlign w:val="bottom"/>
          </w:tcPr>
          <w:p>
            <w:pPr>
              <w:pStyle w:val="TableContents"/>
              <w:bidi w:val="0"/>
              <w:spacing w:before="0" w:after="0"/>
              <w:jc w:val="right"/>
              <w:rPr/>
            </w:pPr>
            <w:r>
              <w:rPr/>
              <w:t>20,619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6" w:type="dxa"/>
            <w:tcBorders/>
            <w:tcMar>
              <w:bottom w:w="0" w:type="dxa"/>
            </w:tcMar>
            <w:vAlign w:val="bottom"/>
          </w:tcPr>
          <w:p>
            <w:pPr>
              <w:pStyle w:val="TableContents"/>
              <w:bidi w:val="0"/>
              <w:spacing w:before="0" w:after="283"/>
              <w:jc w:val="left"/>
              <w:rPr/>
            </w:pPr>
            <w:r>
              <w:rPr/>
              <w:t> </w:t>
            </w:r>
          </w:p>
        </w:tc>
        <w:tc>
          <w:tcPr>
            <w:tcW w:w="1395" w:type="dxa"/>
            <w:tcBorders/>
            <w:tcMar>
              <w:bottom w:w="0" w:type="dxa"/>
            </w:tcMar>
            <w:vAlign w:val="bottom"/>
          </w:tcPr>
          <w:p>
            <w:pPr>
              <w:pStyle w:val="TableContents"/>
              <w:bidi w:val="0"/>
              <w:spacing w:before="0" w:after="0"/>
              <w:jc w:val="right"/>
              <w:rPr/>
            </w:pPr>
            <w:r>
              <w:rPr/>
              <w:t>2035</w:t>
            </w:r>
          </w:p>
        </w:tc>
        <w:tc>
          <w:tcPr>
            <w:tcW w:w="60" w:type="dxa"/>
            <w:tcBorders/>
            <w:tcMar>
              <w:bottom w:w="0" w:type="dxa"/>
            </w:tcMar>
            <w:vAlign w:val="bottom"/>
          </w:tcPr>
          <w:p>
            <w:pPr>
              <w:pStyle w:val="TableContents"/>
              <w:bidi w:val="0"/>
              <w:spacing w:before="0" w:after="283"/>
              <w:jc w:val="left"/>
              <w:rPr/>
            </w:pPr>
            <w:r>
              <w:rPr/>
              <w:t> </w:t>
            </w:r>
          </w:p>
        </w:tc>
        <w:tc>
          <w:tcPr>
            <w:tcW w:w="2450" w:type="dxa"/>
            <w:tcBorders/>
            <w:tcMar>
              <w:bottom w:w="0" w:type="dxa"/>
            </w:tcMar>
            <w:vAlign w:val="bottom"/>
          </w:tcPr>
          <w:p>
            <w:pPr>
              <w:pStyle w:val="TableContents"/>
              <w:bidi w:val="0"/>
              <w:spacing w:before="0" w:after="0"/>
              <w:jc w:val="right"/>
              <w:rPr/>
            </w:pPr>
            <w:r>
              <w:rPr/>
              <w:t>3-mo. LIBOR + 139 bps; 6.26%</w:t>
            </w:r>
          </w:p>
        </w:tc>
      </w:tr>
      <w:tr>
        <w:trPr/>
        <w:tc>
          <w:tcPr>
            <w:tcW w:w="2664" w:type="dxa"/>
            <w:tcBorders/>
            <w:shd w:fill="CCEEFF" w:val="clear"/>
            <w:tcMar>
              <w:bottom w:w="0" w:type="dxa"/>
            </w:tcMar>
            <w:vAlign w:val="bottom"/>
          </w:tcPr>
          <w:p>
            <w:pPr>
              <w:pStyle w:val="TableContents"/>
              <w:bidi w:val="0"/>
              <w:spacing w:before="0" w:after="0"/>
              <w:ind w:left="144" w:right="0" w:hanging="144"/>
              <w:jc w:val="left"/>
              <w:rPr>
                <w:color w:val="000000"/>
              </w:rPr>
            </w:pPr>
            <w:r>
              <w:rPr>
                <w:color w:val="000000"/>
              </w:rPr>
              <w:t>South Plains Financial Capital Trust V</w:t>
            </w:r>
          </w:p>
        </w:tc>
        <w:tc>
          <w:tcPr>
            <w:tcW w:w="568" w:type="dxa"/>
            <w:tcBorders/>
            <w:shd w:fill="CCEEFF" w:val="clear"/>
            <w:tcMar>
              <w:bottom w:w="0" w:type="dxa"/>
            </w:tcMar>
            <w:vAlign w:val="bottom"/>
          </w:tcPr>
          <w:p>
            <w:pPr>
              <w:pStyle w:val="TableContents"/>
              <w:bidi w:val="0"/>
              <w:spacing w:before="0" w:after="0"/>
              <w:jc w:val="center"/>
              <w:rPr/>
            </w:pPr>
            <w:r>
              <w:rPr/>
              <w:t>2007</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0" w:type="dxa"/>
            <w:tcBorders>
              <w:bottom w:val="single" w:sz="12" w:space="0" w:color="000000"/>
            </w:tcBorders>
            <w:shd w:fill="CCEEFF" w:val="clear"/>
            <w:vAlign w:val="bottom"/>
          </w:tcPr>
          <w:p>
            <w:pPr>
              <w:pStyle w:val="TableContents"/>
              <w:bidi w:val="0"/>
              <w:spacing w:before="0" w:after="283"/>
              <w:jc w:val="left"/>
              <w:rPr/>
            </w:pPr>
            <w:r>
              <w:rPr/>
              <w:t> </w:t>
            </w:r>
          </w:p>
        </w:tc>
        <w:tc>
          <w:tcPr>
            <w:tcW w:w="1172" w:type="dxa"/>
            <w:tcBorders>
              <w:bottom w:val="single" w:sz="12" w:space="0" w:color="000000"/>
            </w:tcBorders>
            <w:shd w:fill="CCEEFF" w:val="clear"/>
            <w:vAlign w:val="bottom"/>
          </w:tcPr>
          <w:p>
            <w:pPr>
              <w:pStyle w:val="TableContents"/>
              <w:bidi w:val="0"/>
              <w:spacing w:before="0" w:after="0"/>
              <w:jc w:val="right"/>
              <w:rPr/>
            </w:pPr>
            <w:r>
              <w:rPr/>
              <w:t>15,000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3" w:type="dxa"/>
            <w:tcBorders>
              <w:bottom w:val="single" w:sz="12" w:space="0" w:color="000000"/>
            </w:tcBorders>
            <w:shd w:fill="CCEEFF" w:val="clear"/>
            <w:vAlign w:val="bottom"/>
          </w:tcPr>
          <w:p>
            <w:pPr>
              <w:pStyle w:val="TableContents"/>
              <w:bidi w:val="0"/>
              <w:spacing w:before="0" w:after="283"/>
              <w:jc w:val="left"/>
              <w:rPr/>
            </w:pPr>
            <w:r>
              <w:rPr/>
              <w:t> </w:t>
            </w:r>
          </w:p>
        </w:tc>
        <w:tc>
          <w:tcPr>
            <w:tcW w:w="987" w:type="dxa"/>
            <w:tcBorders>
              <w:bottom w:val="single" w:sz="12" w:space="0" w:color="000000"/>
            </w:tcBorders>
            <w:shd w:fill="CCEEFF" w:val="clear"/>
            <w:vAlign w:val="bottom"/>
          </w:tcPr>
          <w:p>
            <w:pPr>
              <w:pStyle w:val="TableContents"/>
              <w:bidi w:val="0"/>
              <w:spacing w:before="0" w:after="0"/>
              <w:jc w:val="right"/>
              <w:rPr/>
            </w:pPr>
            <w:r>
              <w:rPr/>
              <w:t>15,464</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6" w:type="dxa"/>
            <w:tcBorders/>
            <w:shd w:fill="CCEEFF" w:val="clear"/>
            <w:tcMar>
              <w:bottom w:w="0" w:type="dxa"/>
            </w:tcMar>
            <w:vAlign w:val="bottom"/>
          </w:tcPr>
          <w:p>
            <w:pPr>
              <w:pStyle w:val="TableContents"/>
              <w:bidi w:val="0"/>
              <w:spacing w:before="0" w:after="283"/>
              <w:jc w:val="left"/>
              <w:rPr/>
            </w:pPr>
            <w:r>
              <w:rPr/>
              <w:t> </w:t>
            </w:r>
          </w:p>
        </w:tc>
        <w:tc>
          <w:tcPr>
            <w:tcW w:w="1395" w:type="dxa"/>
            <w:tcBorders/>
            <w:shd w:fill="CCEEFF" w:val="clear"/>
            <w:tcMar>
              <w:bottom w:w="0" w:type="dxa"/>
            </w:tcMar>
            <w:vAlign w:val="bottom"/>
          </w:tcPr>
          <w:p>
            <w:pPr>
              <w:pStyle w:val="TableContents"/>
              <w:bidi w:val="0"/>
              <w:spacing w:before="0" w:after="0"/>
              <w:jc w:val="right"/>
              <w:rPr/>
            </w:pPr>
            <w:r>
              <w:rPr/>
              <w:t>2037</w:t>
            </w:r>
          </w:p>
        </w:tc>
        <w:tc>
          <w:tcPr>
            <w:tcW w:w="60" w:type="dxa"/>
            <w:tcBorders/>
            <w:shd w:fill="CCEEFF" w:val="clear"/>
            <w:tcMar>
              <w:bottom w:w="0" w:type="dxa"/>
            </w:tcMar>
            <w:vAlign w:val="bottom"/>
          </w:tcPr>
          <w:p>
            <w:pPr>
              <w:pStyle w:val="TableContents"/>
              <w:bidi w:val="0"/>
              <w:spacing w:before="0" w:after="283"/>
              <w:jc w:val="left"/>
              <w:rPr/>
            </w:pPr>
            <w:r>
              <w:rPr/>
              <w:t> </w:t>
            </w:r>
          </w:p>
        </w:tc>
        <w:tc>
          <w:tcPr>
            <w:tcW w:w="2450" w:type="dxa"/>
            <w:tcBorders/>
            <w:shd w:fill="CCEEFF" w:val="clear"/>
            <w:tcMar>
              <w:bottom w:w="0" w:type="dxa"/>
            </w:tcMar>
            <w:vAlign w:val="bottom"/>
          </w:tcPr>
          <w:p>
            <w:pPr>
              <w:pStyle w:val="TableContents"/>
              <w:bidi w:val="0"/>
              <w:spacing w:before="0" w:after="0"/>
              <w:jc w:val="right"/>
              <w:rPr/>
            </w:pPr>
            <w:r>
              <w:rPr/>
              <w:t>3-mo. LIBOR + 150 bps; 6.37%</w:t>
            </w:r>
          </w:p>
        </w:tc>
      </w:tr>
      <w:tr>
        <w:trPr/>
        <w:tc>
          <w:tcPr>
            <w:tcW w:w="2664" w:type="dxa"/>
            <w:tcBorders/>
            <w:tcMar>
              <w:bottom w:w="0" w:type="dxa"/>
            </w:tcMar>
            <w:vAlign w:val="bottom"/>
          </w:tcPr>
          <w:p>
            <w:pPr>
              <w:pStyle w:val="TableContents"/>
              <w:bidi w:val="0"/>
              <w:spacing w:before="0" w:after="0"/>
              <w:ind w:left="144" w:right="0" w:hanging="144"/>
              <w:jc w:val="left"/>
              <w:rPr>
                <w:color w:val="000000"/>
              </w:rPr>
            </w:pPr>
            <w:r>
              <w:rPr>
                <w:color w:val="000000"/>
              </w:rPr>
              <w:t>Total</w:t>
            </w:r>
          </w:p>
        </w:tc>
        <w:tc>
          <w:tcPr>
            <w:tcW w:w="568"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40" w:type="dxa"/>
            <w:tcBorders>
              <w:bottom w:val="double" w:sz="8" w:space="0" w:color="000000"/>
            </w:tcBorders>
            <w:vAlign w:val="bottom"/>
          </w:tcPr>
          <w:p>
            <w:pPr>
              <w:pStyle w:val="TableContents"/>
              <w:bidi w:val="0"/>
              <w:spacing w:before="0" w:after="0"/>
              <w:jc w:val="left"/>
              <w:rPr/>
            </w:pPr>
            <w:r>
              <w:rPr/>
              <w:t>$</w:t>
            </w:r>
          </w:p>
        </w:tc>
        <w:tc>
          <w:tcPr>
            <w:tcW w:w="1172" w:type="dxa"/>
            <w:tcBorders>
              <w:bottom w:val="double" w:sz="8" w:space="0" w:color="000000"/>
            </w:tcBorders>
            <w:vAlign w:val="bottom"/>
          </w:tcPr>
          <w:p>
            <w:pPr>
              <w:pStyle w:val="TableContents"/>
              <w:bidi w:val="0"/>
              <w:spacing w:before="0" w:after="0"/>
              <w:jc w:val="right"/>
              <w:rPr/>
            </w:pPr>
            <w:r>
              <w:rPr/>
              <w:t>45,000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3" w:type="dxa"/>
            <w:tcBorders>
              <w:bottom w:val="double" w:sz="8" w:space="0" w:color="000000"/>
            </w:tcBorders>
            <w:vAlign w:val="bottom"/>
          </w:tcPr>
          <w:p>
            <w:pPr>
              <w:pStyle w:val="TableContents"/>
              <w:bidi w:val="0"/>
              <w:spacing w:before="0" w:after="0"/>
              <w:jc w:val="left"/>
              <w:rPr/>
            </w:pPr>
            <w:r>
              <w:rPr/>
              <w:t>$</w:t>
            </w:r>
          </w:p>
        </w:tc>
        <w:tc>
          <w:tcPr>
            <w:tcW w:w="987" w:type="dxa"/>
            <w:tcBorders>
              <w:bottom w:val="double" w:sz="8" w:space="0" w:color="000000"/>
            </w:tcBorders>
            <w:vAlign w:val="bottom"/>
          </w:tcPr>
          <w:p>
            <w:pPr>
              <w:pStyle w:val="TableContents"/>
              <w:bidi w:val="0"/>
              <w:spacing w:before="0" w:after="0"/>
              <w:jc w:val="right"/>
              <w:rPr/>
            </w:pPr>
            <w:r>
              <w:rPr/>
              <w:t>46,393</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6" w:type="dxa"/>
            <w:tcBorders/>
            <w:tcMar>
              <w:bottom w:w="0" w:type="dxa"/>
            </w:tcMar>
            <w:vAlign w:val="bottom"/>
          </w:tcPr>
          <w:p>
            <w:pPr>
              <w:pStyle w:val="TableContents"/>
              <w:bidi w:val="0"/>
              <w:spacing w:before="0" w:after="283"/>
              <w:jc w:val="left"/>
              <w:rPr/>
            </w:pPr>
            <w:r>
              <w:rPr/>
              <w:t> </w:t>
            </w:r>
          </w:p>
        </w:tc>
        <w:tc>
          <w:tcPr>
            <w:tcW w:w="1395" w:type="dxa"/>
            <w:tcBorders/>
            <w:tcMar>
              <w:bottom w:w="0" w:type="dxa"/>
            </w:tcMar>
            <w:vAlign w:val="bottom"/>
          </w:tcPr>
          <w:p>
            <w:pPr>
              <w:pStyle w:val="TableContents"/>
              <w:bidi w:val="0"/>
              <w:spacing w:before="0" w:after="283"/>
              <w:jc w:val="right"/>
              <w:rPr/>
            </w:pPr>
            <w:r>
              <w:rPr/>
              <w:t> </w:t>
            </w:r>
          </w:p>
        </w:tc>
        <w:tc>
          <w:tcPr>
            <w:tcW w:w="60" w:type="dxa"/>
            <w:tcBorders/>
            <w:tcMar>
              <w:bottom w:w="0" w:type="dxa"/>
            </w:tcMar>
            <w:vAlign w:val="bottom"/>
          </w:tcPr>
          <w:p>
            <w:pPr>
              <w:pStyle w:val="TableContents"/>
              <w:bidi w:val="0"/>
              <w:spacing w:before="0" w:after="283"/>
              <w:jc w:val="left"/>
              <w:rPr/>
            </w:pPr>
            <w:r>
              <w:rPr/>
              <w:t> </w:t>
            </w:r>
          </w:p>
        </w:tc>
        <w:tc>
          <w:tcPr>
            <w:tcW w:w="245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4480" w:type="dxa"/>
        <w:jc w:val="left"/>
        <w:tblInd w:w="0" w:type="dxa"/>
        <w:tblLayout w:type="fixed"/>
        <w:tblCellMar>
          <w:top w:w="0" w:type="dxa"/>
          <w:left w:w="0" w:type="dxa"/>
          <w:bottom w:w="0" w:type="dxa"/>
          <w:right w:w="0" w:type="dxa"/>
        </w:tblCellMar>
      </w:tblPr>
      <w:tblGrid>
        <w:gridCol w:w="305"/>
        <w:gridCol w:w="4175"/>
      </w:tblGrid>
      <w:tr>
        <w:trPr/>
        <w:tc>
          <w:tcPr>
            <w:tcW w:w="305" w:type="dxa"/>
            <w:tcBorders/>
            <w:vAlign w:val="center"/>
          </w:tcPr>
          <w:p>
            <w:pPr>
              <w:pStyle w:val="TableContents"/>
              <w:bidi w:val="0"/>
              <w:spacing w:before="0" w:after="283"/>
              <w:jc w:val="left"/>
              <w:rPr>
                <w:color w:val="000000"/>
              </w:rPr>
            </w:pPr>
            <w:r>
              <w:rPr>
                <w:color w:val="000000"/>
              </w:rPr>
              <w:t>(1)</w:t>
            </w:r>
          </w:p>
        </w:tc>
        <w:tc>
          <w:tcPr>
            <w:tcW w:w="4175" w:type="dxa"/>
            <w:tcBorders/>
            <w:vAlign w:val="center"/>
          </w:tcPr>
          <w:p>
            <w:pPr>
              <w:pStyle w:val="TableContents"/>
              <w:bidi w:val="0"/>
              <w:spacing w:before="0" w:after="0"/>
              <w:jc w:val="left"/>
              <w:rPr>
                <w:color w:val="000000"/>
              </w:rPr>
            </w:pPr>
            <w:r>
              <w:rPr>
                <w:color w:val="000000"/>
              </w:rPr>
              <w:t>May be redeemed at the Company’s option.</w:t>
            </w:r>
          </w:p>
        </w:tc>
      </w:tr>
    </w:tbl>
    <w:tbl>
      <w:tblPr>
        <w:tblW w:w="5620" w:type="dxa"/>
        <w:jc w:val="left"/>
        <w:tblInd w:w="0" w:type="dxa"/>
        <w:tblLayout w:type="fixed"/>
        <w:tblCellMar>
          <w:top w:w="0" w:type="dxa"/>
          <w:left w:w="0" w:type="dxa"/>
          <w:bottom w:w="0" w:type="dxa"/>
          <w:right w:w="0" w:type="dxa"/>
        </w:tblCellMar>
      </w:tblPr>
      <w:tblGrid>
        <w:gridCol w:w="305"/>
        <w:gridCol w:w="5315"/>
      </w:tblGrid>
      <w:tr>
        <w:trPr/>
        <w:tc>
          <w:tcPr>
            <w:tcW w:w="305" w:type="dxa"/>
            <w:tcBorders/>
            <w:vAlign w:val="center"/>
          </w:tcPr>
          <w:p>
            <w:pPr>
              <w:pStyle w:val="TableContents"/>
              <w:bidi w:val="0"/>
              <w:spacing w:before="0" w:after="283"/>
              <w:jc w:val="left"/>
              <w:rPr>
                <w:color w:val="000000"/>
              </w:rPr>
            </w:pPr>
            <w:r>
              <w:rPr>
                <w:color w:val="000000"/>
              </w:rPr>
              <w:t>(2)</w:t>
            </w:r>
          </w:p>
        </w:tc>
        <w:tc>
          <w:tcPr>
            <w:tcW w:w="5315" w:type="dxa"/>
            <w:tcBorders/>
            <w:vAlign w:val="center"/>
          </w:tcPr>
          <w:p>
            <w:pPr>
              <w:pStyle w:val="TableContents"/>
              <w:bidi w:val="0"/>
              <w:spacing w:before="0" w:after="0"/>
              <w:jc w:val="left"/>
              <w:rPr>
                <w:color w:val="000000"/>
              </w:rPr>
            </w:pPr>
            <w:r>
              <w:rPr>
                <w:color w:val="000000"/>
              </w:rPr>
              <w:t>Interest payable quarterly with principal due at maturity.</w:t>
            </w:r>
          </w:p>
        </w:tc>
      </w:tr>
    </w:tbl>
    <w:tbl>
      <w:tblPr>
        <w:tblW w:w="4870" w:type="dxa"/>
        <w:jc w:val="left"/>
        <w:tblInd w:w="0" w:type="dxa"/>
        <w:tblLayout w:type="fixed"/>
        <w:tblCellMar>
          <w:top w:w="0" w:type="dxa"/>
          <w:left w:w="0" w:type="dxa"/>
          <w:bottom w:w="0" w:type="dxa"/>
          <w:right w:w="0" w:type="dxa"/>
        </w:tblCellMar>
      </w:tblPr>
      <w:tblGrid>
        <w:gridCol w:w="305"/>
        <w:gridCol w:w="4565"/>
      </w:tblGrid>
      <w:tr>
        <w:trPr/>
        <w:tc>
          <w:tcPr>
            <w:tcW w:w="305" w:type="dxa"/>
            <w:tcBorders/>
            <w:vAlign w:val="center"/>
          </w:tcPr>
          <w:p>
            <w:pPr>
              <w:pStyle w:val="TableContents"/>
              <w:bidi w:val="0"/>
              <w:spacing w:before="0" w:after="283"/>
              <w:jc w:val="left"/>
              <w:rPr>
                <w:color w:val="000000"/>
              </w:rPr>
            </w:pPr>
            <w:r>
              <w:rPr>
                <w:color w:val="000000"/>
              </w:rPr>
              <w:t>(3)</w:t>
            </w:r>
          </w:p>
        </w:tc>
        <w:tc>
          <w:tcPr>
            <w:tcW w:w="4565" w:type="dxa"/>
            <w:tcBorders/>
            <w:vAlign w:val="center"/>
          </w:tcPr>
          <w:p>
            <w:pPr>
              <w:pStyle w:val="TableContents"/>
              <w:bidi w:val="0"/>
              <w:spacing w:before="0" w:after="0"/>
              <w:jc w:val="left"/>
              <w:rPr>
                <w:color w:val="000000"/>
              </w:rPr>
            </w:pPr>
            <w:r>
              <w:rPr>
                <w:color w:val="000000"/>
              </w:rPr>
              <w:t>Rate as of last reset date, prior to June 30, 2023.</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 At June 30, 2023, the Bank had the capacity to borrow additional funds from the FHLB and Federal Reserve discount window of up to approximately $1.01 billion and $611.7 million,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Management believes that the Company has adequate liquidity to meet its obligations. However, if general economic conditions, potential recession in the United States and our market areas, the impacts related to or resulting from recent bank failures and any continuation of the recent uncertainty in the banking industry, including the associated impact to the Company and other financial institutions of any regulatory changes or other mitigation efforts taken by government agencies in response thereto, increased competition for deposits and related changes in deposit customer behavior, changes in market interest rates, the persistence of the current inflationary environment in the United States and our market areas, or other events, cause these sources of external funding to become restricted or are eliminated, the Company may not be able to raise adequate funds or may incur substantially higher funding costs or operating restrictions in order to raise the necessary funds to support the Company’s operations and growth.</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Capital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Total stockholders’ equity increased to $392.0 million as of June 30, 2023, compared to $357.0 million as of December 31, 2022, an increase of $35.0 million, or 9.8%. The increase from December 31, 2022 was primarily the result of $38.9 million in net earnings for the six months ended June 30, 2023 and an increase in accumulated other comprehensive income (“AOCI”) of $3.3 million, net of tax, partially offset by repurchases of common stock of $2.5 million and $4.4 million of dividends paid. The increase in AOCI was attributed to the increase in fair value of our available for sale securities and fair value hedges, net of tax, as a result of some moderation in the rising interest rate environment during the period.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 June 30, 2023 and December 31, 2022, the Company met the definition of “well-capitalized” under the applicable regulations of the Board of Governors of the Federal Reserve System and the Bank was “well capitalized” under the FDIC’s regulatory framework for prompt corrective action and the Basel III capital guidelines. Management believes that no conditions or events have occurred since June 30, 2023 that would materially adversely change such capital classifications. From time to time, we may need to raise additional capital to support our and the Bank’s further growth and to maintain our “well capitalized” status.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presents our and the Bank’s regulatory capital ratios as of the dates indicated.</w:t>
      </w:r>
    </w:p>
    <w:p>
      <w:pPr>
        <w:pStyle w:val="TextBody"/>
        <w:bidi w:val="0"/>
        <w:spacing w:before="0" w:after="0"/>
        <w:jc w:val="left"/>
        <w:rPr/>
      </w:pPr>
      <w:r>
        <w:rPr/>
      </w:r>
    </w:p>
    <w:tbl>
      <w:tblPr>
        <w:tblW w:w="7860" w:type="dxa"/>
        <w:jc w:val="left"/>
        <w:tblInd w:w="0" w:type="dxa"/>
        <w:tblLayout w:type="fixed"/>
        <w:tblCellMar>
          <w:top w:w="0" w:type="dxa"/>
          <w:left w:w="0" w:type="dxa"/>
          <w:bottom w:w="0" w:type="dxa"/>
          <w:right w:w="0" w:type="dxa"/>
        </w:tblCellMar>
      </w:tblPr>
      <w:tblGrid>
        <w:gridCol w:w="3680"/>
        <w:gridCol w:w="60"/>
        <w:gridCol w:w="140"/>
        <w:gridCol w:w="800"/>
        <w:gridCol w:w="60"/>
        <w:gridCol w:w="60"/>
        <w:gridCol w:w="60"/>
        <w:gridCol w:w="560"/>
        <w:gridCol w:w="215"/>
        <w:gridCol w:w="60"/>
        <w:gridCol w:w="162"/>
        <w:gridCol w:w="930"/>
        <w:gridCol w:w="69"/>
        <w:gridCol w:w="69"/>
        <w:gridCol w:w="69"/>
        <w:gridCol w:w="651"/>
        <w:gridCol w:w="215"/>
      </w:tblGrid>
      <w:tr>
        <w:trPr/>
        <w:tc>
          <w:tcPr>
            <w:tcW w:w="3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8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 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2022</w:t>
            </w:r>
          </w:p>
        </w:tc>
        <w:tc>
          <w:tcPr>
            <w:tcW w:w="215" w:type="dxa"/>
            <w:tcBorders/>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Amount</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Ratio</w:t>
            </w:r>
          </w:p>
        </w:tc>
        <w:tc>
          <w:tcPr>
            <w:tcW w:w="215" w:type="dxa"/>
            <w:tcBorders/>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05" w:type="dxa"/>
            <w:gridSpan w:val="14"/>
            <w:tcBorders/>
            <w:vAlign w:val="bottom"/>
          </w:tcPr>
          <w:p>
            <w:pPr>
              <w:pStyle w:val="TableContents"/>
              <w:bidi w:val="0"/>
              <w:spacing w:before="0" w:after="0"/>
              <w:jc w:val="center"/>
              <w:rPr>
                <w:b/>
                <w:color w:val="000000"/>
              </w:rPr>
            </w:pPr>
            <w:r>
              <w:rPr>
                <w:b/>
                <w:color w:val="000000"/>
              </w:rPr>
              <w:t>(Dollars in thousands)</w:t>
            </w:r>
          </w:p>
        </w:tc>
        <w:tc>
          <w:tcPr>
            <w:tcW w:w="215" w:type="dxa"/>
            <w:tcBorders/>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0"/>
              <w:ind w:left="144" w:right="0" w:hanging="144"/>
              <w:jc w:val="left"/>
              <w:rPr>
                <w:color w:val="000000"/>
              </w:rPr>
            </w:pPr>
            <w:r>
              <w:rPr>
                <w:b/>
                <w:color w:val="000000"/>
                <w:u w:val="single"/>
              </w:rPr>
              <w:t>South Plains Financial, Inc.</w:t>
            </w:r>
            <w:r>
              <w:rPr>
                <w:color w:val="000000"/>
              </w:rPr>
              <w:t>:</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2"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20" w:type="dxa"/>
            <w:gridSpan w:val="2"/>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r>
      <w:tr>
        <w:trPr/>
        <w:tc>
          <w:tcPr>
            <w:tcW w:w="3680" w:type="dxa"/>
            <w:tcBorders/>
            <w:shd w:fill="CCEEFF" w:val="clear"/>
            <w:vAlign w:val="bottom"/>
          </w:tcPr>
          <w:p>
            <w:pPr>
              <w:pStyle w:val="TableContents"/>
              <w:bidi w:val="0"/>
              <w:spacing w:before="0" w:after="0"/>
              <w:ind w:left="144" w:right="0" w:hanging="144"/>
              <w:jc w:val="left"/>
              <w:rPr>
                <w:color w:val="000000"/>
              </w:rPr>
            </w:pPr>
            <w:r>
              <w:rPr>
                <w:color w:val="000000"/>
              </w:rPr>
              <w:t>Total capital (to risk-weighted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597,335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pPr>
            <w:r>
              <w:rPr/>
              <w:t>16.75</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0"/>
              <w:jc w:val="left"/>
              <w:rPr/>
            </w:pPr>
            <w:r>
              <w:rPr/>
              <w:t>$</w:t>
            </w:r>
          </w:p>
        </w:tc>
        <w:tc>
          <w:tcPr>
            <w:tcW w:w="930" w:type="dxa"/>
            <w:tcBorders/>
            <w:shd w:fill="CCEEFF" w:val="clear"/>
            <w:vAlign w:val="bottom"/>
          </w:tcPr>
          <w:p>
            <w:pPr>
              <w:pStyle w:val="TableContents"/>
              <w:bidi w:val="0"/>
              <w:spacing w:before="0" w:after="0"/>
              <w:jc w:val="right"/>
              <w:rPr/>
            </w:pPr>
            <w:r>
              <w:rPr/>
              <w:t>559,094</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0"/>
              <w:jc w:val="right"/>
              <w:rPr/>
            </w:pPr>
            <w:r>
              <w:rPr/>
              <w:t>16.58</w:t>
            </w:r>
          </w:p>
        </w:tc>
        <w:tc>
          <w:tcPr>
            <w:tcW w:w="215" w:type="dxa"/>
            <w:tcBorders/>
            <w:shd w:fill="CCEEFF" w:val="clear"/>
            <w:vAlign w:val="bottom"/>
          </w:tcPr>
          <w:p>
            <w:pPr>
              <w:pStyle w:val="TableContents"/>
              <w:bidi w:val="0"/>
              <w:spacing w:before="0" w:after="0"/>
              <w:jc w:val="left"/>
              <w:rPr/>
            </w:pPr>
            <w:r>
              <w:rPr/>
              <w:t>%</w:t>
            </w:r>
          </w:p>
        </w:tc>
      </w:tr>
      <w:tr>
        <w:trPr/>
        <w:tc>
          <w:tcPr>
            <w:tcW w:w="3680" w:type="dxa"/>
            <w:tcBorders/>
            <w:vAlign w:val="bottom"/>
          </w:tcPr>
          <w:p>
            <w:pPr>
              <w:pStyle w:val="TableContents"/>
              <w:bidi w:val="0"/>
              <w:spacing w:before="0" w:after="0"/>
              <w:ind w:left="144" w:right="0" w:hanging="144"/>
              <w:jc w:val="left"/>
              <w:rPr>
                <w:color w:val="000000"/>
              </w:rPr>
            </w:pPr>
            <w:r>
              <w:rPr>
                <w:color w:val="000000"/>
              </w:rPr>
              <w:t>Tier 1 capital (to risk-weighted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476,708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pPr>
            <w:r>
              <w:rPr/>
              <w:t>13.37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0"/>
              <w:jc w:val="right"/>
              <w:rPr/>
            </w:pPr>
            <w:r>
              <w:rPr/>
              <w:t>443,265</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0"/>
              <w:jc w:val="right"/>
              <w:rPr/>
            </w:pPr>
            <w:r>
              <w:rPr/>
              <w:t>13.15</w:t>
            </w:r>
          </w:p>
        </w:tc>
        <w:tc>
          <w:tcPr>
            <w:tcW w:w="215" w:type="dxa"/>
            <w:tcBorders/>
            <w:vAlign w:val="bottom"/>
          </w:tcPr>
          <w:p>
            <w:pPr>
              <w:pStyle w:val="TableContents"/>
              <w:bidi w:val="0"/>
              <w:spacing w:before="0" w:after="283"/>
              <w:jc w:val="left"/>
              <w:rPr/>
            </w:pPr>
            <w:r>
              <w:rPr/>
              <w:t> </w:t>
            </w:r>
          </w:p>
        </w:tc>
      </w:tr>
      <w:tr>
        <w:trPr/>
        <w:tc>
          <w:tcPr>
            <w:tcW w:w="3680" w:type="dxa"/>
            <w:tcBorders/>
            <w:shd w:fill="CCEEFF" w:val="clear"/>
            <w:vAlign w:val="bottom"/>
          </w:tcPr>
          <w:p>
            <w:pPr>
              <w:pStyle w:val="TableContents"/>
              <w:bidi w:val="0"/>
              <w:spacing w:before="0" w:after="0"/>
              <w:ind w:left="144" w:right="0" w:hanging="144"/>
              <w:jc w:val="left"/>
              <w:rPr>
                <w:color w:val="000000"/>
              </w:rPr>
            </w:pPr>
            <w:r>
              <w:rPr>
                <w:color w:val="000000"/>
              </w:rPr>
              <w:t>CET 1 capital (to risk-weighted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431,708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pPr>
            <w:r>
              <w:rPr/>
              <w:t>12.11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0"/>
              <w:jc w:val="right"/>
              <w:rPr/>
            </w:pPr>
            <w:r>
              <w:rPr/>
              <w:t>398,265</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0"/>
              <w:jc w:val="right"/>
              <w:rPr/>
            </w:pPr>
            <w:r>
              <w:rPr/>
              <w:t>11.81</w:t>
            </w:r>
          </w:p>
        </w:tc>
        <w:tc>
          <w:tcPr>
            <w:tcW w:w="215" w:type="dxa"/>
            <w:tcBorders/>
            <w:shd w:fill="CCEEFF" w:val="clear"/>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0"/>
              <w:ind w:left="144" w:right="0" w:hanging="144"/>
              <w:jc w:val="left"/>
              <w:rPr>
                <w:color w:val="000000"/>
              </w:rPr>
            </w:pPr>
            <w:r>
              <w:rPr>
                <w:color w:val="000000"/>
              </w:rPr>
              <w:t>Tier 1 capital (to average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476,706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pPr>
            <w:r>
              <w:rPr/>
              <w:t>11.67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0"/>
              <w:jc w:val="right"/>
              <w:rPr/>
            </w:pPr>
            <w:r>
              <w:rPr/>
              <w:t>443,265</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0"/>
              <w:jc w:val="right"/>
              <w:rPr/>
            </w:pPr>
            <w:r>
              <w:rPr/>
              <w:t>11.03</w:t>
            </w:r>
          </w:p>
        </w:tc>
        <w:tc>
          <w:tcPr>
            <w:tcW w:w="215" w:type="dxa"/>
            <w:tcBorders/>
            <w:vAlign w:val="bottom"/>
          </w:tcPr>
          <w:p>
            <w:pPr>
              <w:pStyle w:val="TableContents"/>
              <w:bidi w:val="0"/>
              <w:spacing w:before="0" w:after="283"/>
              <w:jc w:val="left"/>
              <w:rPr/>
            </w:pPr>
            <w:r>
              <w:rPr/>
              <w:t> </w:t>
            </w:r>
          </w:p>
        </w:tc>
      </w:tr>
      <w:tr>
        <w:trPr/>
        <w:tc>
          <w:tcPr>
            <w:tcW w:w="36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0"/>
              <w:ind w:left="144" w:right="0" w:hanging="144"/>
              <w:jc w:val="left"/>
              <w:rPr>
                <w:b/>
                <w:color w:val="000000"/>
                <w:u w:val="single"/>
              </w:rPr>
            </w:pPr>
            <w:r>
              <w:rPr>
                <w:b/>
                <w:color w:val="000000"/>
                <w:u w:val="single"/>
              </w:rPr>
              <w:t>City Bank:</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3680" w:type="dxa"/>
            <w:tcBorders/>
            <w:shd w:fill="CCEEFF" w:val="clear"/>
            <w:vAlign w:val="bottom"/>
          </w:tcPr>
          <w:p>
            <w:pPr>
              <w:pStyle w:val="TableContents"/>
              <w:bidi w:val="0"/>
              <w:spacing w:before="0" w:after="0"/>
              <w:ind w:left="144" w:right="0" w:hanging="144"/>
              <w:jc w:val="left"/>
              <w:rPr>
                <w:color w:val="000000"/>
              </w:rPr>
            </w:pPr>
            <w:r>
              <w:rPr>
                <w:color w:val="000000"/>
              </w:rPr>
              <w:t>Total capital (to risk-weighted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492,582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pPr>
            <w:r>
              <w:rPr/>
              <w:t>13.73</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0"/>
              <w:jc w:val="left"/>
              <w:rPr/>
            </w:pPr>
            <w:r>
              <w:rPr/>
              <w:t>$</w:t>
            </w:r>
          </w:p>
        </w:tc>
        <w:tc>
          <w:tcPr>
            <w:tcW w:w="930" w:type="dxa"/>
            <w:tcBorders/>
            <w:shd w:fill="CCEEFF" w:val="clear"/>
            <w:vAlign w:val="bottom"/>
          </w:tcPr>
          <w:p>
            <w:pPr>
              <w:pStyle w:val="TableContents"/>
              <w:bidi w:val="0"/>
              <w:spacing w:before="0" w:after="0"/>
              <w:jc w:val="right"/>
              <w:rPr/>
            </w:pPr>
            <w:r>
              <w:rPr/>
              <w:t>454,427</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0"/>
              <w:jc w:val="right"/>
              <w:rPr/>
            </w:pPr>
            <w:r>
              <w:rPr/>
              <w:t>13.48</w:t>
            </w:r>
          </w:p>
        </w:tc>
        <w:tc>
          <w:tcPr>
            <w:tcW w:w="215" w:type="dxa"/>
            <w:tcBorders/>
            <w:shd w:fill="CCEEFF" w:val="clear"/>
            <w:vAlign w:val="bottom"/>
          </w:tcPr>
          <w:p>
            <w:pPr>
              <w:pStyle w:val="TableContents"/>
              <w:bidi w:val="0"/>
              <w:spacing w:before="0" w:after="0"/>
              <w:jc w:val="left"/>
              <w:rPr/>
            </w:pPr>
            <w:r>
              <w:rPr/>
              <w:t>%</w:t>
            </w:r>
          </w:p>
        </w:tc>
      </w:tr>
      <w:tr>
        <w:trPr/>
        <w:tc>
          <w:tcPr>
            <w:tcW w:w="3680" w:type="dxa"/>
            <w:tcBorders/>
            <w:vAlign w:val="bottom"/>
          </w:tcPr>
          <w:p>
            <w:pPr>
              <w:pStyle w:val="TableContents"/>
              <w:bidi w:val="0"/>
              <w:spacing w:before="0" w:after="0"/>
              <w:ind w:left="144" w:right="0" w:hanging="144"/>
              <w:jc w:val="left"/>
              <w:rPr>
                <w:color w:val="000000"/>
              </w:rPr>
            </w:pPr>
            <w:r>
              <w:rPr>
                <w:color w:val="000000"/>
              </w:rPr>
              <w:t>Tier 1 capital (to risk-weighted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447,754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pPr>
            <w:r>
              <w:rPr/>
              <w:t>12.48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0"/>
              <w:jc w:val="right"/>
              <w:rPr/>
            </w:pPr>
            <w:r>
              <w:rPr/>
              <w:t>414,559</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0"/>
              <w:jc w:val="right"/>
              <w:rPr/>
            </w:pPr>
            <w:r>
              <w:rPr/>
              <w:t>12.30</w:t>
            </w:r>
          </w:p>
        </w:tc>
        <w:tc>
          <w:tcPr>
            <w:tcW w:w="215" w:type="dxa"/>
            <w:tcBorders/>
            <w:vAlign w:val="bottom"/>
          </w:tcPr>
          <w:p>
            <w:pPr>
              <w:pStyle w:val="TableContents"/>
              <w:bidi w:val="0"/>
              <w:spacing w:before="0" w:after="283"/>
              <w:jc w:val="left"/>
              <w:rPr/>
            </w:pPr>
            <w:r>
              <w:rPr/>
              <w:t> </w:t>
            </w:r>
          </w:p>
        </w:tc>
      </w:tr>
      <w:tr>
        <w:trPr/>
        <w:tc>
          <w:tcPr>
            <w:tcW w:w="3680" w:type="dxa"/>
            <w:tcBorders/>
            <w:shd w:fill="CCEEFF" w:val="clear"/>
            <w:vAlign w:val="bottom"/>
          </w:tcPr>
          <w:p>
            <w:pPr>
              <w:pStyle w:val="TableContents"/>
              <w:bidi w:val="0"/>
              <w:spacing w:before="0" w:after="0"/>
              <w:ind w:left="144" w:right="0" w:hanging="144"/>
              <w:jc w:val="left"/>
              <w:rPr>
                <w:color w:val="000000"/>
              </w:rPr>
            </w:pPr>
            <w:r>
              <w:rPr>
                <w:color w:val="000000"/>
              </w:rPr>
              <w:t>CET 1 capital (to risk-weighted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447,754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pPr>
            <w:r>
              <w:rPr/>
              <w:t>12.48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0"/>
              <w:jc w:val="right"/>
              <w:rPr/>
            </w:pPr>
            <w:r>
              <w:rPr/>
              <w:t>414,559</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0"/>
              <w:jc w:val="right"/>
              <w:rPr/>
            </w:pPr>
            <w:r>
              <w:rPr/>
              <w:t>12.30</w:t>
            </w:r>
          </w:p>
        </w:tc>
        <w:tc>
          <w:tcPr>
            <w:tcW w:w="215" w:type="dxa"/>
            <w:tcBorders/>
            <w:shd w:fill="CCEEFF" w:val="clear"/>
            <w:vAlign w:val="bottom"/>
          </w:tcPr>
          <w:p>
            <w:pPr>
              <w:pStyle w:val="TableContents"/>
              <w:bidi w:val="0"/>
              <w:spacing w:before="0" w:after="283"/>
              <w:jc w:val="left"/>
              <w:rPr/>
            </w:pPr>
            <w:r>
              <w:rPr/>
              <w:t> </w:t>
            </w:r>
          </w:p>
        </w:tc>
      </w:tr>
      <w:tr>
        <w:trPr/>
        <w:tc>
          <w:tcPr>
            <w:tcW w:w="3680" w:type="dxa"/>
            <w:tcBorders/>
            <w:vAlign w:val="bottom"/>
          </w:tcPr>
          <w:p>
            <w:pPr>
              <w:pStyle w:val="TableContents"/>
              <w:bidi w:val="0"/>
              <w:spacing w:before="0" w:after="0"/>
              <w:ind w:left="144" w:right="0" w:hanging="144"/>
              <w:jc w:val="left"/>
              <w:rPr>
                <w:color w:val="000000"/>
              </w:rPr>
            </w:pPr>
            <w:r>
              <w:rPr>
                <w:color w:val="000000"/>
              </w:rPr>
              <w:t>Tier 1 capital (to average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447,754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pPr>
            <w:r>
              <w:rPr/>
              <w:t>10.97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0"/>
              <w:jc w:val="right"/>
              <w:rPr/>
            </w:pPr>
            <w:r>
              <w:rPr/>
              <w:t>414,559</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0"/>
              <w:jc w:val="right"/>
              <w:rPr/>
            </w:pPr>
            <w:r>
              <w:rPr/>
              <w:t>10.32</w:t>
            </w:r>
          </w:p>
        </w:tc>
        <w:tc>
          <w:tcPr>
            <w:tcW w:w="21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Community Bank Leverage Ratio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off-balance-sheet exposures and trading assets and liabilities. Although the Company and the Bank are qualifying community banking organizations, the Company and the Bank have elected not to opt in to the CBLR framework at this time and will continue to follow the Basel III capital requirements as described above.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Treasury Stock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repurchased stock in accordance with its previously-announced stock repurchase program during the three and six months ended June 30, 2023 and 2022. For the three and six months ended June 30, 2023, we repurchased 112,954 shares of common stock for a total of $2.5 million. These shares were retired immediately upon repurchase by the Company and not included in treasury stock. See Part II, Item 2, “Unregistered Sales of Equity Securities and Use of Proceeds,” of this Form 10-Q for further information.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Interest Rate Sensitivity and Market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compliance with the limits set by the Bank’s board of directors.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manage our exposure to interest rates by structuring our balance sheet in the ordinary course of business. Based upon the nature of our operations, we are not subject to foreign exchange or commodity price risk. We do not own any trading assets.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tables summarize the simulated change in net interest income over a 12-month horizon as of the dates indicated:</w:t>
      </w:r>
    </w:p>
    <w:p>
      <w:pPr>
        <w:pStyle w:val="TextBody"/>
        <w:bidi w:val="0"/>
        <w:spacing w:before="0" w:after="0"/>
        <w:jc w:val="left"/>
        <w:rPr/>
      </w:pPr>
      <w:r>
        <w:rPr/>
      </w:r>
    </w:p>
    <w:tbl>
      <w:tblPr>
        <w:tblW w:w="8783" w:type="dxa"/>
        <w:jc w:val="left"/>
        <w:tblInd w:w="0" w:type="dxa"/>
        <w:tblLayout w:type="fixed"/>
        <w:tblCellMar>
          <w:top w:w="0" w:type="dxa"/>
          <w:left w:w="0" w:type="dxa"/>
          <w:bottom w:w="0" w:type="dxa"/>
          <w:right w:w="0" w:type="dxa"/>
        </w:tblCellMar>
      </w:tblPr>
      <w:tblGrid>
        <w:gridCol w:w="3965"/>
        <w:gridCol w:w="60"/>
        <w:gridCol w:w="60"/>
        <w:gridCol w:w="211"/>
        <w:gridCol w:w="1818"/>
        <w:gridCol w:w="290"/>
        <w:gridCol w:w="60"/>
        <w:gridCol w:w="211"/>
        <w:gridCol w:w="1818"/>
        <w:gridCol w:w="290"/>
      </w:tblGrid>
      <w:tr>
        <w:trPr/>
        <w:tc>
          <w:tcPr>
            <w:tcW w:w="39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w:t>
            </w:r>
          </w:p>
          <w:p>
            <w:pPr>
              <w:pStyle w:val="TableContents"/>
              <w:bidi w:val="0"/>
              <w:spacing w:before="0" w:after="0"/>
              <w:jc w:val="center"/>
              <w:rPr>
                <w:b/>
                <w:color w:val="000000"/>
              </w:rPr>
            </w:pPr>
            <w:r>
              <w:rPr>
                <w:b/>
                <w:color w:val="000000"/>
              </w:rPr>
              <w:t>2023</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p>
            <w:pPr>
              <w:pStyle w:val="TableContents"/>
              <w:bidi w:val="0"/>
              <w:spacing w:before="0" w:after="0"/>
              <w:jc w:val="center"/>
              <w:rPr>
                <w:b/>
                <w:color w:val="000000"/>
              </w:rPr>
            </w:pPr>
            <w:r>
              <w:rPr>
                <w:b/>
                <w:color w:val="000000"/>
              </w:rPr>
              <w:t>2022</w:t>
            </w:r>
          </w:p>
        </w:tc>
        <w:tc>
          <w:tcPr>
            <w:tcW w:w="290"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jc w:val="left"/>
              <w:rPr>
                <w:b/>
                <w:color w:val="000000"/>
                <w:u w:val="single"/>
              </w:rPr>
            </w:pPr>
            <w:r>
              <w:rPr>
                <w:b/>
                <w:color w:val="000000"/>
                <w:u w:val="single"/>
              </w:rPr>
              <w:t>Change in Interest Rates (Basis Points)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Percent Change in</w:t>
            </w:r>
          </w:p>
          <w:p>
            <w:pPr>
              <w:pStyle w:val="TableContents"/>
              <w:bidi w:val="0"/>
              <w:spacing w:before="0" w:after="0"/>
              <w:jc w:val="center"/>
              <w:rPr>
                <w:b/>
                <w:color w:val="000000"/>
              </w:rPr>
            </w:pPr>
            <w:r>
              <w:rPr>
                <w:b/>
                <w:color w:val="000000"/>
              </w:rPr>
              <w:t>Net Interest Income</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Percent Change in</w:t>
            </w:r>
          </w:p>
          <w:p>
            <w:pPr>
              <w:pStyle w:val="TableContents"/>
              <w:bidi w:val="0"/>
              <w:spacing w:before="0" w:after="0"/>
              <w:jc w:val="center"/>
              <w:rPr>
                <w:b/>
                <w:color w:val="000000"/>
              </w:rPr>
            </w:pPr>
            <w:r>
              <w:rPr>
                <w:b/>
                <w:color w:val="000000"/>
              </w:rPr>
              <w:t>Net Interest Income</w:t>
            </w:r>
          </w:p>
        </w:tc>
        <w:tc>
          <w:tcPr>
            <w:tcW w:w="290"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jc w:val="left"/>
              <w:rPr>
                <w:color w:val="000000"/>
              </w:rPr>
            </w:pPr>
            <w:r>
              <w:rPr>
                <w:color w:val="000000"/>
              </w:rPr>
              <w:t>+300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0"/>
              <w:jc w:val="right"/>
              <w:rPr>
                <w:color w:val="000000"/>
              </w:rPr>
            </w:pPr>
            <w:r>
              <w:rPr>
                <w:color w:val="000000"/>
              </w:rPr>
              <w:t>(4.23</w:t>
            </w:r>
          </w:p>
        </w:tc>
        <w:tc>
          <w:tcPr>
            <w:tcW w:w="290"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0"/>
              <w:jc w:val="right"/>
              <w:rPr>
                <w:color w:val="000000"/>
              </w:rPr>
            </w:pPr>
            <w:r>
              <w:rPr>
                <w:color w:val="000000"/>
              </w:rPr>
              <w:t>(1.50</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965" w:type="dxa"/>
            <w:tcBorders/>
            <w:vAlign w:val="bottom"/>
          </w:tcPr>
          <w:p>
            <w:pPr>
              <w:pStyle w:val="TableContents"/>
              <w:bidi w:val="0"/>
              <w:spacing w:before="0" w:after="0"/>
              <w:jc w:val="left"/>
              <w:rPr>
                <w:color w:val="000000"/>
              </w:rPr>
            </w:pPr>
            <w:r>
              <w:rPr>
                <w:color w:val="000000"/>
              </w:rPr>
              <w:t>+200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818" w:type="dxa"/>
            <w:tcBorders/>
            <w:vAlign w:val="bottom"/>
          </w:tcPr>
          <w:p>
            <w:pPr>
              <w:pStyle w:val="TableContents"/>
              <w:bidi w:val="0"/>
              <w:spacing w:before="0" w:after="0"/>
              <w:jc w:val="right"/>
              <w:rPr>
                <w:color w:val="000000"/>
              </w:rPr>
            </w:pPr>
            <w:r>
              <w:rPr>
                <w:color w:val="000000"/>
              </w:rPr>
              <w:t>(2.76</w:t>
            </w:r>
          </w:p>
        </w:tc>
        <w:tc>
          <w:tcPr>
            <w:tcW w:w="290"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818" w:type="dxa"/>
            <w:tcBorders/>
            <w:vAlign w:val="bottom"/>
          </w:tcPr>
          <w:p>
            <w:pPr>
              <w:pStyle w:val="TableContents"/>
              <w:bidi w:val="0"/>
              <w:spacing w:before="0" w:after="0"/>
              <w:jc w:val="right"/>
              <w:rPr>
                <w:color w:val="000000"/>
              </w:rPr>
            </w:pPr>
            <w:r>
              <w:rPr>
                <w:color w:val="000000"/>
              </w:rPr>
              <w:t>(0.96</w:t>
            </w:r>
          </w:p>
        </w:tc>
        <w:tc>
          <w:tcPr>
            <w:tcW w:w="290" w:type="dxa"/>
            <w:tcBorders/>
            <w:vAlign w:val="bottom"/>
          </w:tcPr>
          <w:p>
            <w:pPr>
              <w:pStyle w:val="TableContents"/>
              <w:bidi w:val="0"/>
              <w:spacing w:before="0" w:after="0"/>
              <w:jc w:val="left"/>
              <w:rPr>
                <w:color w:val="000000"/>
              </w:rPr>
            </w:pPr>
            <w:r>
              <w:rPr>
                <w:color w:val="000000"/>
              </w:rPr>
              <w:t>)%</w:t>
            </w:r>
          </w:p>
        </w:tc>
      </w:tr>
      <w:tr>
        <w:trPr/>
        <w:tc>
          <w:tcPr>
            <w:tcW w:w="3965" w:type="dxa"/>
            <w:tcBorders/>
            <w:shd w:fill="CCEEFF" w:val="clear"/>
            <w:vAlign w:val="bottom"/>
          </w:tcPr>
          <w:p>
            <w:pPr>
              <w:pStyle w:val="TableContents"/>
              <w:bidi w:val="0"/>
              <w:spacing w:before="0" w:after="0"/>
              <w:jc w:val="left"/>
              <w:rPr>
                <w:color w:val="000000"/>
              </w:rPr>
            </w:pPr>
            <w:r>
              <w:rPr>
                <w:color w:val="000000"/>
              </w:rPr>
              <w:t>+100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0"/>
              <w:jc w:val="right"/>
              <w:rPr>
                <w:color w:val="000000"/>
              </w:rPr>
            </w:pPr>
            <w:r>
              <w:rPr>
                <w:color w:val="000000"/>
              </w:rPr>
              <w:t>(1.31</w:t>
            </w:r>
          </w:p>
        </w:tc>
        <w:tc>
          <w:tcPr>
            <w:tcW w:w="290"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0"/>
              <w:jc w:val="right"/>
              <w:rPr>
                <w:color w:val="000000"/>
              </w:rPr>
            </w:pPr>
            <w:r>
              <w:rPr>
                <w:color w:val="000000"/>
              </w:rPr>
              <w:t>(0.61</w:t>
            </w:r>
          </w:p>
        </w:tc>
        <w:tc>
          <w:tcPr>
            <w:tcW w:w="290" w:type="dxa"/>
            <w:tcBorders/>
            <w:shd w:fill="CCEEFF" w:val="clear"/>
            <w:vAlign w:val="bottom"/>
          </w:tcPr>
          <w:p>
            <w:pPr>
              <w:pStyle w:val="TableContents"/>
              <w:bidi w:val="0"/>
              <w:spacing w:before="0" w:after="0"/>
              <w:jc w:val="left"/>
              <w:rPr>
                <w:color w:val="000000"/>
              </w:rPr>
            </w:pPr>
            <w:r>
              <w:rPr>
                <w:color w:val="000000"/>
              </w:rPr>
              <w:t>)%</w:t>
            </w:r>
          </w:p>
        </w:tc>
      </w:tr>
      <w:tr>
        <w:trPr/>
        <w:tc>
          <w:tcPr>
            <w:tcW w:w="3965" w:type="dxa"/>
            <w:tcBorders/>
            <w:vAlign w:val="bottom"/>
          </w:tcPr>
          <w:p>
            <w:pPr>
              <w:pStyle w:val="TableContents"/>
              <w:bidi w:val="0"/>
              <w:spacing w:before="0" w:after="0"/>
              <w:jc w:val="left"/>
              <w:rPr>
                <w:color w:val="000000"/>
              </w:rPr>
            </w:pPr>
            <w:r>
              <w:rPr>
                <w:color w:val="000000"/>
              </w:rPr>
              <w:t>-100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818" w:type="dxa"/>
            <w:tcBorders/>
            <w:vAlign w:val="bottom"/>
          </w:tcPr>
          <w:p>
            <w:pPr>
              <w:pStyle w:val="TableContents"/>
              <w:bidi w:val="0"/>
              <w:spacing w:before="0" w:after="0"/>
              <w:jc w:val="right"/>
              <w:rPr>
                <w:color w:val="000000"/>
              </w:rPr>
            </w:pPr>
            <w:r>
              <w:rPr>
                <w:color w:val="000000"/>
              </w:rPr>
              <w:t>1.41</w:t>
            </w:r>
          </w:p>
        </w:tc>
        <w:tc>
          <w:tcPr>
            <w:tcW w:w="290"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818" w:type="dxa"/>
            <w:tcBorders/>
            <w:vAlign w:val="bottom"/>
          </w:tcPr>
          <w:p>
            <w:pPr>
              <w:pStyle w:val="TableContents"/>
              <w:bidi w:val="0"/>
              <w:spacing w:before="0" w:after="0"/>
              <w:jc w:val="right"/>
              <w:rPr>
                <w:color w:val="000000"/>
              </w:rPr>
            </w:pPr>
            <w:r>
              <w:rPr>
                <w:color w:val="000000"/>
              </w:rPr>
              <w:t>(1.50</w:t>
            </w:r>
          </w:p>
        </w:tc>
        <w:tc>
          <w:tcPr>
            <w:tcW w:w="290" w:type="dxa"/>
            <w:tcBorders/>
            <w:vAlign w:val="bottom"/>
          </w:tcPr>
          <w:p>
            <w:pPr>
              <w:pStyle w:val="TableContents"/>
              <w:bidi w:val="0"/>
              <w:spacing w:before="0" w:after="0"/>
              <w:jc w:val="left"/>
              <w:rPr>
                <w:color w:val="000000"/>
              </w:rPr>
            </w:pPr>
            <w:r>
              <w:rPr>
                <w:color w:val="000000"/>
              </w:rPr>
              <w:t>)%</w:t>
            </w:r>
          </w:p>
        </w:tc>
      </w:tr>
      <w:tr>
        <w:trPr/>
        <w:tc>
          <w:tcPr>
            <w:tcW w:w="3965" w:type="dxa"/>
            <w:tcBorders/>
            <w:shd w:fill="CCEEFF" w:val="clear"/>
            <w:vAlign w:val="bottom"/>
          </w:tcPr>
          <w:p>
            <w:pPr>
              <w:pStyle w:val="TableContents"/>
              <w:bidi w:val="0"/>
              <w:spacing w:before="0" w:after="0"/>
              <w:jc w:val="left"/>
              <w:rPr>
                <w:color w:val="000000"/>
              </w:rPr>
            </w:pPr>
            <w:r>
              <w:rPr>
                <w:color w:val="000000"/>
              </w:rPr>
              <w:t>-200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0"/>
              <w:jc w:val="right"/>
              <w:rPr>
                <w:color w:val="000000"/>
              </w:rPr>
            </w:pPr>
            <w:r>
              <w:rPr>
                <w:color w:val="000000"/>
              </w:rPr>
              <w:t>2.83</w:t>
            </w:r>
          </w:p>
        </w:tc>
        <w:tc>
          <w:tcPr>
            <w:tcW w:w="290"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818" w:type="dxa"/>
            <w:tcBorders/>
            <w:shd w:fill="CCEEFF" w:val="clear"/>
            <w:vAlign w:val="bottom"/>
          </w:tcPr>
          <w:p>
            <w:pPr>
              <w:pStyle w:val="TableContents"/>
              <w:bidi w:val="0"/>
              <w:spacing w:before="0" w:after="0"/>
              <w:jc w:val="right"/>
              <w:rPr>
                <w:color w:val="000000"/>
              </w:rPr>
            </w:pPr>
            <w:r>
              <w:rPr>
                <w:color w:val="000000"/>
              </w:rPr>
              <w:t>(2.81</w:t>
            </w:r>
          </w:p>
        </w:tc>
        <w:tc>
          <w:tcPr>
            <w:tcW w:w="290" w:type="dxa"/>
            <w:tcBorders/>
            <w:shd w:fill="CCEEFF" w:val="cle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Impact of Inflation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consolidated financial statements and related notes included elsewhere in this Form 10-Q have been prepared in accordance with U.S. generally accepted accounting principles (“GAAP”). GAAP requires the measurement of financial position and operating results in terms of historical dollars, without considering changes in the relative value of money over time due to inflation or recession.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2, “Management’s Discussion and Analysis of Financial Condition and Results of Operations” of this Report under the heading “Interest Rate Sensitivity and Market Risk.”</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statements of comprehensive income (loss),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Tangible Book Value Per Common Share</w:t>
      </w:r>
      <w:r>
        <w:rPr>
          <w:rFonts w:ascii="Times New Roman" w:hAnsi="Times New Roman"/>
          <w:color w:val="000000"/>
          <w:sz w:val="20"/>
        </w:rPr>
        <w:t>. Tangible book value per share is a non-GAAP measure generally used by investors, financial analysts and 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Tangible Common Equity to Tangible Assets</w:t>
      </w:r>
      <w:r>
        <w:rPr>
          <w:rFonts w:ascii="Times New Roman" w:hAnsi="Times New Roman"/>
          <w:color w:val="000000"/>
          <w:sz w:val="20"/>
        </w:rPr>
        <w:t>. Tangible common equity to tangible assets is a non-GAAP measure generally used by 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pStyle w:val="TextBody"/>
        <w:bidi w:val="0"/>
        <w:spacing w:before="0" w:after="0"/>
        <w:jc w:val="both"/>
        <w:rPr/>
      </w:pPr>
      <w:r>
        <w:rPr/>
      </w:r>
    </w:p>
    <w:tbl>
      <w:tblPr>
        <w:tblW w:w="7784" w:type="dxa"/>
        <w:jc w:val="left"/>
        <w:tblInd w:w="0" w:type="dxa"/>
        <w:tblLayout w:type="fixed"/>
        <w:tblCellMar>
          <w:top w:w="0" w:type="dxa"/>
          <w:left w:w="0" w:type="dxa"/>
          <w:bottom w:w="0" w:type="dxa"/>
          <w:right w:w="0" w:type="dxa"/>
        </w:tblCellMar>
      </w:tblPr>
      <w:tblGrid>
        <w:gridCol w:w="4040"/>
        <w:gridCol w:w="60"/>
        <w:gridCol w:w="140"/>
        <w:gridCol w:w="1100"/>
        <w:gridCol w:w="215"/>
        <w:gridCol w:w="60"/>
        <w:gridCol w:w="220"/>
        <w:gridCol w:w="1734"/>
        <w:gridCol w:w="215"/>
      </w:tblGrid>
      <w:tr>
        <w:trPr/>
        <w:tc>
          <w:tcPr>
            <w:tcW w:w="4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 xml:space="preserve">June 30, </w:t>
            </w:r>
          </w:p>
          <w:p>
            <w:pPr>
              <w:pStyle w:val="TableContents"/>
              <w:bidi w:val="0"/>
              <w:spacing w:before="0" w:after="0"/>
              <w:jc w:val="center"/>
              <w:rPr>
                <w:b/>
                <w:color w:val="000000"/>
              </w:rPr>
            </w:pPr>
            <w:r>
              <w:rPr>
                <w:b/>
                <w:color w:val="000000"/>
              </w:rPr>
              <w:t>2023</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 2022</w:t>
            </w:r>
          </w:p>
        </w:tc>
        <w:tc>
          <w:tcPr>
            <w:tcW w:w="215" w:type="dxa"/>
            <w:tcBorders/>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69" w:type="dxa"/>
            <w:gridSpan w:val="6"/>
            <w:tcBorders/>
            <w:vAlign w:val="bottom"/>
          </w:tcPr>
          <w:p>
            <w:pPr>
              <w:pStyle w:val="TableContents"/>
              <w:bidi w:val="0"/>
              <w:spacing w:before="0" w:after="0"/>
              <w:ind w:left="0" w:right="0" w:hanging="140"/>
              <w:jc w:val="center"/>
              <w:rPr>
                <w:b/>
                <w:color w:val="000000"/>
              </w:rPr>
            </w:pPr>
            <w:r>
              <w:rPr>
                <w:b/>
                <w:color w:val="000000"/>
              </w:rPr>
              <w:t>(Dollars in thousands)</w:t>
            </w:r>
          </w:p>
        </w:tc>
        <w:tc>
          <w:tcPr>
            <w:tcW w:w="21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44" w:right="0" w:hanging="144"/>
              <w:jc w:val="left"/>
              <w:rPr>
                <w:color w:val="000000"/>
              </w:rPr>
            </w:pPr>
            <w:r>
              <w:rPr>
                <w:color w:val="000000"/>
              </w:rPr>
              <w:t>Total stockholders’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1100" w:type="dxa"/>
            <w:tcBorders/>
            <w:shd w:fill="CCEEFF" w:val="clear"/>
            <w:vAlign w:val="bottom"/>
          </w:tcPr>
          <w:p>
            <w:pPr>
              <w:pStyle w:val="TableContents"/>
              <w:bidi w:val="0"/>
              <w:spacing w:before="0" w:after="0"/>
              <w:jc w:val="right"/>
              <w:rPr/>
            </w:pPr>
            <w:r>
              <w:rPr/>
              <w:t>392,029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0"/>
              <w:jc w:val="left"/>
              <w:rPr>
                <w:color w:val="000000"/>
              </w:rPr>
            </w:pPr>
            <w:r>
              <w:rPr>
                <w:color w:val="000000"/>
              </w:rPr>
              <w:t>$</w:t>
            </w:r>
          </w:p>
        </w:tc>
        <w:tc>
          <w:tcPr>
            <w:tcW w:w="1734" w:type="dxa"/>
            <w:tcBorders/>
            <w:shd w:fill="CCEEFF" w:val="clear"/>
            <w:vAlign w:val="bottom"/>
          </w:tcPr>
          <w:p>
            <w:pPr>
              <w:pStyle w:val="TableContents"/>
              <w:bidi w:val="0"/>
              <w:spacing w:before="0" w:after="0"/>
              <w:jc w:val="right"/>
              <w:rPr>
                <w:color w:val="000000"/>
              </w:rPr>
            </w:pPr>
            <w:r>
              <w:rPr>
                <w:color w:val="000000"/>
              </w:rPr>
              <w:t>357,014</w:t>
            </w:r>
          </w:p>
        </w:tc>
        <w:tc>
          <w:tcPr>
            <w:tcW w:w="21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44" w:right="0" w:hanging="144"/>
              <w:jc w:val="left"/>
              <w:rPr>
                <w:color w:val="000000"/>
              </w:rPr>
            </w:pPr>
            <w:r>
              <w:rPr>
                <w:color w:val="000000"/>
              </w:rPr>
              <w:t>Less:  Goodwill and other intangibles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pPr>
            <w:r>
              <w:rPr/>
              <w:t>(22,149</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3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(23,857</w:t>
            </w:r>
          </w:p>
        </w:tc>
        <w:tc>
          <w:tcPr>
            <w:tcW w:w="215" w:type="dxa"/>
            <w:tcBorders/>
            <w:vAlign w:val="bottom"/>
          </w:tcPr>
          <w:p>
            <w:pPr>
              <w:pStyle w:val="TableContents"/>
              <w:bidi w:val="0"/>
              <w:spacing w:before="0" w:after="0"/>
              <w:jc w:val="left"/>
              <w:rPr>
                <w:color w:val="000000"/>
              </w:rPr>
            </w:pPr>
            <w:r>
              <w:rPr>
                <w:color w:val="000000"/>
              </w:rPr>
              <w:t>)</w:t>
            </w:r>
          </w:p>
        </w:tc>
      </w:tr>
      <w:tr>
        <w:trPr/>
        <w:tc>
          <w:tcPr>
            <w:tcW w:w="4040" w:type="dxa"/>
            <w:tcBorders/>
            <w:shd w:fill="CCEEFF" w:val="clear"/>
            <w:vAlign w:val="bottom"/>
          </w:tcPr>
          <w:p>
            <w:pPr>
              <w:pStyle w:val="TableContents"/>
              <w:bidi w:val="0"/>
              <w:spacing w:before="0" w:after="0"/>
              <w:ind w:left="324" w:right="0" w:hanging="144"/>
              <w:jc w:val="left"/>
              <w:rPr>
                <w:color w:val="000000"/>
              </w:rPr>
            </w:pPr>
            <w:r>
              <w:rPr>
                <w:color w:val="000000"/>
              </w:rPr>
              <w:t>Tangible common equity</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pPr>
            <w:r>
              <w:rPr/>
              <w:t>369,880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73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333,157</w:t>
            </w:r>
          </w:p>
        </w:tc>
        <w:tc>
          <w:tcPr>
            <w:tcW w:w="21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44" w:right="0" w:hanging="144"/>
              <w:jc w:val="left"/>
              <w:rPr>
                <w:color w:val="000000"/>
              </w:rPr>
            </w:pPr>
            <w:r>
              <w:rPr>
                <w:color w:val="000000"/>
              </w:rPr>
              <w:t>Total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1100" w:type="dxa"/>
            <w:tcBorders/>
            <w:shd w:fill="CCEEFF" w:val="clear"/>
            <w:vAlign w:val="bottom"/>
          </w:tcPr>
          <w:p>
            <w:pPr>
              <w:pStyle w:val="TableContents"/>
              <w:bidi w:val="0"/>
              <w:spacing w:before="0" w:after="0"/>
              <w:jc w:val="right"/>
              <w:rPr/>
            </w:pPr>
            <w:r>
              <w:rPr/>
              <w:t>4,150,129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0"/>
              <w:jc w:val="left"/>
              <w:rPr>
                <w:color w:val="000000"/>
              </w:rPr>
            </w:pPr>
            <w:r>
              <w:rPr>
                <w:color w:val="000000"/>
              </w:rPr>
              <w:t>$</w:t>
            </w:r>
          </w:p>
        </w:tc>
        <w:tc>
          <w:tcPr>
            <w:tcW w:w="1734" w:type="dxa"/>
            <w:tcBorders/>
            <w:shd w:fill="CCEEFF" w:val="clear"/>
            <w:vAlign w:val="bottom"/>
          </w:tcPr>
          <w:p>
            <w:pPr>
              <w:pStyle w:val="TableContents"/>
              <w:bidi w:val="0"/>
              <w:spacing w:before="0" w:after="0"/>
              <w:jc w:val="right"/>
              <w:rPr>
                <w:color w:val="000000"/>
              </w:rPr>
            </w:pPr>
            <w:r>
              <w:rPr>
                <w:color w:val="000000"/>
              </w:rPr>
              <w:t>3,944,063</w:t>
            </w:r>
          </w:p>
        </w:tc>
        <w:tc>
          <w:tcPr>
            <w:tcW w:w="21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44" w:right="0" w:hanging="144"/>
              <w:jc w:val="left"/>
              <w:rPr>
                <w:color w:val="000000"/>
              </w:rPr>
            </w:pPr>
            <w:r>
              <w:rPr>
                <w:color w:val="000000"/>
              </w:rPr>
              <w:t>Less:  Goodwill and other intangibles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0"/>
              <w:jc w:val="right"/>
              <w:rPr/>
            </w:pPr>
            <w:r>
              <w:rPr/>
              <w:t>(22,149</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3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(23,857</w:t>
            </w:r>
          </w:p>
        </w:tc>
        <w:tc>
          <w:tcPr>
            <w:tcW w:w="215" w:type="dxa"/>
            <w:tcBorders/>
            <w:vAlign w:val="bottom"/>
          </w:tcPr>
          <w:p>
            <w:pPr>
              <w:pStyle w:val="TableContents"/>
              <w:bidi w:val="0"/>
              <w:spacing w:before="0" w:after="0"/>
              <w:jc w:val="left"/>
              <w:rPr>
                <w:color w:val="000000"/>
              </w:rPr>
            </w:pPr>
            <w:r>
              <w:rPr>
                <w:color w:val="000000"/>
              </w:rPr>
              <w:t>)</w:t>
            </w:r>
          </w:p>
        </w:tc>
      </w:tr>
      <w:tr>
        <w:trPr/>
        <w:tc>
          <w:tcPr>
            <w:tcW w:w="4040" w:type="dxa"/>
            <w:tcBorders/>
            <w:shd w:fill="CCEEFF" w:val="clear"/>
            <w:vAlign w:val="bottom"/>
          </w:tcPr>
          <w:p>
            <w:pPr>
              <w:pStyle w:val="TableContents"/>
              <w:bidi w:val="0"/>
              <w:spacing w:before="0" w:after="0"/>
              <w:ind w:left="324" w:right="0" w:hanging="144"/>
              <w:jc w:val="left"/>
              <w:rPr>
                <w:color w:val="000000"/>
              </w:rPr>
            </w:pPr>
            <w:r>
              <w:rPr>
                <w:color w:val="000000"/>
              </w:rPr>
              <w:t>Tangible assets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0"/>
              <w:jc w:val="left"/>
              <w:rPr/>
            </w:pPr>
            <w:r>
              <w:rPr/>
              <w:t>$</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pPr>
            <w:r>
              <w:rPr/>
              <w:t>4,127,980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73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3,920,206</w:t>
            </w:r>
          </w:p>
        </w:tc>
        <w:tc>
          <w:tcPr>
            <w:tcW w:w="21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324" w:right="0" w:hanging="144"/>
              <w:jc w:val="left"/>
              <w:rPr>
                <w:color w:val="000000"/>
              </w:rPr>
            </w:pPr>
            <w:r>
              <w:rPr>
                <w:color w:val="000000"/>
              </w:rPr>
              <w:t>Shares outstanding</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bidi w:val="0"/>
              <w:spacing w:before="0" w:after="0"/>
              <w:jc w:val="right"/>
              <w:rPr/>
            </w:pPr>
            <w:r>
              <w:rPr/>
              <w:t>16,952,072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73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17,027,197</w:t>
            </w:r>
          </w:p>
        </w:tc>
        <w:tc>
          <w:tcPr>
            <w:tcW w:w="21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324" w:right="0" w:hanging="144"/>
              <w:jc w:val="left"/>
              <w:rPr>
                <w:color w:val="000000"/>
              </w:rPr>
            </w:pPr>
            <w:r>
              <w:rPr>
                <w:color w:val="000000"/>
              </w:rPr>
              <w:t>Total stockholders’ equity to total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pPr>
            <w:r>
              <w:rPr/>
              <w:t>9.45</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734" w:type="dxa"/>
            <w:tcBorders/>
            <w:shd w:fill="CCEEFF" w:val="clear"/>
            <w:vAlign w:val="bottom"/>
          </w:tcPr>
          <w:p>
            <w:pPr>
              <w:pStyle w:val="TableContents"/>
              <w:bidi w:val="0"/>
              <w:spacing w:before="0" w:after="0"/>
              <w:jc w:val="right"/>
              <w:rPr>
                <w:color w:val="000000"/>
              </w:rPr>
            </w:pPr>
            <w:r>
              <w:rPr>
                <w:color w:val="000000"/>
              </w:rPr>
              <w:t>9.05</w:t>
            </w:r>
          </w:p>
        </w:tc>
        <w:tc>
          <w:tcPr>
            <w:tcW w:w="215" w:type="dxa"/>
            <w:tcBorders/>
            <w:shd w:fill="CCEEFF" w:val="clear"/>
            <w:vAlign w:val="bottom"/>
          </w:tcPr>
          <w:p>
            <w:pPr>
              <w:pStyle w:val="TableContents"/>
              <w:bidi w:val="0"/>
              <w:spacing w:before="0" w:after="0"/>
              <w:jc w:val="left"/>
              <w:rPr>
                <w:color w:val="000000"/>
              </w:rPr>
            </w:pPr>
            <w:r>
              <w:rPr>
                <w:color w:val="000000"/>
              </w:rPr>
              <w:t>%</w:t>
            </w:r>
          </w:p>
        </w:tc>
      </w:tr>
      <w:tr>
        <w:trPr/>
        <w:tc>
          <w:tcPr>
            <w:tcW w:w="4040" w:type="dxa"/>
            <w:tcBorders/>
            <w:vAlign w:val="bottom"/>
          </w:tcPr>
          <w:p>
            <w:pPr>
              <w:pStyle w:val="TableContents"/>
              <w:bidi w:val="0"/>
              <w:spacing w:before="0" w:after="0"/>
              <w:ind w:left="324" w:right="0" w:hanging="144"/>
              <w:jc w:val="left"/>
              <w:rPr>
                <w:color w:val="000000"/>
              </w:rPr>
            </w:pPr>
            <w:r>
              <w:rPr>
                <w:color w:val="000000"/>
              </w:rPr>
              <w:t>Tangible common equity to tangible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pPr>
            <w:r>
              <w:rPr/>
              <w:t>8.96</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734" w:type="dxa"/>
            <w:tcBorders/>
            <w:vAlign w:val="bottom"/>
          </w:tcPr>
          <w:p>
            <w:pPr>
              <w:pStyle w:val="TableContents"/>
              <w:bidi w:val="0"/>
              <w:spacing w:before="0" w:after="0"/>
              <w:jc w:val="right"/>
              <w:rPr>
                <w:color w:val="000000"/>
              </w:rPr>
            </w:pPr>
            <w:r>
              <w:rPr>
                <w:color w:val="000000"/>
              </w:rPr>
              <w:t>8.50</w:t>
            </w:r>
          </w:p>
        </w:tc>
        <w:tc>
          <w:tcPr>
            <w:tcW w:w="215" w:type="dxa"/>
            <w:tcBorders/>
            <w:vAlign w:val="bottom"/>
          </w:tcPr>
          <w:p>
            <w:pPr>
              <w:pStyle w:val="TableContents"/>
              <w:bidi w:val="0"/>
              <w:spacing w:before="0" w:after="0"/>
              <w:jc w:val="left"/>
              <w:rPr>
                <w:color w:val="000000"/>
              </w:rPr>
            </w:pPr>
            <w:r>
              <w:rPr>
                <w:color w:val="000000"/>
              </w:rPr>
              <w:t>%</w:t>
            </w:r>
          </w:p>
        </w:tc>
      </w:tr>
      <w:tr>
        <w:trPr/>
        <w:tc>
          <w:tcPr>
            <w:tcW w:w="4040" w:type="dxa"/>
            <w:tcBorders/>
            <w:shd w:fill="CCEEFF" w:val="clear"/>
            <w:vAlign w:val="bottom"/>
          </w:tcPr>
          <w:p>
            <w:pPr>
              <w:pStyle w:val="TableContents"/>
              <w:bidi w:val="0"/>
              <w:spacing w:before="0" w:after="0"/>
              <w:ind w:left="324" w:right="0" w:hanging="144"/>
              <w:jc w:val="left"/>
              <w:rPr>
                <w:color w:val="000000"/>
              </w:rPr>
            </w:pPr>
            <w:r>
              <w:rPr>
                <w:color w:val="000000"/>
              </w:rPr>
              <w:t>Book value per share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1100" w:type="dxa"/>
            <w:tcBorders/>
            <w:shd w:fill="CCEEFF" w:val="clear"/>
            <w:vAlign w:val="bottom"/>
          </w:tcPr>
          <w:p>
            <w:pPr>
              <w:pStyle w:val="TableContents"/>
              <w:bidi w:val="0"/>
              <w:spacing w:before="0" w:after="0"/>
              <w:jc w:val="right"/>
              <w:rPr/>
            </w:pPr>
            <w:r>
              <w:rPr/>
              <w:t>23.13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0"/>
              <w:jc w:val="left"/>
              <w:rPr>
                <w:color w:val="000000"/>
              </w:rPr>
            </w:pPr>
            <w:r>
              <w:rPr>
                <w:color w:val="000000"/>
              </w:rPr>
              <w:t>$</w:t>
            </w:r>
          </w:p>
        </w:tc>
        <w:tc>
          <w:tcPr>
            <w:tcW w:w="1734" w:type="dxa"/>
            <w:tcBorders/>
            <w:shd w:fill="CCEEFF" w:val="clear"/>
            <w:vAlign w:val="bottom"/>
          </w:tcPr>
          <w:p>
            <w:pPr>
              <w:pStyle w:val="TableContents"/>
              <w:bidi w:val="0"/>
              <w:spacing w:before="0" w:after="0"/>
              <w:jc w:val="right"/>
              <w:rPr>
                <w:color w:val="000000"/>
              </w:rPr>
            </w:pPr>
            <w:r>
              <w:rPr>
                <w:color w:val="000000"/>
              </w:rPr>
              <w:t>20.97</w:t>
            </w:r>
          </w:p>
        </w:tc>
        <w:tc>
          <w:tcPr>
            <w:tcW w:w="215"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324" w:right="0" w:hanging="144"/>
              <w:jc w:val="left"/>
              <w:rPr>
                <w:color w:val="000000"/>
              </w:rPr>
            </w:pPr>
            <w:r>
              <w:rPr>
                <w:color w:val="000000"/>
              </w:rPr>
              <w:t>Tangible book value per share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1100" w:type="dxa"/>
            <w:tcBorders/>
            <w:vAlign w:val="bottom"/>
          </w:tcPr>
          <w:p>
            <w:pPr>
              <w:pStyle w:val="TableContents"/>
              <w:bidi w:val="0"/>
              <w:spacing w:before="0" w:after="0"/>
              <w:jc w:val="right"/>
              <w:rPr/>
            </w:pPr>
            <w:r>
              <w:rPr/>
              <w:t>21.82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0"/>
              <w:jc w:val="left"/>
              <w:rPr/>
            </w:pPr>
            <w:r>
              <w:rPr/>
              <w:t>$</w:t>
            </w:r>
          </w:p>
        </w:tc>
        <w:tc>
          <w:tcPr>
            <w:tcW w:w="1734" w:type="dxa"/>
            <w:tcBorders/>
            <w:vAlign w:val="bottom"/>
          </w:tcPr>
          <w:p>
            <w:pPr>
              <w:pStyle w:val="TableContents"/>
              <w:bidi w:val="0"/>
              <w:spacing w:before="0" w:after="0"/>
              <w:jc w:val="right"/>
              <w:rPr/>
            </w:pPr>
            <w:r>
              <w:rPr/>
              <w:t>19.57</w:t>
            </w:r>
          </w:p>
        </w:tc>
        <w:tc>
          <w:tcPr>
            <w:tcW w:w="21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Jumpstart Our Business Startups Act (the “JOBS Act”) permits us an extended transition period for complying with new or revised accounting standards affecting public companies. We have elected to take advantage of this extended transition period, which means that the consolidated financial statements included in this Form 10-Q,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is a discussion of the critical accounting policies and significant estimates that we believe require us to make the most complex or subjective decisions or assessments. Additional information about these policies can be found in Note 1 of the 2022 Annual Report on Form 10-K or the Company’s consolidated financial statements as of June 30, 2023.</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Securities.</w:t>
      </w:r>
      <w:r>
        <w:rPr>
          <w:rFonts w:ascii="Times New Roman" w:hAnsi="Times New Roman"/>
          <w:color w:val="000000"/>
          <w:sz w:val="20"/>
        </w:rPr>
        <w:t xml:space="preserve"> Investment securities may be classified into trading, held-to-maturity, or available-for-sale portfolios. Securities that are held principally for 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(loss).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The cost of securities sold is based on the specific identification method.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Loans.</w:t>
      </w:r>
      <w:r>
        <w:rPr>
          <w:rFonts w:ascii="Times New Roman" w:hAnsi="Times New Roman"/>
          <w:color w:val="000000"/>
          <w:sz w:val="20"/>
        </w:rPr>
        <w:t xml:space="preserve"> Loans that management has the intent and ability to hold for the foreseeable future or until maturity or payoff are reported 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Allowance for Credit Losses.</w:t>
      </w:r>
      <w:r>
        <w:rPr>
          <w:rFonts w:ascii="Times New Roman" w:hAnsi="Times New Roman"/>
          <w:color w:val="000000"/>
          <w:sz w:val="20"/>
        </w:rPr>
        <w:t xml:space="preserve"> The ACL for loans is established for future expected credit losses through a provision for credit losses charged to earnings. Expected losses are calculated using comparable and quantifiable information both internal and external about past events, including historical experience, current conditions, and reasonable and supportable forecasts that affect the collectability of the reported amount. Expected credit losses are estimated over the contractual term of the loans and adjusted for expected prepayments when appropriate. Loan losses are charged against the allowance when management believes the uncollectibility of a loan balance is confirmed. Subsequent recoveries, if any, are credited to the allowance. The Company’s ACL for loans consists of specific valuation allowances established for probable losses on specifically analyzed loans and collective valuation allowances calculated using comparable and quantifiable information both internal and external about past events, including historical experience, current conditions, and reasonable and supportable forecasts that affect the collectability of the reported amount.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ACL for loans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ACL for loans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Loans that exhibit characteristics different from their pool characteristics are evaluated on an individual basis. Loans evaluated individually are not included in the collective ACL for loans evaluation. Certain of these loans are considered to be collateral dependent with the borrower experiencing financial difficulty. For these loans, the fair value of collateral practical expedient is elected whereby the allowance is calculated as the amount by which the amortized cost exceeds the fair value of collateral, less costs to sell. All non-accrual loans $250 thousand or greater are analyzed for a specific ACL.</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both"/>
        <w:rPr>
          <w:rFonts w:ascii="Times New Roman" w:hAnsi="Times New Roman"/>
          <w:color w:val="000000"/>
          <w:sz w:val="20"/>
        </w:rPr>
      </w:pPr>
      <w:r>
        <w:rPr>
          <w:rFonts w:ascii="Times New Roman" w:hAnsi="Times New Roman"/>
          <w:color w:val="000000"/>
          <w:sz w:val="20"/>
        </w:rPr>
        <w:t>Prior to the adoption of the CECL model, the ACL for loans was established through a provision for loan losses charged to expense, which represented management’s best estimate of inherent losses that had been incurred within the existing portfolio of loans. In addition, a loan was considered impaired when, based on current information and events, it was probable that the Company would be unable to collect the scheduled payments of principal or interest when due according to the contractual terms of the loan agreement. All loans rated substandard or worse and greater than $250 thousand were specifically reviewed to determine if they were impaired. Loans that were determined to be impaired were then evaluated to determine estimated impairment, if any. Impairment was measured on a loan-by-loan basis by either the present value of expected future cash flows discounted at the loan’s effective interest rate, the loan’s obtainable market price, or the fair value of the collateral if the loan was collateral dependent. Loans that were not individually determined to be impaired or were not subject to the specific review of impaired status were subject to the general valuation allowance portion of the ACL.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estimates expected credit losses on off balance-sheet credit exposures over the contractual period in which the Company is exposed to credit risk via a contractual obligation to extend credit, unless that obligation is unconditionally cancellable by the Company. The ACL for off-balance sheet credit exposures is adjusted through provision for credit losses. The estimate includes consideration of the likelihood that funding will occur and an estimate of expected credit losses on commitments expected to be funded over its estimated life. Utilization rates are determined based on a two-year rolling average of historical usage. Expected loss rates for all pass rated loans are used to determine the ACL for off-balance sheet credit exposures.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costs basis is written down to fair value through income. For AFS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 is less than the amortized cost basis. Any impairment that has not been recorded through an ACL is recognized in other comprehensive income (loss). Changes in the ACL are recorded as provision for credit losses. Losses are charged against the allowance when management believes the uncollectibility of an AFS security is confirmed or when either of the criteria regarding intent or requirement to sell is met. Accrued interest is excluded from the estimate of credit losses on securities.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Loans Held for Sale.</w:t>
      </w:r>
      <w:r>
        <w:rPr>
          <w:rFonts w:ascii="Times New Roman" w:hAnsi="Times New Roman"/>
          <w:color w:val="000000"/>
          <w:sz w:val="20"/>
        </w:rPr>
        <w:t xml:space="preserve"> Loans held for sale are comprised of residential mortgage loans. Loans that are originated for best efforts 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Mortgage Servicing Rights Asset.</w:t>
      </w:r>
      <w:r>
        <w:rPr>
          <w:rFonts w:ascii="Times New Roman" w:hAnsi="Times New Roman"/>
          <w:color w:val="000000"/>
          <w:sz w:val="20"/>
        </w:rPr>
        <w:t xml:space="preserve"> When mortgage loans are sold with servicing retained, servicing rights are initially recorded at fair value with the statement of comprehensive income (loss) effect recorded in net gain on sale of loans. Fair value is based on market prices for comparable mortgage servicing contracts, when available, or alternatively, is based on a valuation model that calculates present value of estimated future servicing income.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Under the fair value measurement method, the Company measures servicing rights at fair value at each reporting date and reports change in fair value of servicing assets in earnings in the period in which the changes occur, and are included with other noninterest income in the consolidated financial statements. The fair values of servicing rights are subject to significant fluctuations as a result of changes in estimated and actual prepayment speeds and default rates and losses.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i/>
          <w:color w:val="000000"/>
          <w:sz w:val="20"/>
        </w:rPr>
        <w:t>Goodwill and Other Intangible Assets.</w:t>
      </w:r>
      <w:r>
        <w:rPr>
          <w:rFonts w:ascii="Times New Roman" w:hAnsi="Times New Roman"/>
          <w:color w:val="000000"/>
          <w:sz w:val="20"/>
        </w:rPr>
        <w:t xml:space="preserve"> Goodwill resulting from business combinations is generally determined as the excess of the fair value of the 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See Note 1, Summary of Significant Accounting Policies, in the notes to the consolidated financial statements included elsewhere in this Form 10-Q regarding the impact of new accounting pronouncements which we have adopted.</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Normal"/>
        <w:bidi w:val="0"/>
        <w:spacing w:before="0" w:after="0"/>
        <w:jc w:val="left"/>
        <w:rPr>
          <w:sz w:val="4"/>
          <w:szCs w:val="4"/>
        </w:rPr>
      </w:pPr>
      <w:r>
        <w:rPr>
          <w:sz w:val="4"/>
          <w:szCs w:val="4"/>
        </w:rPr>
      </w:r>
      <w:bookmarkStart w:id="11" w:name="QuantitativeandQualitativ"/>
      <w:bookmarkStart w:id="12" w:name="QuantitativeandQualitativ"/>
      <w:bookmarkEnd w:id="12"/>
    </w:p>
    <w:tbl>
      <w:tblPr>
        <w:tblW w:w="6760" w:type="dxa"/>
        <w:jc w:val="left"/>
        <w:tblInd w:w="0" w:type="dxa"/>
        <w:tblLayout w:type="fixed"/>
        <w:tblCellMar>
          <w:top w:w="0" w:type="dxa"/>
          <w:left w:w="0" w:type="dxa"/>
          <w:bottom w:w="0" w:type="dxa"/>
          <w:right w:w="0" w:type="dxa"/>
        </w:tblCellMar>
      </w:tblPr>
      <w:tblGrid>
        <w:gridCol w:w="740"/>
        <w:gridCol w:w="6020"/>
      </w:tblGrid>
      <w:tr>
        <w:trPr/>
        <w:tc>
          <w:tcPr>
            <w:tcW w:w="740" w:type="dxa"/>
            <w:tcBorders/>
            <w:vAlign w:val="center"/>
          </w:tcPr>
          <w:p>
            <w:pPr>
              <w:pStyle w:val="TableContents"/>
              <w:bidi w:val="0"/>
              <w:spacing w:before="0" w:after="283"/>
              <w:jc w:val="left"/>
              <w:rPr>
                <w:b/>
                <w:color w:val="000000"/>
              </w:rPr>
            </w:pPr>
            <w:r>
              <w:rPr>
                <w:b/>
                <w:color w:val="000000"/>
              </w:rPr>
              <w:t>Item 3.</w:t>
            </w:r>
          </w:p>
        </w:tc>
        <w:tc>
          <w:tcPr>
            <w:tcW w:w="6020" w:type="dxa"/>
            <w:tcBorders/>
            <w:vAlign w:val="center"/>
          </w:tcPr>
          <w:p>
            <w:pPr>
              <w:pStyle w:val="TableContents"/>
              <w:bidi w:val="0"/>
              <w:spacing w:before="0" w:after="0"/>
              <w:jc w:val="left"/>
              <w:rPr>
                <w:b/>
                <w:color w:val="000000"/>
              </w:rPr>
            </w:pPr>
            <w:r>
              <w:rPr>
                <w:b/>
                <w:color w:val="000000"/>
              </w:rPr>
              <w:t>Quantitative and Qualitative Disclosure about Market Risk</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3" w:name="ControlsandProcedures"/>
      <w:bookmarkStart w:id="14" w:name="ControlsandProcedures"/>
      <w:bookmarkEnd w:id="14"/>
    </w:p>
    <w:tbl>
      <w:tblPr>
        <w:tblW w:w="3325" w:type="dxa"/>
        <w:jc w:val="left"/>
        <w:tblInd w:w="0" w:type="dxa"/>
        <w:tblLayout w:type="fixed"/>
        <w:tblCellMar>
          <w:top w:w="0" w:type="dxa"/>
          <w:left w:w="0" w:type="dxa"/>
          <w:bottom w:w="0" w:type="dxa"/>
          <w:right w:w="0" w:type="dxa"/>
        </w:tblCellMar>
      </w:tblPr>
      <w:tblGrid>
        <w:gridCol w:w="740"/>
        <w:gridCol w:w="2585"/>
      </w:tblGrid>
      <w:tr>
        <w:trPr/>
        <w:tc>
          <w:tcPr>
            <w:tcW w:w="740" w:type="dxa"/>
            <w:tcBorders/>
            <w:vAlign w:val="center"/>
          </w:tcPr>
          <w:p>
            <w:pPr>
              <w:pStyle w:val="TableContents"/>
              <w:bidi w:val="0"/>
              <w:spacing w:before="0" w:after="283"/>
              <w:jc w:val="left"/>
              <w:rPr>
                <w:b/>
                <w:color w:val="000000"/>
              </w:rPr>
            </w:pPr>
            <w:r>
              <w:rPr>
                <w:b/>
                <w:color w:val="000000"/>
              </w:rPr>
              <w:t>Item 4.</w:t>
            </w:r>
          </w:p>
        </w:tc>
        <w:tc>
          <w:tcPr>
            <w:tcW w:w="2585" w:type="dxa"/>
            <w:tcBorders/>
            <w:vAlign w:val="center"/>
          </w:tcPr>
          <w:p>
            <w:pPr>
              <w:pStyle w:val="TableContents"/>
              <w:bidi w:val="0"/>
              <w:spacing w:before="0" w:after="0"/>
              <w:jc w:val="left"/>
              <w:rPr>
                <w:b/>
                <w:color w:val="000000"/>
              </w:rPr>
            </w:pPr>
            <w:r>
              <w:rPr>
                <w:b/>
                <w:color w:val="000000"/>
              </w:rPr>
              <w:t>Controls and Procedures</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Internal Control over Financial Reporting</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There were no changes in the Company’s internal control over financial reporting (as such term is defined in Rules 13a-15(f) and 15d-15(f) under the Exchange Act) that occurred during the three months ended June 30, 2023 that have materially affected, or are reasonably likely to materially affect, the Company’s internal control over financial reporting, except as noted below. Beginning January 1, 2023, the Company adopted ASU No. 2016-13, Financial Instruments – Credit Losses (Topic 326) Measurement of Credit Losses on Financial Instruments. The Company implemented changes to the policies, processes, and controls over the estimation of the allowance for credit losses to support the adoption of ASU 2016-13. Many controls under this new standard mirror controls under the prior GAAP methodology. New controls were established over the review of the reasonable and supportable assumptions used for the economic forecast and qualitative adjustment risks. In addition, controls were modified to require final approval of the allowance for credit losses estimate to a chartered committee within the Company. Finally, there were new controls established over the Company’s loan scorecard process.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ind w:left="900" w:right="0" w:hanging="900"/>
        <w:jc w:val="left"/>
        <w:rPr>
          <w:rFonts w:ascii="Times New Roman" w:hAnsi="Times New Roman"/>
          <w:b/>
          <w:color w:val="000000"/>
          <w:sz w:val="20"/>
        </w:rPr>
      </w:pPr>
      <w:bookmarkStart w:id="15" w:name="PARTII.OTHERINFORMATION"/>
      <w:bookmarkEnd w:id="15"/>
      <w:r>
        <w:rPr>
          <w:rFonts w:ascii="Times New Roman" w:hAnsi="Times New Roman"/>
          <w:b/>
          <w:color w:val="000000"/>
          <w:sz w:val="20"/>
        </w:rPr>
        <w:t>PART II. OTHER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LegalProceedings"/>
      <w:bookmarkStart w:id="17" w:name="LegalProceedings"/>
      <w:bookmarkEnd w:id="17"/>
    </w:p>
    <w:tbl>
      <w:tblPr>
        <w:tblW w:w="2635" w:type="dxa"/>
        <w:jc w:val="left"/>
        <w:tblInd w:w="0" w:type="dxa"/>
        <w:tblLayout w:type="fixed"/>
        <w:tblCellMar>
          <w:top w:w="0" w:type="dxa"/>
          <w:left w:w="0" w:type="dxa"/>
          <w:bottom w:w="0" w:type="dxa"/>
          <w:right w:w="0" w:type="dxa"/>
        </w:tblCellMar>
      </w:tblPr>
      <w:tblGrid>
        <w:gridCol w:w="740"/>
        <w:gridCol w:w="1895"/>
      </w:tblGrid>
      <w:tr>
        <w:trPr/>
        <w:tc>
          <w:tcPr>
            <w:tcW w:w="740" w:type="dxa"/>
            <w:tcBorders/>
            <w:vAlign w:val="center"/>
          </w:tcPr>
          <w:p>
            <w:pPr>
              <w:pStyle w:val="TableContents"/>
              <w:bidi w:val="0"/>
              <w:spacing w:before="0" w:after="283"/>
              <w:jc w:val="left"/>
              <w:rPr>
                <w:b/>
                <w:color w:val="000000"/>
              </w:rPr>
            </w:pPr>
            <w:r>
              <w:rPr>
                <w:b/>
                <w:color w:val="000000"/>
              </w:rPr>
              <w:t>Item 1.</w:t>
            </w:r>
          </w:p>
        </w:tc>
        <w:tc>
          <w:tcPr>
            <w:tcW w:w="1895" w:type="dxa"/>
            <w:tcBorders/>
            <w:vAlign w:val="center"/>
          </w:tcPr>
          <w:p>
            <w:pPr>
              <w:pStyle w:val="TableContents"/>
              <w:bidi w:val="0"/>
              <w:spacing w:before="0" w:after="0"/>
              <w:jc w:val="left"/>
              <w:rPr>
                <w:b/>
                <w:color w:val="000000"/>
              </w:rPr>
            </w:pPr>
            <w:r>
              <w:rPr>
                <w:b/>
                <w:color w:val="000000"/>
              </w:rPr>
              <w:t>Legal Proceedings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and its subsidiaries are subject to various legal actions, as described in our Annual Report on Form 10-K for the year ended December 31, 2022 (the “2022 Annual Report on Form 10-K”) filed with the SEC on March 13, 2023. Except as described above or in our 2022 Annual Report on Form 10-K,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RiskFactors"/>
      <w:bookmarkStart w:id="19" w:name="RiskFactors"/>
      <w:bookmarkEnd w:id="19"/>
    </w:p>
    <w:tbl>
      <w:tblPr>
        <w:tblW w:w="2245" w:type="dxa"/>
        <w:jc w:val="left"/>
        <w:tblInd w:w="0" w:type="dxa"/>
        <w:tblLayout w:type="fixed"/>
        <w:tblCellMar>
          <w:top w:w="0" w:type="dxa"/>
          <w:left w:w="0" w:type="dxa"/>
          <w:bottom w:w="0" w:type="dxa"/>
          <w:right w:w="0" w:type="dxa"/>
        </w:tblCellMar>
      </w:tblPr>
      <w:tblGrid>
        <w:gridCol w:w="920"/>
        <w:gridCol w:w="1325"/>
      </w:tblGrid>
      <w:tr>
        <w:trPr/>
        <w:tc>
          <w:tcPr>
            <w:tcW w:w="920" w:type="dxa"/>
            <w:tcBorders/>
            <w:vAlign w:val="center"/>
          </w:tcPr>
          <w:p>
            <w:pPr>
              <w:pStyle w:val="TableContents"/>
              <w:bidi w:val="0"/>
              <w:spacing w:before="0" w:after="283"/>
              <w:jc w:val="left"/>
              <w:rPr>
                <w:b/>
                <w:color w:val="000000"/>
              </w:rPr>
            </w:pPr>
            <w:r>
              <w:rPr>
                <w:b/>
                <w:color w:val="000000"/>
              </w:rPr>
              <w:t>Item 1A.</w:t>
            </w:r>
          </w:p>
        </w:tc>
        <w:tc>
          <w:tcPr>
            <w:tcW w:w="1325" w:type="dxa"/>
            <w:tcBorders/>
            <w:vAlign w:val="center"/>
          </w:tcPr>
          <w:p>
            <w:pPr>
              <w:pStyle w:val="TableContents"/>
              <w:bidi w:val="0"/>
              <w:spacing w:before="0" w:after="0"/>
              <w:jc w:val="left"/>
              <w:rPr>
                <w:b/>
                <w:color w:val="000000"/>
              </w:rPr>
            </w:pPr>
            <w:r>
              <w:rPr>
                <w:b/>
                <w:color w:val="000000"/>
              </w:rPr>
              <w:t>Risk Factors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Form 10-Q and the risk factors previously disclosed under the heading “Risk Factors” in Part I, Item 1A of our 2022 Annual Report on Form 10-K. Management believes there have been no material changes in the risk factors disclosed by the Company in the 2022 Annual Report on Form 10-K.</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UnregisteredSalesofEquity"/>
      <w:bookmarkStart w:id="21" w:name="UnregisteredSalesofEquity"/>
      <w:bookmarkEnd w:id="21"/>
    </w:p>
    <w:tbl>
      <w:tblPr>
        <w:tblW w:w="6820" w:type="dxa"/>
        <w:jc w:val="left"/>
        <w:tblInd w:w="0" w:type="dxa"/>
        <w:tblLayout w:type="fixed"/>
        <w:tblCellMar>
          <w:top w:w="0" w:type="dxa"/>
          <w:left w:w="0" w:type="dxa"/>
          <w:bottom w:w="0" w:type="dxa"/>
          <w:right w:w="0" w:type="dxa"/>
        </w:tblCellMar>
      </w:tblPr>
      <w:tblGrid>
        <w:gridCol w:w="740"/>
        <w:gridCol w:w="6080"/>
      </w:tblGrid>
      <w:tr>
        <w:trPr/>
        <w:tc>
          <w:tcPr>
            <w:tcW w:w="740" w:type="dxa"/>
            <w:tcBorders/>
            <w:vAlign w:val="center"/>
          </w:tcPr>
          <w:p>
            <w:pPr>
              <w:pStyle w:val="TableContents"/>
              <w:bidi w:val="0"/>
              <w:spacing w:before="0" w:after="283"/>
              <w:jc w:val="left"/>
              <w:rPr>
                <w:b/>
                <w:color w:val="000000"/>
              </w:rPr>
            </w:pPr>
            <w:r>
              <w:rPr>
                <w:b/>
                <w:color w:val="000000"/>
              </w:rPr>
              <w:t>Item 2.</w:t>
            </w:r>
          </w:p>
        </w:tc>
        <w:tc>
          <w:tcPr>
            <w:tcW w:w="6080" w:type="dxa"/>
            <w:tcBorders/>
            <w:vAlign w:val="center"/>
          </w:tcPr>
          <w:p>
            <w:pPr>
              <w:pStyle w:val="TableContents"/>
              <w:bidi w:val="0"/>
              <w:spacing w:before="0" w:after="0"/>
              <w:jc w:val="left"/>
              <w:rPr>
                <w:b/>
                <w:color w:val="000000"/>
              </w:rPr>
            </w:pPr>
            <w:r>
              <w:rPr>
                <w:b/>
                <w:color w:val="000000"/>
              </w:rPr>
              <w:t>Unregistered Sales of Equity Securities and Use of Proceeds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Issuer Purchases of Equity Securities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May 5, 2023, the Company’s board of directors approved a stock repurchase program pursuant to which the Company may, from time to time, purchase up to $15.0 million of its outstanding shares of common stock (the “Program”). The shares may be repurchased from time to time in privately negotiated transactions or the open market, including pursuant to Rule 10b5-1 trading plans, and in accordance with applicable regulations of the SEC. The Company is not obligated to purchase any shares of its common stock under the Program and the timing and exact amount of any repurchases will depend on various factors including, the performance of the Company’s stock price, general market and other conditions, applicable legal requirements and other factors. The Program may be terminated or amended by the Company’s board of directors at any time prior to the expiration date of May 5, 2024.</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table summarizes the Company’s share repurchase activity for the three months ended June 30, 2023.</w:t>
      </w:r>
    </w:p>
    <w:p>
      <w:pPr>
        <w:pStyle w:val="TextBody"/>
        <w:bidi w:val="0"/>
        <w:spacing w:before="0" w:after="0"/>
        <w:jc w:val="left"/>
        <w:rPr/>
      </w:pPr>
      <w:r>
        <w:rPr/>
      </w:r>
    </w:p>
    <w:tbl>
      <w:tblPr>
        <w:tblW w:w="9699" w:type="dxa"/>
        <w:jc w:val="left"/>
        <w:tblInd w:w="0" w:type="dxa"/>
        <w:tblLayout w:type="fixed"/>
        <w:tblCellMar>
          <w:top w:w="0" w:type="dxa"/>
          <w:left w:w="0" w:type="dxa"/>
          <w:bottom w:w="0" w:type="dxa"/>
          <w:right w:w="0" w:type="dxa"/>
        </w:tblCellMar>
      </w:tblPr>
      <w:tblGrid>
        <w:gridCol w:w="1055"/>
        <w:gridCol w:w="60"/>
        <w:gridCol w:w="95"/>
        <w:gridCol w:w="1275"/>
        <w:gridCol w:w="23"/>
        <w:gridCol w:w="23"/>
        <w:gridCol w:w="313"/>
        <w:gridCol w:w="1252"/>
        <w:gridCol w:w="60"/>
        <w:gridCol w:w="60"/>
        <w:gridCol w:w="328"/>
        <w:gridCol w:w="2301"/>
        <w:gridCol w:w="60"/>
        <w:gridCol w:w="60"/>
        <w:gridCol w:w="301"/>
        <w:gridCol w:w="2373"/>
        <w:gridCol w:w="60"/>
      </w:tblGrid>
      <w:tr>
        <w:trPr/>
        <w:tc>
          <w:tcPr>
            <w:tcW w:w="10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Shares</w:t>
            </w:r>
          </w:p>
          <w:p>
            <w:pPr>
              <w:pStyle w:val="TableContents"/>
              <w:bidi w:val="0"/>
              <w:spacing w:before="0" w:after="0"/>
              <w:jc w:val="center"/>
              <w:rPr>
                <w:b/>
                <w:color w:val="000000"/>
              </w:rPr>
            </w:pPr>
            <w:r>
              <w:rPr>
                <w:b/>
                <w:color w:val="000000"/>
              </w:rPr>
              <w:t>Repurchased</w:t>
            </w:r>
          </w:p>
        </w:tc>
        <w:tc>
          <w:tcPr>
            <w:tcW w:w="23"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56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Average Price</w:t>
            </w:r>
          </w:p>
          <w:p>
            <w:pPr>
              <w:pStyle w:val="TableContents"/>
              <w:bidi w:val="0"/>
              <w:spacing w:before="0" w:after="0"/>
              <w:jc w:val="center"/>
              <w:rPr>
                <w:b/>
                <w:color w:val="000000"/>
              </w:rPr>
            </w:pPr>
            <w:r>
              <w:rPr>
                <w:b/>
                <w:color w:val="000000"/>
              </w:rPr>
              <w:t>Paid Per Share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 Dollar Amount</w:t>
            </w:r>
          </w:p>
          <w:p>
            <w:pPr>
              <w:pStyle w:val="TableContents"/>
              <w:bidi w:val="0"/>
              <w:spacing w:before="0" w:after="0"/>
              <w:jc w:val="center"/>
              <w:rPr>
                <w:b/>
                <w:color w:val="000000"/>
              </w:rPr>
            </w:pPr>
            <w:r>
              <w:rPr>
                <w:b/>
                <w:color w:val="000000"/>
              </w:rPr>
              <w:t>Purchased Pursuant to</w:t>
            </w:r>
          </w:p>
          <w:p>
            <w:pPr>
              <w:pStyle w:val="TableContents"/>
              <w:bidi w:val="0"/>
              <w:spacing w:before="0" w:after="0"/>
              <w:jc w:val="center"/>
              <w:rPr>
                <w:b/>
                <w:color w:val="000000"/>
              </w:rPr>
            </w:pPr>
            <w:r>
              <w:rPr>
                <w:b/>
                <w:color w:val="000000"/>
              </w:rPr>
              <w:t>Publicly-Announced Plan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Maximum Dollar Amount</w:t>
            </w:r>
          </w:p>
          <w:p>
            <w:pPr>
              <w:pStyle w:val="TableContents"/>
              <w:bidi w:val="0"/>
              <w:spacing w:before="0" w:after="0"/>
              <w:jc w:val="center"/>
              <w:rPr>
                <w:b/>
                <w:color w:val="000000"/>
              </w:rPr>
            </w:pPr>
            <w:r>
              <w:rPr>
                <w:b/>
                <w:color w:val="000000"/>
              </w:rPr>
              <w:t>Remaining Available for</w:t>
            </w:r>
          </w:p>
          <w:p>
            <w:pPr>
              <w:pStyle w:val="TableContents"/>
              <w:bidi w:val="0"/>
              <w:spacing w:before="0" w:after="0"/>
              <w:jc w:val="center"/>
              <w:rPr>
                <w:b/>
                <w:color w:val="000000"/>
              </w:rPr>
            </w:pPr>
            <w:r>
              <w:rPr>
                <w:b/>
                <w:color w:val="000000"/>
              </w:rPr>
              <w:t>Repurchase Pursuant to</w:t>
            </w:r>
          </w:p>
          <w:p>
            <w:pPr>
              <w:pStyle w:val="TableContents"/>
              <w:bidi w:val="0"/>
              <w:spacing w:before="0" w:after="0"/>
              <w:jc w:val="center"/>
              <w:rPr>
                <w:b/>
                <w:color w:val="000000"/>
              </w:rPr>
            </w:pPr>
            <w:r>
              <w:rPr>
                <w:b/>
                <w:color w:val="000000"/>
              </w:rPr>
              <w:t>Publicly-Announced Plan</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ind w:left="144" w:right="0" w:hanging="144"/>
              <w:jc w:val="left"/>
              <w:rPr>
                <w:b/>
                <w:color w:val="000000"/>
              </w:rPr>
            </w:pPr>
            <w:r>
              <w:rPr>
                <w:b/>
                <w:color w:val="000000"/>
              </w:rPr>
              <w:t>May 2023</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75" w:type="dxa"/>
            <w:tcBorders/>
            <w:shd w:fill="CCEEFF" w:val="clear"/>
            <w:vAlign w:val="bottom"/>
          </w:tcPr>
          <w:p>
            <w:pPr>
              <w:pStyle w:val="TableContents"/>
              <w:bidi w:val="0"/>
              <w:spacing w:before="0" w:after="0"/>
              <w:jc w:val="right"/>
              <w:rPr>
                <w:color w:val="000000"/>
              </w:rPr>
            </w:pPr>
            <w:r>
              <w:rPr>
                <w:color w:val="000000"/>
              </w:rPr>
              <w:t>41,971</w:t>
            </w:r>
          </w:p>
        </w:tc>
        <w:tc>
          <w:tcPr>
            <w:tcW w:w="23"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313" w:type="dxa"/>
            <w:tcBorders/>
            <w:shd w:fill="CCEEFF" w:val="clear"/>
            <w:vAlign w:val="bottom"/>
          </w:tcPr>
          <w:p>
            <w:pPr>
              <w:pStyle w:val="TableContents"/>
              <w:bidi w:val="0"/>
              <w:spacing w:before="0" w:after="0"/>
              <w:jc w:val="left"/>
              <w:rPr>
                <w:color w:val="000000"/>
              </w:rPr>
            </w:pPr>
            <w:r>
              <w:rPr>
                <w:color w:val="000000"/>
              </w:rPr>
              <w:t>$</w:t>
            </w:r>
          </w:p>
        </w:tc>
        <w:tc>
          <w:tcPr>
            <w:tcW w:w="1252" w:type="dxa"/>
            <w:tcBorders/>
            <w:shd w:fill="CCEEFF" w:val="clear"/>
            <w:vAlign w:val="bottom"/>
          </w:tcPr>
          <w:p>
            <w:pPr>
              <w:pStyle w:val="TableContents"/>
              <w:bidi w:val="0"/>
              <w:spacing w:before="0" w:after="0"/>
              <w:jc w:val="right"/>
              <w:rPr>
                <w:color w:val="000000"/>
              </w:rPr>
            </w:pPr>
            <w:r>
              <w:rPr>
                <w:color w:val="000000"/>
              </w:rPr>
              <w:t>21.37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0"/>
              <w:jc w:val="left"/>
              <w:rPr>
                <w:color w:val="000000"/>
              </w:rPr>
            </w:pPr>
            <w:r>
              <w:rPr>
                <w:color w:val="000000"/>
              </w:rPr>
              <w:t>$</w:t>
            </w:r>
          </w:p>
        </w:tc>
        <w:tc>
          <w:tcPr>
            <w:tcW w:w="2301" w:type="dxa"/>
            <w:tcBorders/>
            <w:shd w:fill="CCEEFF" w:val="clear"/>
            <w:vAlign w:val="bottom"/>
          </w:tcPr>
          <w:p>
            <w:pPr>
              <w:pStyle w:val="TableContents"/>
              <w:bidi w:val="0"/>
              <w:spacing w:before="0" w:after="0"/>
              <w:jc w:val="right"/>
              <w:rPr>
                <w:color w:val="000000"/>
              </w:rPr>
            </w:pPr>
            <w:r>
              <w:rPr>
                <w:color w:val="000000"/>
              </w:rPr>
              <w:t>896,788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0"/>
              <w:jc w:val="left"/>
              <w:rPr>
                <w:color w:val="000000"/>
              </w:rPr>
            </w:pPr>
            <w:r>
              <w:rPr>
                <w:color w:val="000000"/>
              </w:rPr>
              <w:t>$</w:t>
            </w:r>
          </w:p>
        </w:tc>
        <w:tc>
          <w:tcPr>
            <w:tcW w:w="2373" w:type="dxa"/>
            <w:tcBorders/>
            <w:shd w:fill="CCEEFF" w:val="clear"/>
            <w:vAlign w:val="bottom"/>
          </w:tcPr>
          <w:p>
            <w:pPr>
              <w:pStyle w:val="TableContents"/>
              <w:bidi w:val="0"/>
              <w:spacing w:before="0" w:after="0"/>
              <w:jc w:val="right"/>
              <w:rPr>
                <w:color w:val="000000"/>
              </w:rPr>
            </w:pPr>
            <w:r>
              <w:rPr>
                <w:color w:val="000000"/>
              </w:rPr>
              <w:t>14,103,212</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0"/>
              <w:ind w:left="144" w:right="0" w:hanging="144"/>
              <w:jc w:val="left"/>
              <w:rPr>
                <w:b/>
                <w:color w:val="000000"/>
              </w:rPr>
            </w:pPr>
            <w:r>
              <w:rPr>
                <w:b/>
                <w:color w:val="000000"/>
              </w:rPr>
              <w:t>June 2023</w:t>
            </w:r>
          </w:p>
        </w:tc>
        <w:tc>
          <w:tcPr>
            <w:tcW w:w="60" w:type="dxa"/>
            <w:tcBorders/>
            <w:vAlign w:val="bottom"/>
          </w:tcPr>
          <w:p>
            <w:pPr>
              <w:pStyle w:val="TableContents"/>
              <w:bidi w:val="0"/>
              <w:spacing w:before="0" w:after="283"/>
              <w:jc w:val="left"/>
              <w:rPr/>
            </w:pPr>
            <w:r>
              <w:rPr/>
              <w:t> </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70,983</w:t>
            </w:r>
          </w:p>
        </w:tc>
        <w:tc>
          <w:tcPr>
            <w:tcW w:w="23"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313"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0"/>
              <w:jc w:val="right"/>
              <w:rPr>
                <w:color w:val="000000"/>
              </w:rPr>
            </w:pPr>
            <w:r>
              <w:rPr>
                <w:color w:val="000000"/>
              </w:rPr>
              <w:t>23.26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301" w:type="dxa"/>
            <w:tcBorders/>
            <w:vAlign w:val="bottom"/>
          </w:tcPr>
          <w:p>
            <w:pPr>
              <w:pStyle w:val="TableContents"/>
              <w:bidi w:val="0"/>
              <w:spacing w:before="0" w:after="0"/>
              <w:jc w:val="right"/>
              <w:rPr>
                <w:color w:val="000000"/>
              </w:rPr>
            </w:pPr>
            <w:r>
              <w:rPr>
                <w:color w:val="000000"/>
              </w:rPr>
              <w:t>1,651,332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2373" w:type="dxa"/>
            <w:tcBorders/>
            <w:vAlign w:val="bottom"/>
          </w:tcPr>
          <w:p>
            <w:pPr>
              <w:pStyle w:val="TableContents"/>
              <w:bidi w:val="0"/>
              <w:spacing w:before="0" w:after="0"/>
              <w:jc w:val="right"/>
              <w:rPr>
                <w:color w:val="000000"/>
              </w:rPr>
            </w:pPr>
            <w:r>
              <w:rPr>
                <w:color w:val="000000"/>
              </w:rPr>
              <w:t>12,451,880</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vAlign w:val="bottom"/>
          </w:tcPr>
          <w:p>
            <w:pPr>
              <w:pStyle w:val="TableContents"/>
              <w:bidi w:val="0"/>
              <w:spacing w:before="0" w:after="0"/>
              <w:ind w:left="324" w:right="0" w:hanging="144"/>
              <w:jc w:val="left"/>
              <w:rPr>
                <w:b/>
                <w:color w:val="000000"/>
              </w:rPr>
            </w:pPr>
            <w:r>
              <w:rPr>
                <w:b/>
                <w:color w:val="000000"/>
              </w:rPr>
              <w:t>Total</w:t>
            </w:r>
          </w:p>
        </w:tc>
        <w:tc>
          <w:tcPr>
            <w:tcW w:w="60" w:type="dxa"/>
            <w:tcBorders/>
            <w:shd w:fill="CCEEFF" w:val="clear"/>
            <w:vAlign w:val="bottom"/>
          </w:tcPr>
          <w:p>
            <w:pPr>
              <w:pStyle w:val="TableContents"/>
              <w:bidi w:val="0"/>
              <w:spacing w:before="0" w:after="283"/>
              <w:jc w:val="left"/>
              <w:rPr/>
            </w:pPr>
            <w:r>
              <w:rPr/>
              <w:t> </w:t>
            </w:r>
          </w:p>
        </w:tc>
        <w:tc>
          <w:tcPr>
            <w:tcW w:w="9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7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112,954</w:t>
            </w:r>
          </w:p>
        </w:tc>
        <w:tc>
          <w:tcPr>
            <w:tcW w:w="23"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313"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23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23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DefaultsuponSeniorSecurit"/>
      <w:bookmarkStart w:id="23" w:name="DefaultsuponSeniorSecurit"/>
      <w:bookmarkEnd w:id="23"/>
    </w:p>
    <w:tbl>
      <w:tblPr>
        <w:tblW w:w="3955" w:type="dxa"/>
        <w:jc w:val="left"/>
        <w:tblInd w:w="0" w:type="dxa"/>
        <w:tblLayout w:type="fixed"/>
        <w:tblCellMar>
          <w:top w:w="0" w:type="dxa"/>
          <w:left w:w="0" w:type="dxa"/>
          <w:bottom w:w="0" w:type="dxa"/>
          <w:right w:w="0" w:type="dxa"/>
        </w:tblCellMar>
      </w:tblPr>
      <w:tblGrid>
        <w:gridCol w:w="740"/>
        <w:gridCol w:w="3215"/>
      </w:tblGrid>
      <w:tr>
        <w:trPr/>
        <w:tc>
          <w:tcPr>
            <w:tcW w:w="740" w:type="dxa"/>
            <w:tcBorders/>
            <w:vAlign w:val="center"/>
          </w:tcPr>
          <w:p>
            <w:pPr>
              <w:pStyle w:val="TableContents"/>
              <w:bidi w:val="0"/>
              <w:spacing w:before="0" w:after="283"/>
              <w:jc w:val="left"/>
              <w:rPr>
                <w:b/>
                <w:color w:val="000000"/>
              </w:rPr>
            </w:pPr>
            <w:r>
              <w:rPr>
                <w:b/>
                <w:color w:val="000000"/>
              </w:rPr>
              <w:t>Item 3.</w:t>
            </w:r>
          </w:p>
        </w:tc>
        <w:tc>
          <w:tcPr>
            <w:tcW w:w="3215" w:type="dxa"/>
            <w:tcBorders/>
            <w:vAlign w:val="center"/>
          </w:tcPr>
          <w:p>
            <w:pPr>
              <w:pStyle w:val="TableContents"/>
              <w:bidi w:val="0"/>
              <w:spacing w:before="0" w:after="0"/>
              <w:jc w:val="left"/>
              <w:rPr>
                <w:b/>
                <w:color w:val="000000"/>
              </w:rPr>
            </w:pPr>
            <w:r>
              <w:rPr>
                <w:b/>
                <w:color w:val="000000"/>
              </w:rPr>
              <w:t>Defaults upon Senior Securities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MineSafetyDisclosures"/>
      <w:bookmarkStart w:id="25" w:name="MineSafetyDisclosures"/>
      <w:bookmarkEnd w:id="25"/>
    </w:p>
    <w:tbl>
      <w:tblPr>
        <w:tblW w:w="3190" w:type="dxa"/>
        <w:jc w:val="left"/>
        <w:tblInd w:w="0" w:type="dxa"/>
        <w:tblLayout w:type="fixed"/>
        <w:tblCellMar>
          <w:top w:w="0" w:type="dxa"/>
          <w:left w:w="0" w:type="dxa"/>
          <w:bottom w:w="0" w:type="dxa"/>
          <w:right w:w="0" w:type="dxa"/>
        </w:tblCellMar>
      </w:tblPr>
      <w:tblGrid>
        <w:gridCol w:w="740"/>
        <w:gridCol w:w="2450"/>
      </w:tblGrid>
      <w:tr>
        <w:trPr/>
        <w:tc>
          <w:tcPr>
            <w:tcW w:w="740" w:type="dxa"/>
            <w:tcBorders/>
            <w:vAlign w:val="center"/>
          </w:tcPr>
          <w:p>
            <w:pPr>
              <w:pStyle w:val="TableContents"/>
              <w:bidi w:val="0"/>
              <w:spacing w:before="0" w:after="283"/>
              <w:jc w:val="left"/>
              <w:rPr>
                <w:b/>
                <w:color w:val="000000"/>
              </w:rPr>
            </w:pPr>
            <w:r>
              <w:rPr>
                <w:b/>
                <w:color w:val="000000"/>
              </w:rPr>
              <w:t>Item 4.</w:t>
            </w:r>
          </w:p>
        </w:tc>
        <w:tc>
          <w:tcPr>
            <w:tcW w:w="2450" w:type="dxa"/>
            <w:tcBorders/>
            <w:vAlign w:val="center"/>
          </w:tcPr>
          <w:p>
            <w:pPr>
              <w:pStyle w:val="TableContents"/>
              <w:bidi w:val="0"/>
              <w:spacing w:before="0" w:after="0"/>
              <w:jc w:val="left"/>
              <w:rPr>
                <w:b/>
                <w:color w:val="000000"/>
              </w:rPr>
            </w:pPr>
            <w:r>
              <w:rPr>
                <w:b/>
                <w:color w:val="000000"/>
              </w:rPr>
              <w:t>Mine Safety Disclosures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OtherInformation"/>
      <w:bookmarkStart w:id="27" w:name="OtherInformation"/>
      <w:bookmarkEnd w:id="27"/>
    </w:p>
    <w:tbl>
      <w:tblPr>
        <w:tblW w:w="2665" w:type="dxa"/>
        <w:jc w:val="left"/>
        <w:tblInd w:w="0" w:type="dxa"/>
        <w:tblLayout w:type="fixed"/>
        <w:tblCellMar>
          <w:top w:w="0" w:type="dxa"/>
          <w:left w:w="0" w:type="dxa"/>
          <w:bottom w:w="0" w:type="dxa"/>
          <w:right w:w="0" w:type="dxa"/>
        </w:tblCellMar>
      </w:tblPr>
      <w:tblGrid>
        <w:gridCol w:w="740"/>
        <w:gridCol w:w="1925"/>
      </w:tblGrid>
      <w:tr>
        <w:trPr/>
        <w:tc>
          <w:tcPr>
            <w:tcW w:w="740" w:type="dxa"/>
            <w:tcBorders/>
            <w:vAlign w:val="center"/>
          </w:tcPr>
          <w:p>
            <w:pPr>
              <w:pStyle w:val="TableContents"/>
              <w:bidi w:val="0"/>
              <w:spacing w:before="0" w:after="283"/>
              <w:jc w:val="left"/>
              <w:rPr>
                <w:b/>
                <w:color w:val="000000"/>
              </w:rPr>
            </w:pPr>
            <w:r>
              <w:rPr>
                <w:b/>
                <w:color w:val="000000"/>
              </w:rPr>
              <w:t>Item 5.</w:t>
            </w:r>
          </w:p>
        </w:tc>
        <w:tc>
          <w:tcPr>
            <w:tcW w:w="1925" w:type="dxa"/>
            <w:tcBorders/>
            <w:vAlign w:val="center"/>
          </w:tcPr>
          <w:p>
            <w:pPr>
              <w:pStyle w:val="TableContents"/>
              <w:bidi w:val="0"/>
              <w:spacing w:before="0" w:after="0"/>
              <w:jc w:val="left"/>
              <w:rPr>
                <w:b/>
                <w:color w:val="000000"/>
              </w:rPr>
            </w:pPr>
            <w:r>
              <w:rPr>
                <w:b/>
                <w:color w:val="000000"/>
              </w:rPr>
              <w:t>Other Information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During the three months ended June 30, 2023, no directors or officers of the Company adopted or terminated a “Rule 10b5-1 trading arrangement” or a “non-Rule 10b5-1 trading arrangement,” as each term is defined in Item 408 of Regulation S-K.</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Normal"/>
        <w:bidi w:val="0"/>
        <w:spacing w:before="0" w:after="0"/>
        <w:jc w:val="left"/>
        <w:rPr>
          <w:sz w:val="4"/>
          <w:szCs w:val="4"/>
        </w:rPr>
      </w:pPr>
      <w:r>
        <w:rPr>
          <w:sz w:val="4"/>
          <w:szCs w:val="4"/>
        </w:rPr>
      </w:r>
      <w:bookmarkStart w:id="28" w:name="Exhibits"/>
      <w:bookmarkStart w:id="29" w:name="Exhibits"/>
      <w:bookmarkEnd w:id="29"/>
    </w:p>
    <w:tbl>
      <w:tblPr>
        <w:tblW w:w="1615" w:type="dxa"/>
        <w:jc w:val="left"/>
        <w:tblInd w:w="0" w:type="dxa"/>
        <w:tblLayout w:type="fixed"/>
        <w:tblCellMar>
          <w:top w:w="0" w:type="dxa"/>
          <w:left w:w="0" w:type="dxa"/>
          <w:bottom w:w="0" w:type="dxa"/>
          <w:right w:w="0" w:type="dxa"/>
        </w:tblCellMar>
      </w:tblPr>
      <w:tblGrid>
        <w:gridCol w:w="740"/>
        <w:gridCol w:w="875"/>
      </w:tblGrid>
      <w:tr>
        <w:trPr/>
        <w:tc>
          <w:tcPr>
            <w:tcW w:w="740" w:type="dxa"/>
            <w:tcBorders/>
            <w:vAlign w:val="center"/>
          </w:tcPr>
          <w:p>
            <w:pPr>
              <w:pStyle w:val="TableContents"/>
              <w:bidi w:val="0"/>
              <w:spacing w:before="0" w:after="283"/>
              <w:jc w:val="left"/>
              <w:rPr>
                <w:b/>
                <w:color w:val="000000"/>
              </w:rPr>
            </w:pPr>
            <w:r>
              <w:rPr>
                <w:b/>
                <w:color w:val="000000"/>
              </w:rPr>
              <w:t>Item 6.</w:t>
            </w:r>
          </w:p>
        </w:tc>
        <w:tc>
          <w:tcPr>
            <w:tcW w:w="875" w:type="dxa"/>
            <w:tcBorders/>
            <w:vAlign w:val="center"/>
          </w:tcPr>
          <w:p>
            <w:pPr>
              <w:pStyle w:val="TableContents"/>
              <w:bidi w:val="0"/>
              <w:spacing w:before="0" w:after="0"/>
              <w:jc w:val="left"/>
              <w:rPr>
                <w:b/>
                <w:color w:val="000000"/>
              </w:rPr>
            </w:pPr>
            <w:r>
              <w:rPr>
                <w:b/>
                <w:color w:val="000000"/>
              </w:rPr>
              <w:t>Exhibits</w:t>
            </w:r>
          </w:p>
        </w:tc>
      </w:tr>
    </w:tbl>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875"/>
        <w:gridCol w:w="60"/>
        <w:gridCol w:w="9270"/>
      </w:tblGrid>
      <w:tr>
        <w:trPr/>
        <w:tc>
          <w:tcPr>
            <w:tcW w:w="875" w:type="dxa"/>
            <w:tcBorders>
              <w:bottom w:val="single" w:sz="12" w:space="0" w:color="000000"/>
            </w:tcBorders>
            <w:vAlign w:val="center"/>
          </w:tcPr>
          <w:p>
            <w:pPr>
              <w:pStyle w:val="TableContents"/>
              <w:bidi w:val="0"/>
              <w:spacing w:before="0" w:after="0"/>
              <w:jc w:val="center"/>
              <w:rPr>
                <w:b/>
                <w:color w:val="000000"/>
              </w:rPr>
            </w:pPr>
            <w:r>
              <w:rPr>
                <w:b/>
                <w:color w:val="000000"/>
              </w:rPr>
              <w:t>Exhibit</w:t>
            </w:r>
          </w:p>
          <w:p>
            <w:pPr>
              <w:pStyle w:val="TableContents"/>
              <w:bidi w:val="0"/>
              <w:spacing w:before="0" w:after="0"/>
              <w:jc w:val="center"/>
              <w:rPr>
                <w:b/>
                <w:color w:val="000000"/>
              </w:rPr>
            </w:pPr>
            <w:r>
              <w:rPr>
                <w:b/>
                <w:color w:val="000000"/>
              </w:rPr>
              <w:t>Number</w:t>
            </w:r>
          </w:p>
        </w:tc>
        <w:tc>
          <w:tcPr>
            <w:tcW w:w="60" w:type="dxa"/>
            <w:tcBorders/>
            <w:tcMar>
              <w:bottom w:w="0" w:type="dxa"/>
            </w:tcMar>
            <w:vAlign w:val="center"/>
          </w:tcPr>
          <w:p>
            <w:pPr>
              <w:pStyle w:val="TableContents"/>
              <w:bidi w:val="0"/>
              <w:spacing w:before="0" w:after="283"/>
              <w:jc w:val="left"/>
              <w:rPr/>
            </w:pPr>
            <w:r>
              <w:rPr/>
              <w:t> </w:t>
            </w:r>
          </w:p>
        </w:tc>
        <w:tc>
          <w:tcPr>
            <w:tcW w:w="9270" w:type="dxa"/>
            <w:tcBorders>
              <w:bottom w:val="single" w:sz="12" w:space="0" w:color="000000"/>
            </w:tcBorders>
            <w:vAlign w:val="center"/>
          </w:tcPr>
          <w:p>
            <w:pPr>
              <w:pStyle w:val="TableContents"/>
              <w:bidi w:val="0"/>
              <w:spacing w:before="0" w:after="0"/>
              <w:jc w:val="center"/>
              <w:rPr>
                <w:b/>
                <w:color w:val="000000"/>
              </w:rPr>
            </w:pPr>
            <w:r>
              <w:rPr>
                <w:b/>
                <w:color w:val="000000"/>
              </w:rPr>
              <w:t>Description</w:t>
            </w:r>
          </w:p>
        </w:tc>
      </w:tr>
      <w:tr>
        <w:trPr/>
        <w:tc>
          <w:tcPr>
            <w:tcW w:w="875" w:type="dxa"/>
            <w:tcBorders/>
            <w:shd w:fill="CCEEFF" w:val="clear"/>
            <w:tcMar>
              <w:bottom w:w="0" w:type="dxa"/>
            </w:tcMar>
            <w:vAlign w:val="center"/>
          </w:tcPr>
          <w:p>
            <w:pPr>
              <w:pStyle w:val="TableContents"/>
              <w:bidi w:val="0"/>
              <w:spacing w:before="0" w:after="0"/>
              <w:jc w:val="left"/>
              <w:rPr/>
            </w:pPr>
            <w:hyperlink r:id="rId2">
              <w:r>
                <w:rPr>
                  <w:rStyle w:val="InternetLink"/>
                </w:rPr>
                <w:t>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0"/>
              <w:jc w:val="both"/>
              <w:rPr>
                <w:color w:val="000000"/>
              </w:rPr>
            </w:pPr>
            <w:r>
              <w:rPr>
                <w:color w:val="000000"/>
              </w:rPr>
              <w:t>Securities Purchase Agreement, dated April 1, 2023, by and among South Plains Financial, Inc., City Bank and Alliant Insurance Services, Inc. (incorporated by reference to Exhibit 2.1 to the Company’s Current Report on Form 8-K filed with the SEC on April 4, 2023) (File No. 001-38895).</w:t>
            </w:r>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shd w:fill="CCEEFF" w:val="clear"/>
            <w:tcMar>
              <w:bottom w:w="0" w:type="dxa"/>
            </w:tcMar>
            <w:vAlign w:val="center"/>
          </w:tcPr>
          <w:p>
            <w:pPr>
              <w:pStyle w:val="TableContents"/>
              <w:bidi w:val="0"/>
              <w:spacing w:before="0" w:after="0"/>
              <w:jc w:val="left"/>
              <w:rPr/>
            </w:pPr>
            <w:hyperlink r:id="rId3">
              <w:r>
                <w:rPr>
                  <w:rStyle w:val="InternetLink"/>
                </w:rPr>
                <w:t>3.1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0"/>
              <w:jc w:val="both"/>
              <w:rPr>
                <w:color w:val="000000"/>
              </w:rPr>
            </w:pPr>
            <w:r>
              <w:rPr>
                <w:color w:val="000000"/>
              </w:rPr>
              <w:t>Amended and Restated Certificate of Formation of South Plains Financial, Inc. (incorporated by reference to Exhibit 3.1 to the Company’s Form S-1 filed with the SEC on April 12, 2019) (File No. 333-230851).</w:t>
            </w:r>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shd w:fill="CCEEFF" w:val="clear"/>
            <w:tcMar>
              <w:bottom w:w="0" w:type="dxa"/>
            </w:tcMar>
            <w:vAlign w:val="center"/>
          </w:tcPr>
          <w:p>
            <w:pPr>
              <w:pStyle w:val="TableContents"/>
              <w:bidi w:val="0"/>
              <w:spacing w:before="0" w:after="0"/>
              <w:jc w:val="left"/>
              <w:rPr/>
            </w:pPr>
            <w:hyperlink r:id="rId4">
              <w:r>
                <w:rPr>
                  <w:rStyle w:val="InternetLink"/>
                </w:rPr>
                <w:t>3.2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0"/>
              <w:jc w:val="both"/>
              <w:rPr>
                <w:color w:val="000000"/>
              </w:rPr>
            </w:pPr>
            <w:r>
              <w:rPr>
                <w:color w:val="000000"/>
              </w:rPr>
              <w:t>Second Amended and Restated Bylaws of South Plains Financial, Inc. (incorporated by reference to Exhibit 3.1 to the Company’s Current Report on Form 8-K filed with the SEC on November 1, 2021) (File No. 001-38895).</w:t>
            </w:r>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shd w:fill="CCEEFF" w:val="clear"/>
            <w:tcMar>
              <w:bottom w:w="0" w:type="dxa"/>
            </w:tcMar>
            <w:vAlign w:val="center"/>
          </w:tcPr>
          <w:p>
            <w:pPr>
              <w:pStyle w:val="TableContents"/>
              <w:bidi w:val="0"/>
              <w:spacing w:before="0" w:after="0"/>
              <w:jc w:val="left"/>
              <w:rPr/>
            </w:pPr>
            <w:hyperlink w:anchor="brhc20057010_ex31-1.htm">
              <w:r>
                <w:rPr>
                  <w:rStyle w:val="InternetLink"/>
                  <w:color w:val="000000"/>
                </w:rPr>
                <w:t>31.1*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0"/>
              <w:jc w:val="both"/>
              <w:rPr>
                <w:color w:val="000000"/>
              </w:rPr>
            </w:pPr>
            <w:r>
              <w:rPr>
                <w:color w:val="000000"/>
              </w:rPr>
              <w:t>Certification of Principal Executive Officer pursuant to Section 302 of the Sarbanes-Oxley Act of 2002.</w:t>
            </w:r>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shd w:fill="CCEEFF" w:val="clear"/>
            <w:tcMar>
              <w:bottom w:w="0" w:type="dxa"/>
            </w:tcMar>
            <w:vAlign w:val="center"/>
          </w:tcPr>
          <w:p>
            <w:pPr>
              <w:pStyle w:val="TableContents"/>
              <w:bidi w:val="0"/>
              <w:spacing w:before="0" w:after="0"/>
              <w:jc w:val="left"/>
              <w:rPr/>
            </w:pPr>
            <w:hyperlink w:anchor="brhc20057010_ex31-2.htm">
              <w:r>
                <w:rPr>
                  <w:rStyle w:val="InternetLink"/>
                  <w:color w:val="000000"/>
                </w:rPr>
                <w:t>31.2*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0"/>
              <w:jc w:val="both"/>
              <w:rPr>
                <w:color w:val="000000"/>
              </w:rPr>
            </w:pPr>
            <w:r>
              <w:rPr>
                <w:color w:val="000000"/>
              </w:rPr>
              <w:t>Certification of Principal Financial Officer pursuant to Section 302 of the Sarbanes-Oxley Act of 2002.</w:t>
            </w:r>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shd w:fill="CCEEFF" w:val="clear"/>
            <w:tcMar>
              <w:bottom w:w="0" w:type="dxa"/>
            </w:tcMar>
            <w:vAlign w:val="center"/>
          </w:tcPr>
          <w:p>
            <w:pPr>
              <w:pStyle w:val="TableContents"/>
              <w:bidi w:val="0"/>
              <w:spacing w:before="0" w:after="0"/>
              <w:jc w:val="left"/>
              <w:rPr/>
            </w:pPr>
            <w:hyperlink w:anchor="brhc20057010_ex32-1.htm">
              <w:r>
                <w:rPr>
                  <w:rStyle w:val="InternetLink"/>
                  <w:color w:val="000000"/>
                </w:rPr>
                <w:t>32.1**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0"/>
              <w:jc w:val="both"/>
              <w:rPr>
                <w:color w:val="000000"/>
              </w:rPr>
            </w:pPr>
            <w:r>
              <w:rPr>
                <w:color w:val="000000"/>
              </w:rPr>
              <w:t>Certification of Chief Executive Officer pursuant to Section 906 of the Sarbanes-Oxley Act of 2002.</w:t>
            </w:r>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shd w:fill="CCEEFF" w:val="clear"/>
            <w:tcMar>
              <w:bottom w:w="0" w:type="dxa"/>
            </w:tcMar>
            <w:vAlign w:val="center"/>
          </w:tcPr>
          <w:p>
            <w:pPr>
              <w:pStyle w:val="TableContents"/>
              <w:bidi w:val="0"/>
              <w:spacing w:before="0" w:after="0"/>
              <w:jc w:val="left"/>
              <w:rPr/>
            </w:pPr>
            <w:hyperlink w:anchor="brhc20057010_ex32-2.htm">
              <w:r>
                <w:rPr>
                  <w:rStyle w:val="InternetLink"/>
                  <w:color w:val="000000"/>
                </w:rPr>
                <w:t>32.2**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0"/>
              <w:jc w:val="both"/>
              <w:rPr>
                <w:color w:val="000000"/>
              </w:rPr>
            </w:pPr>
            <w:r>
              <w:rPr>
                <w:color w:val="000000"/>
              </w:rPr>
              <w:t>Certification of Chief Financial Officer pursuant to Section 906 of the Sarbanes-Oxley Act of 2002.</w:t>
            </w:r>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shd w:fill="CCEEFF" w:val="clear"/>
            <w:tcMar>
              <w:bottom w:w="0" w:type="dxa"/>
            </w:tcMar>
            <w:vAlign w:val="center"/>
          </w:tcPr>
          <w:p>
            <w:pPr>
              <w:pStyle w:val="TableContents"/>
              <w:bidi w:val="0"/>
              <w:spacing w:before="0" w:after="0"/>
              <w:jc w:val="left"/>
              <w:rPr>
                <w:color w:val="000000"/>
              </w:rPr>
            </w:pPr>
            <w:r>
              <w:rPr>
                <w:color w:val="00000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70" w:type="dxa"/>
            <w:tcBorders/>
            <w:shd w:fill="CCEEFF" w:val="clear"/>
            <w:tcMar>
              <w:bottom w:w="0" w:type="dxa"/>
            </w:tcMar>
            <w:vAlign w:val="center"/>
          </w:tcPr>
          <w:p>
            <w:pPr>
              <w:pStyle w:val="TableContents"/>
              <w:bidi w:val="0"/>
              <w:spacing w:before="0" w:after="0"/>
              <w:jc w:val="both"/>
              <w:rPr>
                <w:color w:val="000000"/>
              </w:rPr>
            </w:pPr>
            <w:r>
              <w:rPr>
                <w:color w:val="000000"/>
              </w:rPr>
              <w:t>The following material from South Plains Financial, Inc.’s Form 10-Q for the quarter ended June 30, 2023, formatted in XBRL (eXtensible Business Reporting Language), filed herewith: (i) Consolidated Balance Sheets, (ii) Consolidated Statements of Comprehensive Income, (iii) Consolidated Statements of Changes in Stockholders’ Equity, (iv) Consolidated Statements of Cash Flows, and (v) Notes to Unaudited Consolidated Financial Statements.</w:t>
            </w:r>
          </w:p>
        </w:tc>
      </w:tr>
    </w:tbl>
    <w:p>
      <w:pPr>
        <w:pStyle w:val="TextBody"/>
        <w:bidi w:val="0"/>
        <w:spacing w:before="0" w:after="0"/>
        <w:jc w:val="left"/>
        <w:rPr/>
      </w:pPr>
      <w:r>
        <w:rPr/>
      </w:r>
    </w:p>
    <w:tbl>
      <w:tblPr>
        <w:tblW w:w="2665" w:type="dxa"/>
        <w:jc w:val="left"/>
        <w:tblInd w:w="0" w:type="dxa"/>
        <w:tblLayout w:type="fixed"/>
        <w:tblCellMar>
          <w:top w:w="0" w:type="dxa"/>
          <w:left w:w="0" w:type="dxa"/>
          <w:bottom w:w="0" w:type="dxa"/>
          <w:right w:w="0" w:type="dxa"/>
        </w:tblCellMar>
      </w:tblPr>
      <w:tblGrid>
        <w:gridCol w:w="155"/>
        <w:gridCol w:w="2510"/>
      </w:tblGrid>
      <w:tr>
        <w:trPr/>
        <w:tc>
          <w:tcPr>
            <w:tcW w:w="155" w:type="dxa"/>
            <w:tcBorders/>
            <w:vAlign w:val="center"/>
          </w:tcPr>
          <w:p>
            <w:pPr>
              <w:pStyle w:val="TableContents"/>
              <w:bidi w:val="0"/>
              <w:spacing w:before="0" w:after="283"/>
              <w:jc w:val="left"/>
              <w:rPr>
                <w:color w:val="222222"/>
              </w:rPr>
            </w:pPr>
            <w:r>
              <w:rPr>
                <w:color w:val="222222"/>
              </w:rPr>
              <w:t>*</w:t>
            </w:r>
          </w:p>
        </w:tc>
        <w:tc>
          <w:tcPr>
            <w:tcW w:w="2510" w:type="dxa"/>
            <w:tcBorders/>
            <w:vAlign w:val="center"/>
          </w:tcPr>
          <w:p>
            <w:pPr>
              <w:pStyle w:val="TableContents"/>
              <w:bidi w:val="0"/>
              <w:spacing w:before="0" w:after="0"/>
              <w:jc w:val="left"/>
              <w:rPr>
                <w:color w:val="222222"/>
              </w:rPr>
            </w:pPr>
            <w:r>
              <w:rPr>
                <w:color w:val="222222"/>
              </w:rPr>
              <w:t>Filed with this Form 10-Q</w:t>
            </w:r>
          </w:p>
        </w:tc>
      </w:tr>
    </w:tbl>
    <w:p>
      <w:pPr>
        <w:pStyle w:val="TextBody"/>
        <w:bidi w:val="0"/>
        <w:spacing w:before="0" w:after="0"/>
        <w:jc w:val="left"/>
        <w:rPr/>
      </w:pPr>
      <w:r>
        <w:rPr/>
      </w:r>
    </w:p>
    <w:tbl>
      <w:tblPr>
        <w:tblW w:w="3250" w:type="dxa"/>
        <w:jc w:val="left"/>
        <w:tblInd w:w="0" w:type="dxa"/>
        <w:tblLayout w:type="fixed"/>
        <w:tblCellMar>
          <w:top w:w="0" w:type="dxa"/>
          <w:left w:w="0" w:type="dxa"/>
          <w:bottom w:w="0" w:type="dxa"/>
          <w:right w:w="0" w:type="dxa"/>
        </w:tblCellMar>
      </w:tblPr>
      <w:tblGrid>
        <w:gridCol w:w="275"/>
        <w:gridCol w:w="2975"/>
      </w:tblGrid>
      <w:tr>
        <w:trPr/>
        <w:tc>
          <w:tcPr>
            <w:tcW w:w="275" w:type="dxa"/>
            <w:tcBorders/>
            <w:vAlign w:val="center"/>
          </w:tcPr>
          <w:p>
            <w:pPr>
              <w:pStyle w:val="TableContents"/>
              <w:bidi w:val="0"/>
              <w:spacing w:before="0" w:after="283"/>
              <w:jc w:val="left"/>
              <w:rPr>
                <w:color w:val="222222"/>
              </w:rPr>
            </w:pPr>
            <w:r>
              <w:rPr>
                <w:color w:val="222222"/>
              </w:rPr>
              <w:t>**</w:t>
            </w:r>
          </w:p>
        </w:tc>
        <w:tc>
          <w:tcPr>
            <w:tcW w:w="2975" w:type="dxa"/>
            <w:tcBorders/>
            <w:vAlign w:val="center"/>
          </w:tcPr>
          <w:p>
            <w:pPr>
              <w:pStyle w:val="TableContents"/>
              <w:bidi w:val="0"/>
              <w:spacing w:before="0" w:after="0"/>
              <w:jc w:val="left"/>
              <w:rPr>
                <w:color w:val="222222"/>
              </w:rPr>
            </w:pPr>
            <w:r>
              <w:rPr>
                <w:color w:val="222222"/>
              </w:rPr>
              <w:t>Furnished with this Form 10-Q</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bidi w:val="0"/>
        <w:spacing w:before="0" w:after="0"/>
        <w:jc w:val="center"/>
        <w:rPr>
          <w:rFonts w:ascii="Times New Roman" w:hAnsi="Times New Roman"/>
          <w:b/>
          <w:color w:val="000000"/>
          <w:sz w:val="20"/>
        </w:rPr>
      </w:pPr>
      <w:bookmarkStart w:id="30" w:name="SIGNATURES"/>
      <w:bookmarkEnd w:id="30"/>
      <w:r>
        <w:rPr>
          <w:rFonts w:ascii="Times New Roman" w:hAnsi="Times New Roman"/>
          <w:b/>
          <w:color w:val="000000"/>
          <w:sz w:val="20"/>
        </w:rPr>
        <w:t>SIGNATURES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065" w:type="dxa"/>
        <w:jc w:val="left"/>
        <w:tblInd w:w="0" w:type="dxa"/>
        <w:tblLayout w:type="fixed"/>
        <w:tblCellMar>
          <w:top w:w="0" w:type="dxa"/>
          <w:left w:w="0" w:type="dxa"/>
          <w:bottom w:w="0" w:type="dxa"/>
          <w:right w:w="0" w:type="dxa"/>
        </w:tblCellMar>
      </w:tblPr>
      <w:tblGrid>
        <w:gridCol w:w="530"/>
        <w:gridCol w:w="1490"/>
        <w:gridCol w:w="365"/>
        <w:gridCol w:w="3680"/>
      </w:tblGrid>
      <w:tr>
        <w:trPr/>
        <w:tc>
          <w:tcPr>
            <w:tcW w:w="2020" w:type="dxa"/>
            <w:gridSpan w:val="2"/>
            <w:tcBorders/>
            <w:vAlign w:val="center"/>
          </w:tcPr>
          <w:p>
            <w:pPr>
              <w:pStyle w:val="TableContents"/>
              <w:bidi w:val="0"/>
              <w:spacing w:before="0" w:after="283"/>
              <w:jc w:val="left"/>
              <w:rPr/>
            </w:pPr>
            <w:r>
              <w:rPr/>
              <w:t> </w:t>
            </w:r>
          </w:p>
        </w:tc>
        <w:tc>
          <w:tcPr>
            <w:tcW w:w="4045" w:type="dxa"/>
            <w:gridSpan w:val="2"/>
            <w:tcBorders/>
            <w:vAlign w:val="center"/>
          </w:tcPr>
          <w:p>
            <w:pPr>
              <w:pStyle w:val="TableContents"/>
              <w:bidi w:val="0"/>
              <w:spacing w:before="0" w:after="0"/>
              <w:jc w:val="left"/>
              <w:rPr>
                <w:b/>
                <w:color w:val="000000"/>
              </w:rPr>
            </w:pPr>
            <w:r>
              <w:rPr>
                <w:b/>
                <w:color w:val="000000"/>
              </w:rPr>
              <w:t>South Plains Financial, Inc.</w:t>
            </w:r>
          </w:p>
        </w:tc>
      </w:tr>
      <w:tr>
        <w:trPr/>
        <w:tc>
          <w:tcPr>
            <w:tcW w:w="202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0"/>
              <w:jc w:val="left"/>
              <w:rPr>
                <w:color w:val="000000"/>
              </w:rPr>
            </w:pPr>
            <w:r>
              <w:rPr>
                <w:color w:val="000000"/>
              </w:rPr>
              <w:t>Date:</w:t>
            </w:r>
          </w:p>
        </w:tc>
        <w:tc>
          <w:tcPr>
            <w:tcW w:w="1490" w:type="dxa"/>
            <w:tcBorders/>
            <w:vAlign w:val="center"/>
          </w:tcPr>
          <w:p>
            <w:pPr>
              <w:pStyle w:val="TableContents"/>
              <w:bidi w:val="0"/>
              <w:spacing w:before="0" w:after="0"/>
              <w:jc w:val="left"/>
              <w:rPr/>
            </w:pPr>
            <w:r>
              <w:rPr/>
              <w:t>August 7, 2023</w:t>
            </w:r>
          </w:p>
        </w:tc>
        <w:tc>
          <w:tcPr>
            <w:tcW w:w="365" w:type="dxa"/>
            <w:tcBorders/>
            <w:vAlign w:val="center"/>
          </w:tcPr>
          <w:p>
            <w:pPr>
              <w:pStyle w:val="TableContents"/>
              <w:bidi w:val="0"/>
              <w:spacing w:before="0" w:after="0"/>
              <w:jc w:val="left"/>
              <w:rPr>
                <w:color w:val="000000"/>
              </w:rPr>
            </w:pPr>
            <w:r>
              <w:rPr>
                <w:color w:val="000000"/>
              </w:rPr>
              <w:t>By:</w:t>
            </w:r>
          </w:p>
        </w:tc>
        <w:tc>
          <w:tcPr>
            <w:tcW w:w="3680"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/s/ Curtis C. Griffith</w:t>
            </w:r>
          </w:p>
        </w:tc>
      </w:tr>
      <w:tr>
        <w:trPr/>
        <w:tc>
          <w:tcPr>
            <w:tcW w:w="202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center"/>
              <w:rPr>
                <w:color w:val="000000"/>
              </w:rPr>
            </w:pPr>
            <w:r>
              <w:rPr>
                <w:color w:val="000000"/>
              </w:rPr>
              <w:t>Curtis C. Griffith</w:t>
            </w:r>
          </w:p>
        </w:tc>
      </w:tr>
      <w:tr>
        <w:trPr/>
        <w:tc>
          <w:tcPr>
            <w:tcW w:w="202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center"/>
              <w:rPr>
                <w:color w:val="000000"/>
              </w:rPr>
            </w:pPr>
            <w:r>
              <w:rPr>
                <w:color w:val="000000"/>
              </w:rPr>
              <w:t>Chairman and Chief Executive Officer</w:t>
            </w:r>
          </w:p>
        </w:tc>
      </w:tr>
      <w:tr>
        <w:trPr/>
        <w:tc>
          <w:tcPr>
            <w:tcW w:w="202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0"/>
              <w:jc w:val="left"/>
              <w:rPr>
                <w:color w:val="000000"/>
              </w:rPr>
            </w:pPr>
            <w:r>
              <w:rPr>
                <w:color w:val="000000"/>
              </w:rPr>
              <w:t>Date:</w:t>
            </w:r>
          </w:p>
        </w:tc>
        <w:tc>
          <w:tcPr>
            <w:tcW w:w="1490" w:type="dxa"/>
            <w:tcBorders/>
            <w:vAlign w:val="center"/>
          </w:tcPr>
          <w:p>
            <w:pPr>
              <w:pStyle w:val="TableContents"/>
              <w:bidi w:val="0"/>
              <w:spacing w:before="0" w:after="0"/>
              <w:jc w:val="left"/>
              <w:rPr/>
            </w:pPr>
            <w:r>
              <w:rPr/>
              <w:t>August 7, 2023</w:t>
            </w:r>
          </w:p>
        </w:tc>
        <w:tc>
          <w:tcPr>
            <w:tcW w:w="365" w:type="dxa"/>
            <w:tcBorders/>
            <w:vAlign w:val="center"/>
          </w:tcPr>
          <w:p>
            <w:pPr>
              <w:pStyle w:val="TableContents"/>
              <w:bidi w:val="0"/>
              <w:spacing w:before="0" w:after="0"/>
              <w:jc w:val="left"/>
              <w:rPr>
                <w:color w:val="000000"/>
              </w:rPr>
            </w:pPr>
            <w:r>
              <w:rPr>
                <w:color w:val="000000"/>
              </w:rPr>
              <w:t>By:</w:t>
            </w:r>
          </w:p>
        </w:tc>
        <w:tc>
          <w:tcPr>
            <w:tcW w:w="3680"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/s/ Steven B. Crockett</w:t>
            </w:r>
          </w:p>
        </w:tc>
      </w:tr>
      <w:tr>
        <w:trPr/>
        <w:tc>
          <w:tcPr>
            <w:tcW w:w="202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center"/>
              <w:rPr>
                <w:color w:val="000000"/>
              </w:rPr>
            </w:pPr>
            <w:r>
              <w:rPr>
                <w:color w:val="000000"/>
              </w:rPr>
              <w:t>Steven B. Crockett</w:t>
            </w:r>
          </w:p>
        </w:tc>
      </w:tr>
      <w:tr>
        <w:trPr/>
        <w:tc>
          <w:tcPr>
            <w:tcW w:w="2020"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center"/>
              <w:rPr>
                <w:color w:val="000000"/>
              </w:rPr>
            </w:pPr>
            <w:r>
              <w:rPr>
                <w:color w:val="000000"/>
              </w:rPr>
              <w:t>Chief Financial Officer and Treasurer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b w:val="false"/>
          <w:i w:val="false"/>
          <w:caps w:val="false"/>
          <w:smallCaps w:val="false"/>
          <w:color w:val="000000"/>
          <w:sz w:val="16"/>
        </w:rPr>
        <w:t>59</w:t>
      </w:r>
      <w:r>
        <w:rPr>
          <w:rFonts w:ascii="Times New Roman" w:hAnsi="Times New Roman"/>
          <w:color w:val="000000"/>
          <w:sz w:val="20"/>
        </w:rPr>
        <w:t xml:space="preserve"> </w:t>
      </w:r>
    </w:p>
    <w:p>
      <w:pPr>
        <w:pStyle w:val="HorizontalLine"/>
        <w:bidi w:val="0"/>
        <w:jc w:val="left"/>
        <w:rPr/>
      </w:pPr>
      <w:r>
        <w:rPr/>
      </w:r>
    </w:p>
    <w:p>
      <w:pPr>
        <w:pStyle w:val="HorizontalLine"/>
        <w:pBdr>
          <w:bottom w:val="single" w:sz="12" w:space="0" w:color="808080"/>
        </w:pBdr>
        <w:bidi w:val="0"/>
        <w:jc w:val="left"/>
        <w:rPr/>
      </w:pPr>
      <w:r>
        <w:rPr/>
      </w:r>
      <w:bookmarkStart w:id="31" w:name="brhc20057010_ex31-1.htm"/>
      <w:bookmarkStart w:id="32" w:name="ksbrhc20057010_ex311"/>
      <w:bookmarkStart w:id="33" w:name="brhc20057010_ex31-1.htm"/>
      <w:bookmarkStart w:id="34" w:name="ksbrhc20057010_ex311"/>
      <w:bookmarkEnd w:id="33"/>
      <w:bookmarkEnd w:id="34"/>
      <w:r>
        <w:br w:type="page"/>
      </w:r>
    </w:p>
    <w:p>
      <w:pPr>
        <w:pStyle w:val="TextBody"/>
        <w:bidi w:val="0"/>
        <w:spacing w:before="0" w:after="0"/>
        <w:jc w:val="right"/>
        <w:rPr>
          <w:b/>
        </w:rPr>
      </w:pPr>
      <w:r>
        <w:rPr>
          <w:b/>
        </w:rPr>
        <w:t>Exhibit 31.1</w:t>
      </w:r>
    </w:p>
    <w:p>
      <w:pPr>
        <w:pStyle w:val="TextBody"/>
        <w:bidi w:val="0"/>
        <w:spacing w:before="0" w:after="0"/>
        <w:jc w:val="left"/>
        <w:rPr/>
      </w:pPr>
      <w:r>
        <w:rPr/>
      </w:r>
    </w:p>
    <w:p>
      <w:pPr>
        <w:pStyle w:val="TextBody"/>
        <w:bidi w:val="0"/>
        <w:spacing w:before="0" w:after="0"/>
        <w:jc w:val="center"/>
        <w:rPr>
          <w:b/>
        </w:rPr>
      </w:pPr>
      <w:r>
        <w:rPr>
          <w:b/>
        </w:rPr>
        <w:t>CERTIFICATION PURSUANT TO</w:t>
      </w:r>
    </w:p>
    <w:p>
      <w:pPr>
        <w:pStyle w:val="TextBody"/>
        <w:bidi w:val="0"/>
        <w:spacing w:before="0" w:after="0"/>
        <w:jc w:val="center"/>
        <w:rPr>
          <w:b/>
        </w:rPr>
      </w:pPr>
      <w:r>
        <w:rPr>
          <w:b/>
        </w:rPr>
        <w:t>RULES 13a-14(a) AND 15d-14(a) UNDER THE SECURITIES EXCHANGE ACT OF 1934,</w:t>
      </w:r>
    </w:p>
    <w:p>
      <w:pPr>
        <w:pStyle w:val="TextBody"/>
        <w:bidi w:val="0"/>
        <w:spacing w:before="0" w:after="0"/>
        <w:jc w:val="center"/>
        <w:rPr>
          <w:b/>
        </w:rPr>
      </w:pPr>
      <w:r>
        <w:rPr>
          <w:b/>
        </w:rPr>
        <w:t>AS ADOPTED PURSUANT TO SECTION 302 OF THE SARBANES-OXLEY ACT OF 2002</w:t>
      </w:r>
    </w:p>
    <w:p>
      <w:pPr>
        <w:pStyle w:val="TextBody"/>
        <w:bidi w:val="0"/>
        <w:spacing w:before="0" w:after="0"/>
        <w:jc w:val="left"/>
        <w:rPr/>
      </w:pPr>
      <w:r>
        <w:rPr/>
      </w:r>
    </w:p>
    <w:p>
      <w:pPr>
        <w:pStyle w:val="TextBody"/>
        <w:bidi w:val="0"/>
        <w:spacing w:before="0" w:after="0"/>
        <w:jc w:val="both"/>
        <w:rPr/>
      </w:pPr>
      <w:r>
        <w:rPr/>
        <w:t>I, Curtis C. Griffith,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 w:name="z4eaa81b8f5924dd0b4bf7fee10e83c8b"/>
      <w:bookmarkStart w:id="36" w:name="z4eaa81b8f5924dd0b4bf7fee10e83c8b"/>
      <w:bookmarkEnd w:id="36"/>
    </w:p>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283"/>
              <w:jc w:val="left"/>
              <w:rPr>
                <w:color w:val="000000"/>
              </w:rPr>
            </w:pPr>
            <w:r>
              <w:rPr>
                <w:color w:val="000000"/>
              </w:rPr>
              <w:t>1.</w:t>
            </w:r>
          </w:p>
        </w:tc>
        <w:tc>
          <w:tcPr>
            <w:tcW w:w="10010" w:type="dxa"/>
            <w:tcBorders/>
            <w:vAlign w:val="center"/>
          </w:tcPr>
          <w:p>
            <w:pPr>
              <w:pStyle w:val="TableContents"/>
              <w:bidi w:val="0"/>
              <w:spacing w:before="0" w:after="0"/>
              <w:jc w:val="both"/>
              <w:rPr>
                <w:color w:val="000000"/>
              </w:rPr>
            </w:pPr>
            <w:r>
              <w:rPr>
                <w:color w:val="000000"/>
              </w:rPr>
              <w:t>I have reviewed this Quarterly Report on Form 10-Q of South Plains Financial, Inc. (the “registrant”) for the quarter ended June 30, 2023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7" w:name="z748c236525fe4a32a3995ce84e47e678"/>
      <w:bookmarkStart w:id="38" w:name="z748c236525fe4a32a3995ce84e47e678"/>
      <w:bookmarkEnd w:id="38"/>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color w:val="000000"/>
              </w:rPr>
            </w:pPr>
            <w:r>
              <w:rPr>
                <w:color w:val="000000"/>
              </w:rPr>
              <w:t>2.</w:t>
            </w:r>
          </w:p>
        </w:tc>
        <w:tc>
          <w:tcPr>
            <w:tcW w:w="10031" w:type="dxa"/>
            <w:tcBorders/>
            <w:vAlign w:val="center"/>
          </w:tcPr>
          <w:p>
            <w:pPr>
              <w:pStyle w:val="TableContents"/>
              <w:bidi w:val="0"/>
              <w:spacing w:before="0" w:after="0"/>
              <w:jc w:val="both"/>
              <w:rPr>
                <w:color w:val="000000"/>
              </w:rPr>
            </w:pPr>
            <w:r>
              <w:rPr>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9" w:name="z690d4d37ec514dc4997cc691de3bb9ea"/>
      <w:bookmarkStart w:id="40" w:name="z690d4d37ec514dc4997cc691de3bb9ea"/>
      <w:bookmarkEnd w:id="40"/>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1" w:name="z03e29479aaf24b0d84a898a8c6f2719a"/>
      <w:bookmarkStart w:id="42" w:name="z03e29479aaf24b0d84a898a8c6f2719a"/>
      <w:bookmarkEnd w:id="42"/>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0"/>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3" w:name="z6f0e186b0d8142a3a0415eeb5f3360e4"/>
      <w:bookmarkStart w:id="44" w:name="z6f0e186b0d8142a3a0415eeb5f3360e4"/>
      <w:bookmarkEnd w:id="44"/>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5" w:name="z001696c74ce745d9afd3c01033510f0f"/>
      <w:bookmarkStart w:id="46" w:name="z001696c74ce745d9afd3c01033510f0f"/>
      <w:bookmarkEnd w:id="46"/>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7" w:name="z2b0a5e93cdaa49c6a73e6fd0fc5e6c75"/>
      <w:bookmarkStart w:id="48" w:name="z2b0a5e93cdaa49c6a73e6fd0fc5e6c75"/>
      <w:bookmarkEnd w:id="48"/>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pPr>
            <w:r>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9" w:name="z2182a8d8077044c8b480efd14608d71c"/>
      <w:bookmarkStart w:id="50" w:name="z2182a8d8077044c8b480efd14608d71c"/>
      <w:bookmarkEnd w:id="50"/>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1" w:name="zcc8dde8f7a4242269865dde786f8cd59"/>
      <w:bookmarkStart w:id="52" w:name="zcc8dde8f7a4242269865dde786f8cd59"/>
      <w:bookmarkEnd w:id="52"/>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3" w:name="z047ddda863004aff8a69e82d5c6790cb"/>
      <w:bookmarkStart w:id="54" w:name="z047ddda863004aff8a69e82d5c6790cb"/>
      <w:bookmarkEnd w:id="54"/>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pPr>
            <w:r>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5" w:name="z7ef1e63f17b041f1aeca80b5db3cd176"/>
      <w:bookmarkStart w:id="56" w:name="z7ef1e63f17b041f1aeca80b5db3cd176"/>
      <w:bookmarkEnd w:id="56"/>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7" w:name="zecfd267425004477872718380da6a692"/>
      <w:bookmarkStart w:id="58" w:name="zecfd267425004477872718380da6a692"/>
      <w:bookmarkEnd w:id="58"/>
    </w:p>
    <w:tbl>
      <w:tblPr>
        <w:tblW w:w="6105" w:type="dxa"/>
        <w:jc w:val="left"/>
        <w:tblInd w:w="0" w:type="dxa"/>
        <w:tblLayout w:type="fixed"/>
        <w:tblCellMar>
          <w:top w:w="0" w:type="dxa"/>
          <w:left w:w="0" w:type="dxa"/>
          <w:bottom w:w="0" w:type="dxa"/>
          <w:right w:w="0" w:type="dxa"/>
        </w:tblCellMar>
      </w:tblPr>
      <w:tblGrid>
        <w:gridCol w:w="2060"/>
        <w:gridCol w:w="365"/>
        <w:gridCol w:w="3680"/>
      </w:tblGrid>
      <w:tr>
        <w:trPr/>
        <w:tc>
          <w:tcPr>
            <w:tcW w:w="2060" w:type="dxa"/>
            <w:tcBorders/>
            <w:vAlign w:val="center"/>
          </w:tcPr>
          <w:p>
            <w:pPr>
              <w:pStyle w:val="TableContents"/>
              <w:bidi w:val="0"/>
              <w:spacing w:before="0" w:after="0"/>
              <w:jc w:val="left"/>
              <w:rPr/>
            </w:pPr>
            <w:r>
              <w:rPr/>
              <w:t>Date: August 7, 2023</w:t>
            </w:r>
          </w:p>
        </w:tc>
        <w:tc>
          <w:tcPr>
            <w:tcW w:w="365" w:type="dxa"/>
            <w:tcBorders/>
            <w:vAlign w:val="center"/>
          </w:tcPr>
          <w:p>
            <w:pPr>
              <w:pStyle w:val="TableContents"/>
              <w:bidi w:val="0"/>
              <w:spacing w:before="0" w:after="0"/>
              <w:jc w:val="left"/>
              <w:rPr/>
            </w:pPr>
            <w:r>
              <w:rPr/>
              <w:t>By:</w:t>
            </w:r>
          </w:p>
        </w:tc>
        <w:tc>
          <w:tcPr>
            <w:tcW w:w="3680" w:type="dxa"/>
            <w:tcBorders>
              <w:bottom w:val="single" w:sz="12" w:space="0" w:color="000000"/>
            </w:tcBorders>
            <w:tcMar>
              <w:bottom w:w="28" w:type="dxa"/>
            </w:tcMar>
            <w:vAlign w:val="center"/>
          </w:tcPr>
          <w:p>
            <w:pPr>
              <w:pStyle w:val="TableContents"/>
              <w:bidi w:val="0"/>
              <w:spacing w:before="0" w:after="0"/>
              <w:jc w:val="center"/>
              <w:rPr/>
            </w:pPr>
            <w:r>
              <w:rPr/>
              <w:t>/s/ Curtis C. Griffith</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center"/>
              <w:rPr/>
            </w:pPr>
            <w:r>
              <w:rPr/>
              <w:t>Curtis C. Griffith</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center"/>
              <w:rPr/>
            </w:pPr>
            <w:r>
              <w:rPr/>
              <w:t>Chairman and 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9" w:name="brhc20057010_ex31-2.htm"/>
      <w:bookmarkStart w:id="60" w:name="ksbrhc20057010_ex312"/>
      <w:bookmarkStart w:id="61" w:name="brhc20057010_ex31-2.htm"/>
      <w:bookmarkStart w:id="62" w:name="ksbrhc20057010_ex312"/>
      <w:bookmarkEnd w:id="61"/>
      <w:bookmarkEnd w:id="62"/>
      <w:r>
        <w:br w:type="page"/>
      </w:r>
    </w:p>
    <w:p>
      <w:pPr>
        <w:pStyle w:val="TextBody"/>
        <w:bidi w:val="0"/>
        <w:spacing w:before="0" w:after="0"/>
        <w:jc w:val="right"/>
        <w:rPr>
          <w:rFonts w:ascii="Times New Roman" w:hAnsi="Times New Roman"/>
          <w:b/>
          <w:sz w:val="20"/>
        </w:rPr>
      </w:pPr>
      <w:r>
        <w:rPr>
          <w:rFonts w:ascii="Times New Roman" w:hAnsi="Times New Roman"/>
          <w:b/>
          <w:sz w:val="20"/>
        </w:rPr>
        <w:t>Exhibit 31.2</w:t>
      </w:r>
    </w:p>
    <w:p>
      <w:pPr>
        <w:pStyle w:val="TextBody"/>
        <w:bidi w:val="0"/>
        <w:spacing w:before="0" w:after="0"/>
        <w:jc w:val="left"/>
        <w:rPr>
          <w:b/>
        </w:rPr>
      </w:pPr>
      <w:r>
        <w:rPr>
          <w:b/>
        </w:rPr>
      </w:r>
    </w:p>
    <w:p>
      <w:pPr>
        <w:pStyle w:val="TextBody"/>
        <w:bidi w:val="0"/>
        <w:spacing w:before="0" w:after="0"/>
        <w:jc w:val="center"/>
        <w:rPr>
          <w:rFonts w:ascii="Times New Roman" w:hAnsi="Times New Roman"/>
          <w:b/>
          <w:sz w:val="20"/>
        </w:rPr>
      </w:pPr>
      <w:r>
        <w:rPr>
          <w:rFonts w:ascii="Times New Roman" w:hAnsi="Times New Roman"/>
          <w:b/>
          <w:sz w:val="20"/>
        </w:rPr>
        <w:t>CERTIFICATION PURSUANT TO</w:t>
      </w:r>
    </w:p>
    <w:p>
      <w:pPr>
        <w:pStyle w:val="TextBody"/>
        <w:bidi w:val="0"/>
        <w:spacing w:before="0" w:after="0"/>
        <w:jc w:val="center"/>
        <w:rPr>
          <w:rFonts w:ascii="Times New Roman" w:hAnsi="Times New Roman"/>
          <w:b/>
          <w:sz w:val="20"/>
        </w:rPr>
      </w:pPr>
      <w:r>
        <w:rPr>
          <w:rFonts w:ascii="Times New Roman" w:hAnsi="Times New Roman"/>
          <w:b/>
          <w:sz w:val="20"/>
        </w:rPr>
        <w:t>RULES 13a-14(a) AND 15d-14(a) UNDER THE SECURITIES EXCHANGE ACT OF 1934,</w:t>
      </w:r>
    </w:p>
    <w:p>
      <w:pPr>
        <w:pStyle w:val="TextBody"/>
        <w:bidi w:val="0"/>
        <w:spacing w:before="0" w:after="0"/>
        <w:jc w:val="center"/>
        <w:rPr>
          <w:rFonts w:ascii="Times New Roman" w:hAnsi="Times New Roman"/>
          <w:b/>
          <w:sz w:val="20"/>
        </w:rPr>
      </w:pPr>
      <w:r>
        <w:rPr>
          <w:rFonts w:ascii="Times New Roman" w:hAnsi="Times New Roman"/>
          <w:b/>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rFonts w:ascii="Times New Roman" w:hAnsi="Times New Roman"/>
          <w:sz w:val="20"/>
        </w:rPr>
      </w:pPr>
      <w:r>
        <w:rPr>
          <w:rFonts w:ascii="Times New Roman" w:hAnsi="Times New Roman"/>
          <w:sz w:val="20"/>
        </w:rPr>
        <w:t>I, Steven B. Crockett, certify that: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3" w:name="z21c562dc79074df79d8434b1447d4c20"/>
      <w:bookmarkStart w:id="64" w:name="z21c562dc79074df79d8434b1447d4c20"/>
      <w:bookmarkEnd w:id="64"/>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1002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 have reviewed this Quarterly Report on Form 10-Q of South Plains Financial, Inc. (the “registrant”) for the quarter ended June 30, 2023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5" w:name="z0a076a4a121749e39f4809f15c0e03b2"/>
      <w:bookmarkStart w:id="66" w:name="z0a076a4a121749e39f4809f15c0e03b2"/>
      <w:bookmarkEnd w:id="66"/>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w:t>
            </w:r>
          </w:p>
        </w:tc>
        <w:tc>
          <w:tcPr>
            <w:tcW w:w="1004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7" w:name="z9ed4b96a83a542c0b73dfb7ddcc1de3e"/>
      <w:bookmarkStart w:id="68" w:name="z9ed4b96a83a542c0b73dfb7ddcc1de3e"/>
      <w:bookmarkEnd w:id="68"/>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w:t>
            </w:r>
          </w:p>
        </w:tc>
        <w:tc>
          <w:tcPr>
            <w:tcW w:w="1004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9" w:name="zffdb8f96203c4549805ffeff6f6e8516"/>
      <w:bookmarkStart w:id="70" w:name="zffdb8f96203c4549805ffeff6f6e8516"/>
      <w:bookmarkEnd w:id="70"/>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w:t>
            </w:r>
          </w:p>
        </w:tc>
        <w:tc>
          <w:tcPr>
            <w:tcW w:w="1004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1" w:name="z7379e0cbab1c4896b97b6a83b7b83dfa"/>
      <w:bookmarkStart w:id="72" w:name="z7379e0cbab1c4896b97b6a83b7b83dfa"/>
      <w:bookmarkEnd w:id="72"/>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0"/>
              <w:jc w:val="left"/>
              <w:rPr/>
            </w:pPr>
            <w:r>
              <w:rPr/>
            </w:r>
          </w:p>
        </w:tc>
        <w:tc>
          <w:tcPr>
            <w:tcW w:w="1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t>
            </w:r>
          </w:p>
        </w:tc>
        <w:tc>
          <w:tcPr>
            <w:tcW w:w="997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3" w:name="z270c79d08bcf4355aa568c6d05a456ca"/>
      <w:bookmarkStart w:id="74" w:name="z270c79d08bcf4355aa568c6d05a456ca"/>
      <w:bookmarkEnd w:id="74"/>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w:t>
            </w:r>
          </w:p>
        </w:tc>
        <w:tc>
          <w:tcPr>
            <w:tcW w:w="992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5" w:name="z7b033fe10cec45209345d7b1d626b8ea"/>
      <w:bookmarkStart w:id="76" w:name="z7b033fe10cec45209345d7b1d626b8ea"/>
      <w:bookmarkEnd w:id="76"/>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w:t>
            </w:r>
          </w:p>
        </w:tc>
        <w:tc>
          <w:tcPr>
            <w:tcW w:w="99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7" w:name="z783ee5188f4f4a1aaf3f46b45480109d"/>
      <w:bookmarkStart w:id="78" w:name="z783ee5188f4f4a1aaf3f46b45480109d"/>
      <w:bookmarkEnd w:id="78"/>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w:t>
            </w:r>
          </w:p>
        </w:tc>
        <w:tc>
          <w:tcPr>
            <w:tcW w:w="992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both"/>
        <w:rPr/>
      </w:pPr>
      <w:r>
        <w:rPr/>
      </w:r>
    </w:p>
    <w:p>
      <w:pPr>
        <w:pStyle w:val="Normal"/>
        <w:bidi w:val="0"/>
        <w:spacing w:before="0" w:after="0"/>
        <w:jc w:val="left"/>
        <w:rPr>
          <w:sz w:val="4"/>
          <w:szCs w:val="4"/>
        </w:rPr>
      </w:pPr>
      <w:r>
        <w:rPr>
          <w:sz w:val="4"/>
          <w:szCs w:val="4"/>
        </w:rPr>
      </w:r>
      <w:bookmarkStart w:id="79" w:name="z5588feafd12843ac95f54dae6697628d"/>
      <w:bookmarkStart w:id="80" w:name="z5588feafd12843ac95f54dae6697628d"/>
      <w:bookmarkEnd w:id="80"/>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w:t>
            </w:r>
          </w:p>
        </w:tc>
        <w:tc>
          <w:tcPr>
            <w:tcW w:w="1004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1" w:name="z3e2f80870fcc4905bfd0b2cb4b80d20a"/>
      <w:bookmarkStart w:id="82" w:name="z3e2f80870fcc4905bfd0b2cb4b80d20a"/>
      <w:bookmarkEnd w:id="82"/>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t>
            </w:r>
          </w:p>
        </w:tc>
        <w:tc>
          <w:tcPr>
            <w:tcW w:w="993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3" w:name="z2f9ed73d9e7645029c7045cb4173940d"/>
      <w:bookmarkStart w:id="84" w:name="z2f9ed73d9e7645029c7045cb4173940d"/>
      <w:bookmarkEnd w:id="84"/>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w:t>
            </w:r>
          </w:p>
        </w:tc>
        <w:tc>
          <w:tcPr>
            <w:tcW w:w="990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4635" w:type="dxa"/>
        <w:jc w:val="left"/>
        <w:tblInd w:w="0" w:type="dxa"/>
        <w:tblLayout w:type="fixed"/>
        <w:tblCellMar>
          <w:top w:w="0" w:type="dxa"/>
          <w:left w:w="0" w:type="dxa"/>
          <w:bottom w:w="0" w:type="dxa"/>
          <w:right w:w="0" w:type="dxa"/>
        </w:tblCellMar>
      </w:tblPr>
      <w:tblGrid>
        <w:gridCol w:w="2060"/>
        <w:gridCol w:w="365"/>
        <w:gridCol w:w="2210"/>
      </w:tblGrid>
      <w:tr>
        <w:trPr/>
        <w:tc>
          <w:tcPr>
            <w:tcW w:w="2060" w:type="dxa"/>
            <w:tcBorders/>
            <w:vAlign w:val="center"/>
          </w:tcPr>
          <w:p>
            <w:pPr>
              <w:pStyle w:val="TableContents"/>
              <w:bidi w:val="0"/>
              <w:spacing w:before="0" w:after="0"/>
              <w:jc w:val="left"/>
              <w:rPr/>
            </w:pPr>
            <w:r>
              <w:rPr/>
              <w:t>Date: August 7, 2023</w:t>
            </w:r>
          </w:p>
        </w:tc>
        <w:tc>
          <w:tcPr>
            <w:tcW w:w="365" w:type="dxa"/>
            <w:tcBorders/>
            <w:vAlign w:val="center"/>
          </w:tcPr>
          <w:p>
            <w:pPr>
              <w:pStyle w:val="TableContents"/>
              <w:bidi w:val="0"/>
              <w:spacing w:before="0" w:after="0"/>
              <w:jc w:val="left"/>
              <w:rPr/>
            </w:pPr>
            <w:r>
              <w:rPr/>
              <w:t>By:</w:t>
            </w:r>
          </w:p>
        </w:tc>
        <w:tc>
          <w:tcPr>
            <w:tcW w:w="2210" w:type="dxa"/>
            <w:tcBorders>
              <w:bottom w:val="single" w:sz="12" w:space="0" w:color="000000"/>
            </w:tcBorders>
            <w:tcMar>
              <w:bottom w:w="28" w:type="dxa"/>
            </w:tcMar>
            <w:vAlign w:val="center"/>
          </w:tcPr>
          <w:p>
            <w:pPr>
              <w:pStyle w:val="TableContents"/>
              <w:bidi w:val="0"/>
              <w:spacing w:before="0" w:after="0"/>
              <w:jc w:val="center"/>
              <w:rPr/>
            </w:pPr>
            <w:r>
              <w:rPr/>
              <w:t>/s/ Steven B. Crockett</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center"/>
              <w:rPr/>
            </w:pPr>
            <w:r>
              <w:rPr/>
              <w:t>Steven B. Crockett</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center"/>
              <w:rPr/>
            </w:pPr>
            <w:r>
              <w:rPr/>
              <w:t>Chief Financial Officer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85" w:name="brhc20057010_ex32-1.htm"/>
      <w:bookmarkStart w:id="86" w:name="ksbrhc20057010_ex321"/>
      <w:bookmarkStart w:id="87" w:name="brhc20057010_ex32-1.htm"/>
      <w:bookmarkStart w:id="88" w:name="ksbrhc20057010_ex321"/>
      <w:bookmarkEnd w:id="87"/>
      <w:bookmarkEnd w:id="88"/>
      <w:r>
        <w:br w:type="page"/>
      </w:r>
    </w:p>
    <w:p>
      <w:pPr>
        <w:pStyle w:val="TextBody"/>
        <w:bidi w:val="0"/>
        <w:spacing w:before="0" w:after="0"/>
        <w:jc w:val="right"/>
        <w:rPr>
          <w:b/>
        </w:rPr>
      </w:pPr>
      <w:r>
        <w:rPr>
          <w:b/>
        </w:rPr>
        <w:t>Exhibit 32.1</w:t>
      </w:r>
    </w:p>
    <w:p>
      <w:pPr>
        <w:pStyle w:val="TextBody"/>
        <w:bidi w:val="0"/>
        <w:spacing w:before="0" w:after="0"/>
        <w:jc w:val="left"/>
        <w:rPr/>
      </w:pPr>
      <w:r>
        <w:rPr/>
      </w:r>
    </w:p>
    <w:p>
      <w:pPr>
        <w:pStyle w:val="TextBody"/>
        <w:bidi w:val="0"/>
        <w:spacing w:before="0" w:after="0"/>
        <w:jc w:val="center"/>
        <w:rPr>
          <w:b/>
        </w:rPr>
      </w:pPr>
      <w:r>
        <w:rPr>
          <w:b/>
        </w:rPr>
        <w:t>CERTIFICATION PURSUANT TO</w:t>
      </w:r>
    </w:p>
    <w:p>
      <w:pPr>
        <w:pStyle w:val="TextBody"/>
        <w:bidi w:val="0"/>
        <w:spacing w:before="0" w:after="0"/>
        <w:jc w:val="center"/>
        <w:rPr>
          <w:b/>
        </w:rPr>
      </w:pPr>
      <w:r>
        <w:rPr>
          <w:b/>
        </w:rPr>
        <w:t>18 U.S.C. SECTION 1350, AS ADOPTED PURSUANT TO</w:t>
      </w:r>
    </w:p>
    <w:p>
      <w:pPr>
        <w:pStyle w:val="TextBody"/>
        <w:bidi w:val="0"/>
        <w:spacing w:before="0" w:after="0"/>
        <w:jc w:val="center"/>
        <w:rPr>
          <w:b/>
        </w:rPr>
      </w:pPr>
      <w:r>
        <w:rPr>
          <w:b/>
        </w:rPr>
        <w:t>SECTION 906 OF THE SARBANES-OXLEY ACT OF 2002</w:t>
      </w:r>
    </w:p>
    <w:p>
      <w:pPr>
        <w:pStyle w:val="TextBody"/>
        <w:bidi w:val="0"/>
        <w:spacing w:before="0" w:after="0"/>
        <w:jc w:val="left"/>
        <w:rPr/>
      </w:pPr>
      <w:r>
        <w:rPr/>
      </w:r>
    </w:p>
    <w:p>
      <w:pPr>
        <w:pStyle w:val="TextBody"/>
        <w:bidi w:val="0"/>
        <w:spacing w:before="0" w:after="0"/>
        <w:jc w:val="both"/>
        <w:rPr/>
      </w:pPr>
      <w:r>
        <w:rPr/>
        <w:t>In connection with the Quarterly Report on Form 10-Q of South Plains Financial, Inc. (the “Company”) for the quarter ended June 30, 2023 (the “Report”), as filed with the Securities and Exchange Commission on the date hereof, I certify, pursuant to 18 U.S.C. § 1350, as adopted pursuant to § 906 of the Sarbanes-Oxley Act of 2002, that to the best of my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9" w:name="z72e9bcbebf94489a9e827f9fc1fdbf27"/>
      <w:bookmarkStart w:id="90" w:name="z72e9bcbebf94489a9e827f9fc1fdbf27"/>
      <w:bookmarkEnd w:id="90"/>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(1)</w:t>
            </w:r>
          </w:p>
        </w:tc>
        <w:tc>
          <w:tcPr>
            <w:tcW w:w="9862" w:type="dxa"/>
            <w:tcBorders/>
            <w:vAlign w:val="center"/>
          </w:tcPr>
          <w:p>
            <w:pPr>
              <w:pStyle w:val="TableContents"/>
              <w:bidi w:val="0"/>
              <w:spacing w:before="0" w:after="0"/>
              <w:jc w:val="both"/>
              <w:rPr/>
            </w:pPr>
            <w:r>
              <w:rPr/>
              <w:t>The Report fully complies with the requirements of Section 13(a) or Section 15(d) of the Securities Exchange Act of 1934, as amended;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1" w:name="zdb59010cd85e43b09929d8d30c400fe3"/>
      <w:bookmarkStart w:id="92" w:name="zdb59010cd85e43b09929d8d30c400fe3"/>
      <w:bookmarkEnd w:id="92"/>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3" w:name="z696c80f3f03c4146ba5c839963c19b79"/>
      <w:bookmarkStart w:id="94" w:name="z696c80f3f03c4146ba5c839963c19b79"/>
      <w:bookmarkEnd w:id="94"/>
    </w:p>
    <w:tbl>
      <w:tblPr>
        <w:tblW w:w="6105" w:type="dxa"/>
        <w:jc w:val="left"/>
        <w:tblInd w:w="0" w:type="dxa"/>
        <w:tblLayout w:type="fixed"/>
        <w:tblCellMar>
          <w:top w:w="0" w:type="dxa"/>
          <w:left w:w="0" w:type="dxa"/>
          <w:bottom w:w="0" w:type="dxa"/>
          <w:right w:w="0" w:type="dxa"/>
        </w:tblCellMar>
      </w:tblPr>
      <w:tblGrid>
        <w:gridCol w:w="2060"/>
        <w:gridCol w:w="365"/>
        <w:gridCol w:w="3680"/>
      </w:tblGrid>
      <w:tr>
        <w:trPr/>
        <w:tc>
          <w:tcPr>
            <w:tcW w:w="2060" w:type="dxa"/>
            <w:tcBorders/>
            <w:vAlign w:val="center"/>
          </w:tcPr>
          <w:p>
            <w:pPr>
              <w:pStyle w:val="TableContents"/>
              <w:bidi w:val="0"/>
              <w:spacing w:before="0" w:after="0"/>
              <w:jc w:val="left"/>
              <w:rPr/>
            </w:pPr>
            <w:r>
              <w:rPr/>
              <w:t>Date: August 7, 2023</w:t>
            </w:r>
          </w:p>
        </w:tc>
        <w:tc>
          <w:tcPr>
            <w:tcW w:w="365" w:type="dxa"/>
            <w:tcBorders/>
            <w:vAlign w:val="center"/>
          </w:tcPr>
          <w:p>
            <w:pPr>
              <w:pStyle w:val="TableContents"/>
              <w:bidi w:val="0"/>
              <w:spacing w:before="0" w:after="0"/>
              <w:jc w:val="left"/>
              <w:rPr/>
            </w:pPr>
            <w:r>
              <w:rPr/>
              <w:t>By:</w:t>
            </w:r>
          </w:p>
        </w:tc>
        <w:tc>
          <w:tcPr>
            <w:tcW w:w="3680" w:type="dxa"/>
            <w:tcBorders>
              <w:bottom w:val="single" w:sz="12" w:space="0" w:color="000000"/>
            </w:tcBorders>
            <w:tcMar>
              <w:bottom w:w="28" w:type="dxa"/>
            </w:tcMar>
            <w:vAlign w:val="center"/>
          </w:tcPr>
          <w:p>
            <w:pPr>
              <w:pStyle w:val="TableContents"/>
              <w:bidi w:val="0"/>
              <w:spacing w:before="0" w:after="0"/>
              <w:jc w:val="center"/>
              <w:rPr/>
            </w:pPr>
            <w:r>
              <w:rPr/>
              <w:t>/s/ Curtis C. Griffith</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center"/>
              <w:rPr/>
            </w:pPr>
            <w:r>
              <w:rPr/>
              <w:t>Curtis C. Griffith</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center"/>
              <w:rPr/>
            </w:pPr>
            <w:r>
              <w:rPr/>
              <w:t>Chairman and Chief Executive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95" w:name="brhc20057010_ex32-2.htm"/>
      <w:bookmarkStart w:id="96" w:name="ksbrhc20057010_ex322"/>
      <w:bookmarkStart w:id="97" w:name="brhc20057010_ex32-2.htm"/>
      <w:bookmarkStart w:id="98" w:name="ksbrhc20057010_ex322"/>
      <w:bookmarkEnd w:id="97"/>
      <w:bookmarkEnd w:id="98"/>
      <w:r>
        <w:br w:type="page"/>
      </w:r>
    </w:p>
    <w:p>
      <w:pPr>
        <w:pStyle w:val="TextBody"/>
        <w:bidi w:val="0"/>
        <w:spacing w:before="0" w:after="0"/>
        <w:jc w:val="right"/>
        <w:rPr>
          <w:b/>
        </w:rPr>
      </w:pPr>
      <w:r>
        <w:rPr>
          <w:b/>
        </w:rPr>
        <w:t>Exhibit 32.2</w:t>
      </w:r>
    </w:p>
    <w:p>
      <w:pPr>
        <w:pStyle w:val="TextBody"/>
        <w:bidi w:val="0"/>
        <w:spacing w:before="0" w:after="0"/>
        <w:jc w:val="left"/>
        <w:rPr/>
      </w:pPr>
      <w:r>
        <w:rPr/>
      </w:r>
    </w:p>
    <w:p>
      <w:pPr>
        <w:pStyle w:val="TextBody"/>
        <w:bidi w:val="0"/>
        <w:spacing w:before="0" w:after="0"/>
        <w:jc w:val="center"/>
        <w:rPr>
          <w:b/>
        </w:rPr>
      </w:pPr>
      <w:r>
        <w:rPr>
          <w:b/>
        </w:rPr>
        <w:t>CERTIFICATION PURSUANT TO</w:t>
      </w:r>
    </w:p>
    <w:p>
      <w:pPr>
        <w:pStyle w:val="TextBody"/>
        <w:bidi w:val="0"/>
        <w:spacing w:before="0" w:after="0"/>
        <w:jc w:val="center"/>
        <w:rPr>
          <w:b/>
        </w:rPr>
      </w:pPr>
      <w:r>
        <w:rPr>
          <w:b/>
        </w:rPr>
        <w:t>18 U.S.C. SECTION 1350, AS ADOPTED PURSUANT TO</w:t>
      </w:r>
    </w:p>
    <w:p>
      <w:pPr>
        <w:pStyle w:val="TextBody"/>
        <w:bidi w:val="0"/>
        <w:spacing w:before="0" w:after="0"/>
        <w:jc w:val="center"/>
        <w:rPr>
          <w:b/>
        </w:rPr>
      </w:pPr>
      <w:r>
        <w:rPr>
          <w:b/>
        </w:rPr>
        <w:t>SECTION 906 OF THE SARBANES-OXLEY ACT OF 2002</w:t>
      </w:r>
    </w:p>
    <w:p>
      <w:pPr>
        <w:pStyle w:val="TextBody"/>
        <w:bidi w:val="0"/>
        <w:spacing w:before="0" w:after="0"/>
        <w:jc w:val="left"/>
        <w:rPr/>
      </w:pPr>
      <w:r>
        <w:rPr/>
      </w:r>
    </w:p>
    <w:p>
      <w:pPr>
        <w:pStyle w:val="TextBody"/>
        <w:bidi w:val="0"/>
        <w:spacing w:before="0" w:after="0"/>
        <w:jc w:val="both"/>
        <w:rPr/>
      </w:pPr>
      <w:r>
        <w:rPr/>
        <w:t>In connection with the Quarterly Report on Form 10-Q of South Plains Financial, Inc. (the “Company”) for the quarter ended June 30, 2023 (the “Report”), as filed with the Securities and Exchange Commission on the date hereof, I certify, pursuant to 18 U.S.C. § 1350, as adopted pursuant to § 906 of the Sarbanes-Oxley Act of 2002, that to the best of my knowledge: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9" w:name="z8ae89738ca3746578026b6a6d32d3ca0"/>
      <w:bookmarkStart w:id="100" w:name="z8ae89738ca3746578026b6a6d32d3ca0"/>
      <w:bookmarkEnd w:id="100"/>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pPr>
            <w:r>
              <w:rPr/>
            </w:r>
          </w:p>
        </w:tc>
        <w:tc>
          <w:tcPr>
            <w:tcW w:w="269" w:type="dxa"/>
            <w:tcBorders/>
            <w:vAlign w:val="center"/>
          </w:tcPr>
          <w:p>
            <w:pPr>
              <w:pStyle w:val="TableContents"/>
              <w:bidi w:val="0"/>
              <w:spacing w:before="0" w:after="283"/>
              <w:jc w:val="left"/>
              <w:rPr/>
            </w:pPr>
            <w:r>
              <w:rPr/>
              <w:t>(1)</w:t>
            </w:r>
          </w:p>
        </w:tc>
        <w:tc>
          <w:tcPr>
            <w:tcW w:w="9898" w:type="dxa"/>
            <w:tcBorders/>
            <w:vAlign w:val="center"/>
          </w:tcPr>
          <w:p>
            <w:pPr>
              <w:pStyle w:val="TableContents"/>
              <w:bidi w:val="0"/>
              <w:spacing w:before="0" w:after="0"/>
              <w:jc w:val="both"/>
              <w:rPr/>
            </w:pPr>
            <w:r>
              <w:rPr/>
              <w:t>The Report fully complies with the requirements of Section 13(a) or Section 15(d) of the Securities Exchange Act of 1934, as amended;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1" w:name="z067335a79b444405bc4eba733d5e42da"/>
      <w:bookmarkStart w:id="102" w:name="z067335a79b444405bc4eba733d5e42da"/>
      <w:bookmarkEnd w:id="102"/>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pPr>
            <w:r>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3" w:name="z627adb44eff245e7835a7d5c597703be"/>
      <w:bookmarkStart w:id="104" w:name="z627adb44eff245e7835a7d5c597703be"/>
      <w:bookmarkEnd w:id="104"/>
    </w:p>
    <w:tbl>
      <w:tblPr>
        <w:tblW w:w="4635" w:type="dxa"/>
        <w:jc w:val="left"/>
        <w:tblInd w:w="0" w:type="dxa"/>
        <w:tblLayout w:type="fixed"/>
        <w:tblCellMar>
          <w:top w:w="0" w:type="dxa"/>
          <w:left w:w="0" w:type="dxa"/>
          <w:bottom w:w="0" w:type="dxa"/>
          <w:right w:w="0" w:type="dxa"/>
        </w:tblCellMar>
      </w:tblPr>
      <w:tblGrid>
        <w:gridCol w:w="2060"/>
        <w:gridCol w:w="365"/>
        <w:gridCol w:w="2210"/>
      </w:tblGrid>
      <w:tr>
        <w:trPr/>
        <w:tc>
          <w:tcPr>
            <w:tcW w:w="2060" w:type="dxa"/>
            <w:tcBorders/>
            <w:vAlign w:val="center"/>
          </w:tcPr>
          <w:p>
            <w:pPr>
              <w:pStyle w:val="TableContents"/>
              <w:bidi w:val="0"/>
              <w:spacing w:before="0" w:after="0"/>
              <w:jc w:val="left"/>
              <w:rPr/>
            </w:pPr>
            <w:r>
              <w:rPr/>
              <w:t>Date: August 7, 2023</w:t>
            </w:r>
          </w:p>
        </w:tc>
        <w:tc>
          <w:tcPr>
            <w:tcW w:w="365" w:type="dxa"/>
            <w:tcBorders/>
            <w:vAlign w:val="center"/>
          </w:tcPr>
          <w:p>
            <w:pPr>
              <w:pStyle w:val="TableContents"/>
              <w:bidi w:val="0"/>
              <w:spacing w:before="0" w:after="0"/>
              <w:jc w:val="left"/>
              <w:rPr/>
            </w:pPr>
            <w:r>
              <w:rPr/>
              <w:t>By:</w:t>
            </w:r>
          </w:p>
        </w:tc>
        <w:tc>
          <w:tcPr>
            <w:tcW w:w="2210" w:type="dxa"/>
            <w:tcBorders>
              <w:bottom w:val="single" w:sz="12" w:space="0" w:color="000000"/>
            </w:tcBorders>
            <w:tcMar>
              <w:bottom w:w="28" w:type="dxa"/>
            </w:tcMar>
            <w:vAlign w:val="center"/>
          </w:tcPr>
          <w:p>
            <w:pPr>
              <w:pStyle w:val="TableContents"/>
              <w:bidi w:val="0"/>
              <w:spacing w:before="0" w:after="0"/>
              <w:jc w:val="center"/>
              <w:rPr/>
            </w:pPr>
            <w:r>
              <w:rPr/>
              <w:t>/s/ Steven B. Crockett</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center"/>
              <w:rPr/>
            </w:pPr>
            <w:r>
              <w:rPr/>
              <w:t>Steven B. Crockett</w:t>
            </w:r>
          </w:p>
        </w:tc>
      </w:tr>
      <w:tr>
        <w:trPr/>
        <w:tc>
          <w:tcPr>
            <w:tcW w:w="20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jc w:val="center"/>
              <w:rPr/>
            </w:pPr>
            <w:r>
              <w:rPr/>
              <w:t>Chief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63668/000114036123016009/brhc10050915_ex2-1.htm" TargetMode="External"/><Relationship Id="rId3" Type="http://schemas.openxmlformats.org/officeDocument/2006/relationships/hyperlink" Target="https://www.sec.gov/Archives/edgar/data/1163668/000114036119007042/s002614x4_ex3-1.htm" TargetMode="External"/><Relationship Id="rId4" Type="http://schemas.openxmlformats.org/officeDocument/2006/relationships/hyperlink" Target="https://www.sec.gov/Archives/edgar/data/1163668/000114036121036078/brhc10030259_ex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36079</Words>
  <Characters>196860</Characters>
  <CharactersWithSpaces>240092</CharactersWithSpaces>
  <Paragraphs>19230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