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18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1858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Keith Cynthia B</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20" w:type="dxa"/>
            <w:vAlign w:val="bottom"/>
            <w:tcBorders>
              <w:top w:val="single" w:sz="8" w:color="0000EE"/>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05/08/2019</w:t>
            </w:r>
          </w:p>
        </w:tc>
        <w:tc>
          <w:tcPr>
            <w:tcW w:w="0" w:type="dxa"/>
            <w:vAlign w:val="bottom"/>
          </w:tcPr>
          <w:p>
            <w:pPr>
              <w:spacing w:after="0"/>
              <w:rPr>
                <w:sz w:val="1"/>
                <w:szCs w:val="1"/>
                <w:color w:val="auto"/>
              </w:rPr>
            </w:pPr>
          </w:p>
        </w:tc>
      </w:tr>
    </w:tbl>
    <w:p>
      <w:pPr>
        <w:spacing w:after="0" w:line="14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880" w:type="dxa"/>
            <w:vAlign w:val="bottom"/>
          </w:tcPr>
          <w:p>
            <w:pPr>
              <w:ind w:left="14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5219 CITY BANK PARKWAY</w:t>
            </w:r>
          </w:p>
        </w:tc>
      </w:tr>
      <w:tr>
        <w:trPr>
          <w:trHeight w:val="212"/>
        </w:trPr>
        <w:tc>
          <w:tcPr>
            <w:tcW w:w="2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LUBBOCK</w:t>
            </w:r>
          </w:p>
        </w:tc>
        <w:tc>
          <w:tcPr>
            <w:tcW w:w="880" w:type="dxa"/>
            <w:vAlign w:val="bottom"/>
          </w:tcPr>
          <w:p>
            <w:pPr>
              <w:ind w:left="140"/>
              <w:spacing w:after="0"/>
              <w:rPr>
                <w:sz w:val="20"/>
                <w:szCs w:val="20"/>
                <w:color w:val="auto"/>
              </w:rPr>
            </w:pPr>
            <w:r>
              <w:rPr>
                <w:rFonts w:ascii="Arial" w:cs="Arial" w:eastAsia="Arial" w:hAnsi="Arial"/>
                <w:sz w:val="18"/>
                <w:szCs w:val="18"/>
                <w:color w:val="0000FF"/>
              </w:rPr>
              <w:t>TX</w:t>
            </w:r>
          </w:p>
        </w:tc>
        <w:tc>
          <w:tcPr>
            <w:tcW w:w="1380" w:type="dxa"/>
            <w:vAlign w:val="bottom"/>
          </w:tcPr>
          <w:p>
            <w:pPr>
              <w:ind w:left="340"/>
              <w:spacing w:after="0"/>
              <w:rPr>
                <w:sz w:val="20"/>
                <w:szCs w:val="20"/>
                <w:color w:val="auto"/>
              </w:rPr>
            </w:pPr>
            <w:r>
              <w:rPr>
                <w:rFonts w:ascii="Arial" w:cs="Arial" w:eastAsia="Arial" w:hAnsi="Arial"/>
                <w:sz w:val="18"/>
                <w:szCs w:val="18"/>
                <w:color w:val="0000FF"/>
              </w:rPr>
              <w:t>79407-3544</w:t>
            </w: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(City)</w:t>
            </w:r>
          </w:p>
        </w:tc>
        <w:tc>
          <w:tcPr>
            <w:tcW w:w="880" w:type="dxa"/>
            <w:vAlign w:val="bottom"/>
          </w:tcPr>
          <w:p>
            <w:pPr>
              <w:ind w:left="14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SOUTH PLAINS FINANCIAL,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SPFI</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19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2"/>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c>
          <w:tcPr>
            <w:tcW w:w="0" w:type="dxa"/>
            <w:vAlign w:val="bottom"/>
          </w:tcPr>
          <w:p>
            <w:pPr>
              <w:spacing w:after="0"/>
              <w:rPr>
                <w:sz w:val="1"/>
                <w:szCs w:val="1"/>
                <w:color w:val="auto"/>
              </w:rPr>
            </w:pPr>
          </w:p>
        </w:tc>
      </w:tr>
      <w:tr>
        <w:trPr>
          <w:trHeight w:val="141"/>
        </w:trPr>
        <w:tc>
          <w:tcPr>
            <w:tcW w:w="1840" w:type="dxa"/>
            <w:vAlign w:val="bottom"/>
          </w:tcPr>
          <w:p>
            <w:pPr>
              <w:spacing w:after="0" w:line="141" w:lineRule="exact"/>
              <w:rPr>
                <w:sz w:val="20"/>
                <w:szCs w:val="20"/>
                <w:color w:val="auto"/>
              </w:rPr>
            </w:pPr>
            <w:r>
              <w:rPr>
                <w:rFonts w:ascii="Arial" w:cs="Arial" w:eastAsia="Arial" w:hAnsi="Arial"/>
                <w:sz w:val="14"/>
                <w:szCs w:val="14"/>
                <w:color w:val="auto"/>
              </w:rPr>
              <w:t>(Check all applicable)</w:t>
            </w:r>
          </w:p>
        </w:tc>
        <w:tc>
          <w:tcPr>
            <w:tcW w:w="1480" w:type="dxa"/>
            <w:vAlign w:val="bottom"/>
          </w:tcPr>
          <w:p>
            <w:pPr>
              <w:spacing w:after="0"/>
              <w:rPr>
                <w:sz w:val="12"/>
                <w:szCs w:val="12"/>
                <w:color w:val="auto"/>
              </w:rPr>
            </w:pPr>
          </w:p>
        </w:tc>
        <w:tc>
          <w:tcPr>
            <w:tcW w:w="2880" w:type="dxa"/>
            <w:vAlign w:val="bottom"/>
            <w:gridSpan w:val="2"/>
          </w:tcPr>
          <w:p>
            <w:pPr>
              <w:ind w:left="80"/>
              <w:spacing w:after="0" w:line="141"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263"/>
        </w:trPr>
        <w:tc>
          <w:tcPr>
            <w:tcW w:w="1840" w:type="dxa"/>
            <w:vAlign w:val="bottom"/>
          </w:tcPr>
          <w:p>
            <w:pPr>
              <w:ind w:left="2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80" w:type="dxa"/>
            <w:vAlign w:val="bottom"/>
          </w:tcPr>
          <w:p>
            <w:pPr>
              <w:ind w:left="320"/>
              <w:spacing w:after="0"/>
              <w:rPr>
                <w:sz w:val="20"/>
                <w:szCs w:val="20"/>
                <w:color w:val="auto"/>
              </w:rPr>
            </w:pPr>
            <w:r>
              <w:rPr>
                <w:rFonts w:ascii="Arial" w:cs="Arial" w:eastAsia="Arial" w:hAnsi="Arial"/>
                <w:sz w:val="14"/>
                <w:szCs w:val="14"/>
                <w:color w:val="auto"/>
              </w:rPr>
              <w:t>10% Owner</w:t>
            </w:r>
          </w:p>
        </w:tc>
        <w:tc>
          <w:tcPr>
            <w:tcW w:w="2880" w:type="dxa"/>
            <w:vAlign w:val="bottom"/>
            <w:gridSpan w:val="2"/>
          </w:tcPr>
          <w:p>
            <w:pPr>
              <w:ind w:left="80"/>
              <w:spacing w:after="0"/>
              <w:rPr>
                <w:sz w:val="20"/>
                <w:szCs w:val="20"/>
                <w:color w:val="auto"/>
              </w:rPr>
            </w:pPr>
            <w:r>
              <w:rPr>
                <w:rFonts w:ascii="Arial" w:cs="Arial" w:eastAsia="Arial" w:hAnsi="Arial"/>
                <w:sz w:val="18"/>
                <w:szCs w:val="18"/>
                <w:color w:val="0000FF"/>
              </w:rPr>
              <w:t>05/09/2019</w:t>
            </w:r>
          </w:p>
        </w:tc>
        <w:tc>
          <w:tcPr>
            <w:tcW w:w="0" w:type="dxa"/>
            <w:vAlign w:val="bottom"/>
          </w:tcPr>
          <w:p>
            <w:pPr>
              <w:spacing w:after="0"/>
              <w:rPr>
                <w:sz w:val="1"/>
                <w:szCs w:val="1"/>
                <w:color w:val="auto"/>
              </w:rPr>
            </w:pPr>
          </w:p>
        </w:tc>
      </w:tr>
      <w:tr>
        <w:trPr>
          <w:trHeight w:val="131"/>
        </w:trPr>
        <w:tc>
          <w:tcPr>
            <w:tcW w:w="1840" w:type="dxa"/>
            <w:vAlign w:val="bottom"/>
            <w:vMerge w:val="restart"/>
          </w:tcPr>
          <w:p>
            <w:pPr>
              <w:ind w:left="540"/>
              <w:spacing w:after="0"/>
              <w:rPr>
                <w:sz w:val="20"/>
                <w:szCs w:val="20"/>
                <w:color w:val="auto"/>
              </w:rPr>
            </w:pPr>
            <w:r>
              <w:rPr>
                <w:rFonts w:ascii="Arial" w:cs="Arial" w:eastAsia="Arial" w:hAnsi="Arial"/>
                <w:sz w:val="14"/>
                <w:szCs w:val="14"/>
                <w:color w:val="auto"/>
              </w:rPr>
              <w:t>Officer (give title</w:t>
            </w:r>
          </w:p>
        </w:tc>
        <w:tc>
          <w:tcPr>
            <w:tcW w:w="1480" w:type="dxa"/>
            <w:vAlign w:val="bottom"/>
            <w:vMerge w:val="restart"/>
          </w:tcPr>
          <w:p>
            <w:pPr>
              <w:ind w:left="320"/>
              <w:spacing w:after="0"/>
              <w:rPr>
                <w:sz w:val="20"/>
                <w:szCs w:val="20"/>
                <w:color w:val="auto"/>
              </w:rPr>
            </w:pPr>
            <w:r>
              <w:rPr>
                <w:rFonts w:ascii="Arial" w:cs="Arial" w:eastAsia="Arial" w:hAnsi="Arial"/>
                <w:sz w:val="14"/>
                <w:szCs w:val="14"/>
                <w:color w:val="auto"/>
              </w:rPr>
              <w:t>Other (specify</w:t>
            </w:r>
          </w:p>
        </w:tc>
        <w:tc>
          <w:tcPr>
            <w:tcW w:w="200" w:type="dxa"/>
            <w:vAlign w:val="bottom"/>
            <w:tcBorders>
              <w:bottom w:val="single" w:sz="8" w:color="2C2C2C"/>
            </w:tcBorders>
          </w:tcPr>
          <w:p>
            <w:pPr>
              <w:spacing w:after="0"/>
              <w:rPr>
                <w:sz w:val="11"/>
                <w:szCs w:val="11"/>
                <w:color w:val="auto"/>
              </w:rPr>
            </w:pPr>
          </w:p>
        </w:tc>
        <w:tc>
          <w:tcPr>
            <w:tcW w:w="268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18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2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1840" w:type="dxa"/>
            <w:vAlign w:val="bottom"/>
          </w:tcPr>
          <w:p>
            <w:pPr>
              <w:ind w:left="540"/>
              <w:spacing w:after="0" w:line="149" w:lineRule="exact"/>
              <w:rPr>
                <w:sz w:val="20"/>
                <w:szCs w:val="20"/>
                <w:color w:val="auto"/>
              </w:rPr>
            </w:pPr>
            <w:r>
              <w:rPr>
                <w:rFonts w:ascii="Arial" w:cs="Arial" w:eastAsia="Arial" w:hAnsi="Arial"/>
                <w:sz w:val="14"/>
                <w:szCs w:val="14"/>
                <w:color w:val="auto"/>
              </w:rPr>
              <w:t>below)</w:t>
            </w:r>
          </w:p>
        </w:tc>
        <w:tc>
          <w:tcPr>
            <w:tcW w:w="1480" w:type="dxa"/>
            <w:vAlign w:val="bottom"/>
          </w:tcPr>
          <w:p>
            <w:pPr>
              <w:ind w:left="320"/>
              <w:spacing w:after="0" w:line="149" w:lineRule="exact"/>
              <w:rPr>
                <w:sz w:val="20"/>
                <w:szCs w:val="20"/>
                <w:color w:val="auto"/>
              </w:rPr>
            </w:pPr>
            <w:r>
              <w:rPr>
                <w:rFonts w:ascii="Arial" w:cs="Arial" w:eastAsia="Arial" w:hAnsi="Arial"/>
                <w:sz w:val="14"/>
                <w:szCs w:val="14"/>
                <w:color w:val="auto"/>
              </w:rPr>
              <w:t>below)</w:t>
            </w:r>
          </w:p>
        </w:tc>
        <w:tc>
          <w:tcPr>
            <w:tcW w:w="200" w:type="dxa"/>
            <w:vAlign w:val="bottom"/>
          </w:tcPr>
          <w:p>
            <w:pPr>
              <w:ind w:left="80"/>
              <w:spacing w:after="0" w:line="149" w:lineRule="exact"/>
              <w:rPr>
                <w:sz w:val="20"/>
                <w:szCs w:val="20"/>
                <w:color w:val="auto"/>
              </w:rPr>
            </w:pPr>
            <w:r>
              <w:rPr>
                <w:rFonts w:ascii="Arial" w:cs="Arial" w:eastAsia="Arial" w:hAnsi="Arial"/>
                <w:sz w:val="14"/>
                <w:szCs w:val="14"/>
                <w:color w:val="auto"/>
                <w:w w:val="85"/>
              </w:rPr>
              <w:t>6.</w:t>
            </w:r>
          </w:p>
        </w:tc>
        <w:tc>
          <w:tcPr>
            <w:tcW w:w="2680" w:type="dxa"/>
            <w:vAlign w:val="bottom"/>
          </w:tcPr>
          <w:p>
            <w:pPr>
              <w:ind w:left="20"/>
              <w:spacing w:after="0" w:line="149" w:lineRule="exact"/>
              <w:rPr>
                <w:sz w:val="20"/>
                <w:szCs w:val="20"/>
                <w:color w:val="auto"/>
              </w:rPr>
            </w:pPr>
            <w:r>
              <w:rPr>
                <w:rFonts w:ascii="Arial" w:cs="Arial" w:eastAsia="Arial" w:hAnsi="Arial"/>
                <w:sz w:val="14"/>
                <w:szCs w:val="14"/>
                <w:color w:val="auto"/>
              </w:rPr>
              <w:t>Individual or Joint/Group Filing (Check</w:t>
            </w:r>
          </w:p>
        </w:tc>
        <w:tc>
          <w:tcPr>
            <w:tcW w:w="0" w:type="dxa"/>
            <w:vAlign w:val="bottom"/>
          </w:tcPr>
          <w:p>
            <w:pPr>
              <w:spacing w:after="0"/>
              <w:rPr>
                <w:sz w:val="1"/>
                <w:szCs w:val="1"/>
                <w:color w:val="auto"/>
              </w:rPr>
            </w:pPr>
          </w:p>
        </w:tc>
      </w:tr>
    </w:tbl>
    <w:p>
      <w:pPr>
        <w:ind w:left="3400"/>
        <w:spacing w:after="0"/>
        <w:rPr>
          <w:sz w:val="20"/>
          <w:szCs w:val="20"/>
          <w:color w:val="auto"/>
        </w:rPr>
      </w:pPr>
      <w:r>
        <w:rPr>
          <w:rFonts w:ascii="Arial" w:cs="Arial" w:eastAsia="Arial" w:hAnsi="Arial"/>
          <w:sz w:val="14"/>
          <w:szCs w:val="14"/>
          <w:color w:val="auto"/>
        </w:rPr>
        <w:t>Applicable Line)</w:t>
      </w:r>
    </w:p>
    <w:p>
      <w:pPr>
        <w:ind w:left="3560"/>
        <w:spacing w:after="0" w:line="211" w:lineRule="auto"/>
        <w:tabs>
          <w:tab w:leader="none" w:pos="386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3880"/>
        <w:spacing w:after="0"/>
        <w:rPr>
          <w:sz w:val="20"/>
          <w:szCs w:val="20"/>
          <w:color w:val="auto"/>
        </w:rPr>
      </w:pPr>
      <w:r>
        <w:rPr>
          <w:rFonts w:ascii="Arial" w:cs="Arial" w:eastAsia="Arial" w:hAnsi="Arial"/>
          <w:sz w:val="14"/>
          <w:szCs w:val="14"/>
          <w:color w:val="auto"/>
        </w:rPr>
        <w:t>Form filed by More than One</w:t>
      </w:r>
    </w:p>
    <w:p>
      <w:pPr>
        <w:ind w:left="3880"/>
        <w:spacing w:after="0"/>
        <w:rPr>
          <w:sz w:val="20"/>
          <w:szCs w:val="20"/>
          <w:color w:val="auto"/>
        </w:rPr>
      </w:pPr>
      <w:r>
        <w:rPr>
          <w:rFonts w:ascii="Arial" w:cs="Arial" w:eastAsia="Arial" w:hAnsi="Arial"/>
          <w:sz w:val="14"/>
          <w:szCs w:val="14"/>
          <w:color w:val="auto"/>
        </w:rPr>
        <w:t>Reporting Person</w:t>
      </w:r>
    </w:p>
    <w:p>
      <w:pPr>
        <w:spacing w:after="0" w:line="36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jc w:val="right"/>
              <w:ind w:right="427"/>
              <w:spacing w:after="0"/>
              <w:rPr>
                <w:sz w:val="20"/>
                <w:szCs w:val="20"/>
                <w:color w:val="auto"/>
              </w:rPr>
            </w:pPr>
            <w:r>
              <w:rPr>
                <w:rFonts w:ascii="Arial" w:cs="Arial" w:eastAsia="Arial" w:hAnsi="Arial"/>
                <w:sz w:val="18"/>
                <w:szCs w:val="18"/>
                <w:color w:val="0000FF"/>
              </w:rPr>
              <w:t>1,172</w:t>
            </w:r>
            <w:r>
              <w:rPr>
                <w:rFonts w:ascii="Arial" w:cs="Arial" w:eastAsia="Arial" w:hAnsi="Arial"/>
                <w:sz w:val="22"/>
                <w:szCs w:val="22"/>
                <w:color w:val="008000"/>
                <w:vertAlign w:val="superscript"/>
              </w:rPr>
              <w:t>(1)</w:t>
            </w:r>
          </w:p>
        </w:tc>
        <w:tc>
          <w:tcPr>
            <w:tcW w:w="1120" w:type="dxa"/>
            <w:vAlign w:val="bottom"/>
            <w:tcBorders>
              <w:bottom w:val="single" w:sz="8" w:color="2C2C2C"/>
            </w:tcBorders>
          </w:tcPr>
          <w:p>
            <w:pPr>
              <w:ind w:left="88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6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12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20" w:type="dxa"/>
            <w:vAlign w:val="bottom"/>
          </w:tcPr>
          <w:p>
            <w:pPr>
              <w:ind w:left="5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20" w:type="dxa"/>
            <w:vAlign w:val="bottom"/>
          </w:tcPr>
          <w:p>
            <w:pPr>
              <w:ind w:left="5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600" w:type="dxa"/>
            <w:vAlign w:val="bottom"/>
          </w:tcPr>
          <w:p>
            <w:pPr>
              <w:spacing w:after="0"/>
              <w:rPr>
                <w:sz w:val="12"/>
                <w:szCs w:val="12"/>
                <w:color w:val="auto"/>
              </w:rPr>
            </w:pPr>
          </w:p>
        </w:tc>
        <w:tc>
          <w:tcPr>
            <w:tcW w:w="1120" w:type="dxa"/>
            <w:vAlign w:val="bottom"/>
          </w:tcPr>
          <w:p>
            <w:pPr>
              <w:ind w:left="5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6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20" w:type="dxa"/>
            <w:vAlign w:val="bottom"/>
          </w:tcPr>
          <w:p>
            <w:pPr>
              <w:ind w:left="5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1. 1,172 of the shares reported represent restricted stock units that may be settled only by delivery of an equal number of shares of common stock and which are subject to vesting and forfeiture.</w:t>
      </w:r>
    </w:p>
    <w:p>
      <w:pPr>
        <w:spacing w:after="0" w:line="57"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jc w:val="both"/>
        <w:ind w:left="40" w:right="160"/>
        <w:spacing w:after="0" w:line="239" w:lineRule="auto"/>
        <w:rPr>
          <w:sz w:val="20"/>
          <w:szCs w:val="20"/>
          <w:color w:val="auto"/>
        </w:rPr>
      </w:pPr>
      <w:r>
        <w:rPr>
          <w:rFonts w:ascii="Arial" w:cs="Arial" w:eastAsia="Arial" w:hAnsi="Arial"/>
          <w:sz w:val="14"/>
          <w:szCs w:val="14"/>
          <w:color w:val="008000"/>
        </w:rPr>
        <w:t>This amended and restated report on Form 3/A is being filed to correct the transaction date originally reported as May 9, 2019 to May 8, 2019, the effective date of the Issuer's Registration Statement on Form S-1 (the "Effective Date").</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By Mikella D. Newsom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18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1889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Cynthia</w:t>
      </w:r>
      <w:r>
        <w:rPr>
          <w:sz w:val="20"/>
          <w:szCs w:val="20"/>
          <w:color w:val="auto"/>
        </w:rPr>
        <w:tab/>
      </w:r>
      <w:r>
        <w:rPr>
          <w:rFonts w:ascii="Arial" w:cs="Arial" w:eastAsia="Arial" w:hAnsi="Arial"/>
          <w:sz w:val="15"/>
          <w:szCs w:val="15"/>
          <w:color w:val="0000FF"/>
        </w:rPr>
        <w:t>05/15/2019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B. Keith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778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775197" TargetMode="External"/><Relationship Id="rId12" Type="http://schemas.openxmlformats.org/officeDocument/2006/relationships/hyperlink" Target="http://www.sec.gov/cgi-bin/browse-edgar?action=getcompany&amp;CIK=00011636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2019-12-24T09:25:07Z</dcterms:created>
  <dcterms:modified xsi:type="dcterms:W3CDTF">2019-12-24T09:25:07Z</dcterms:modified>
</cp:coreProperties>
</file>