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Ehlers Paul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7"/>
                <w:szCs w:val="17"/>
                <w:color w:val="0000FF"/>
              </w:rPr>
              <w:t>COO - City Bank</w:t>
            </w:r>
          </w:p>
        </w:tc>
        <w:tc>
          <w:tcPr>
            <w:tcW w:w="0" w:type="dxa"/>
            <w:vAlign w:val="bottom"/>
          </w:tcPr>
          <w:p>
            <w:pPr>
              <w:spacing w:after="0"/>
              <w:rPr>
                <w:sz w:val="1"/>
                <w:szCs w:val="1"/>
                <w:color w:val="auto"/>
              </w:rPr>
            </w:pPr>
          </w:p>
        </w:tc>
      </w:tr>
      <w:tr>
        <w:trPr>
          <w:trHeight w:val="120"/>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02/17/2026</w:t>
            </w:r>
          </w:p>
        </w:tc>
        <w:tc>
          <w:tcPr>
            <w:tcW w:w="50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884</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85,236</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2,283</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right="1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87,519</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reported include restricted stock units that may be settled only by delivery of an equal number of shares of common stock and which are subject to vesting and forfeiture conditions.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Paul A</w:t>
        <w:tab/>
        <w:t>02/19/2026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Ehlers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4183"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2026-02-19T18:53:29Z</dcterms:created>
  <dcterms:modified xsi:type="dcterms:W3CDTF">2026-02-19T18:53:29Z</dcterms:modified>
</cp:coreProperties>
</file>