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19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191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Campbell Richard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09/11/2025</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09/11/2025</w:t>
            </w:r>
          </w:p>
        </w:tc>
        <w:tc>
          <w:tcPr>
            <w:tcW w:w="740" w:type="dxa"/>
            <w:vAlign w:val="bottom"/>
          </w:tcPr>
          <w:p>
            <w:pPr>
              <w:spacing w:after="0"/>
              <w:rPr>
                <w:sz w:val="18"/>
                <w:szCs w:val="18"/>
                <w:color w:val="auto"/>
              </w:rPr>
            </w:pPr>
          </w:p>
        </w:tc>
        <w:tc>
          <w:tcPr>
            <w:tcW w:w="800" w:type="dxa"/>
            <w:vAlign w:val="bottom"/>
            <w:vMerge w:val="restart"/>
          </w:tcPr>
          <w:p>
            <w:pPr>
              <w:jc w:val="center"/>
              <w:ind w:right="338"/>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44,417</w:t>
            </w:r>
          </w:p>
        </w:tc>
        <w:tc>
          <w:tcPr>
            <w:tcW w:w="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40.21</w:t>
            </w:r>
            <w:r>
              <w:rPr>
                <w:rFonts w:ascii="Times New Roman" w:cs="Times New Roman" w:eastAsia="Times New Roman" w:hAnsi="Times New Roman"/>
                <w:sz w:val="22"/>
                <w:szCs w:val="22"/>
                <w:color w:val="008000"/>
                <w:vertAlign w:val="superscript"/>
              </w:rPr>
              <w:t>(1)</w:t>
            </w:r>
          </w:p>
        </w:tc>
        <w:tc>
          <w:tcPr>
            <w:tcW w:w="1320" w:type="dxa"/>
            <w:vAlign w:val="bottom"/>
            <w:gridSpan w:val="2"/>
            <w:vMerge w:val="restart"/>
          </w:tcPr>
          <w:p>
            <w:pPr>
              <w:jc w:val="center"/>
              <w:ind w:right="277"/>
              <w:spacing w:after="0"/>
              <w:rPr>
                <w:sz w:val="20"/>
                <w:szCs w:val="20"/>
                <w:color w:val="auto"/>
              </w:rPr>
            </w:pPr>
            <w:r>
              <w:rPr>
                <w:rFonts w:ascii="Times New Roman" w:cs="Times New Roman" w:eastAsia="Times New Roman" w:hAnsi="Times New Roman"/>
                <w:sz w:val="17"/>
                <w:szCs w:val="17"/>
                <w:color w:val="0000FF"/>
              </w:rPr>
              <w:t>1,544,969</w:t>
            </w:r>
          </w:p>
        </w:tc>
        <w:tc>
          <w:tcPr>
            <w:tcW w:w="720" w:type="dxa"/>
            <w:vAlign w:val="bottom"/>
            <w:vMerge w:val="restart"/>
          </w:tcPr>
          <w:p>
            <w:pPr>
              <w:jc w:val="center"/>
              <w:ind w:right="2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Henry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TAW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09/12/2025</w:t>
            </w:r>
          </w:p>
        </w:tc>
        <w:tc>
          <w:tcPr>
            <w:tcW w:w="740" w:type="dxa"/>
            <w:vAlign w:val="bottom"/>
          </w:tcPr>
          <w:p>
            <w:pPr>
              <w:spacing w:after="0"/>
              <w:rPr>
                <w:sz w:val="18"/>
                <w:szCs w:val="18"/>
                <w:color w:val="auto"/>
              </w:rPr>
            </w:pPr>
          </w:p>
        </w:tc>
        <w:tc>
          <w:tcPr>
            <w:tcW w:w="800" w:type="dxa"/>
            <w:vAlign w:val="bottom"/>
            <w:vMerge w:val="restart"/>
          </w:tcPr>
          <w:p>
            <w:pPr>
              <w:jc w:val="center"/>
              <w:ind w:right="338"/>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15,583</w:t>
            </w:r>
          </w:p>
        </w:tc>
        <w:tc>
          <w:tcPr>
            <w:tcW w:w="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39.62</w:t>
            </w:r>
            <w:r>
              <w:rPr>
                <w:rFonts w:ascii="Times New Roman" w:cs="Times New Roman" w:eastAsia="Times New Roman" w:hAnsi="Times New Roman"/>
                <w:sz w:val="22"/>
                <w:szCs w:val="22"/>
                <w:color w:val="008000"/>
                <w:vertAlign w:val="superscript"/>
              </w:rPr>
              <w:t>(3)</w:t>
            </w:r>
          </w:p>
        </w:tc>
        <w:tc>
          <w:tcPr>
            <w:tcW w:w="1320" w:type="dxa"/>
            <w:vAlign w:val="bottom"/>
            <w:gridSpan w:val="2"/>
            <w:vMerge w:val="restart"/>
          </w:tcPr>
          <w:p>
            <w:pPr>
              <w:jc w:val="center"/>
              <w:ind w:right="277"/>
              <w:spacing w:after="0"/>
              <w:rPr>
                <w:sz w:val="20"/>
                <w:szCs w:val="20"/>
                <w:color w:val="auto"/>
              </w:rPr>
            </w:pPr>
            <w:r>
              <w:rPr>
                <w:rFonts w:ascii="Times New Roman" w:cs="Times New Roman" w:eastAsia="Times New Roman" w:hAnsi="Times New Roman"/>
                <w:sz w:val="17"/>
                <w:szCs w:val="17"/>
                <w:color w:val="0000FF"/>
              </w:rPr>
              <w:t>1,529,386</w:t>
            </w:r>
          </w:p>
        </w:tc>
        <w:tc>
          <w:tcPr>
            <w:tcW w:w="720" w:type="dxa"/>
            <w:vAlign w:val="bottom"/>
            <w:vMerge w:val="restart"/>
          </w:tcPr>
          <w:p>
            <w:pPr>
              <w:jc w:val="center"/>
              <w:ind w:right="2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Henry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TAW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1020" w:type="dxa"/>
            <w:vAlign w:val="bottom"/>
            <w:tcBorders>
              <w:top w:val="single" w:sz="8" w:color="2C2C2C"/>
            </w:tcBorders>
          </w:tcPr>
          <w:p>
            <w:pPr>
              <w:jc w:val="center"/>
              <w:ind w:right="577"/>
              <w:spacing w:after="0"/>
              <w:rPr>
                <w:sz w:val="20"/>
                <w:szCs w:val="20"/>
                <w:color w:val="auto"/>
              </w:rPr>
            </w:pPr>
            <w:r>
              <w:rPr>
                <w:rFonts w:ascii="Times New Roman" w:cs="Times New Roman" w:eastAsia="Times New Roman" w:hAnsi="Times New Roman"/>
                <w:sz w:val="17"/>
                <w:szCs w:val="17"/>
                <w:color w:val="0000FF"/>
                <w:w w:val="99"/>
              </w:rPr>
              <w:t>9,761</w:t>
            </w:r>
          </w:p>
        </w:tc>
        <w:tc>
          <w:tcPr>
            <w:tcW w:w="720" w:type="dxa"/>
            <w:vAlign w:val="bottom"/>
            <w:tcBorders>
              <w:top w:val="single" w:sz="8" w:color="2C2C2C"/>
            </w:tcBorders>
          </w:tcPr>
          <w:p>
            <w:pPr>
              <w:jc w:val="center"/>
              <w:ind w:right="2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vMerge w:val="restart"/>
          </w:tcPr>
          <w:p>
            <w:pPr>
              <w:jc w:val="center"/>
              <w:ind w:right="257"/>
              <w:spacing w:after="0"/>
              <w:rPr>
                <w:sz w:val="20"/>
                <w:szCs w:val="20"/>
                <w:color w:val="auto"/>
              </w:rPr>
            </w:pPr>
            <w:r>
              <w:rPr>
                <w:rFonts w:ascii="Times New Roman" w:cs="Times New Roman" w:eastAsia="Times New Roman" w:hAnsi="Times New Roman"/>
                <w:sz w:val="17"/>
                <w:szCs w:val="17"/>
                <w:color w:val="0000FF"/>
              </w:rPr>
              <w:t>40,000</w:t>
            </w:r>
          </w:p>
        </w:tc>
        <w:tc>
          <w:tcPr>
            <w:tcW w:w="720" w:type="dxa"/>
            <w:vAlign w:val="bottom"/>
            <w:vMerge w:val="restart"/>
          </w:tcPr>
          <w:p>
            <w:pPr>
              <w:jc w:val="center"/>
              <w:ind w:right="2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RIG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0" w:type="dxa"/>
            <w:vAlign w:val="bottom"/>
            <w:gridSpan w:val="12"/>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8"/>
          </w:tcPr>
          <w:p>
            <w:pPr>
              <w:jc w:val="center"/>
              <w:ind w:left="4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2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$40.10 to $40.63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Henry TAW LP but subject to a voting agreement and irrevocable proxy pursuant to which Mr. Campbell exercises voting authority.</w:t>
      </w:r>
    </w:p>
    <w:p>
      <w:pPr>
        <w:spacing w:after="0" w:line="50" w:lineRule="exact"/>
        <w:rPr>
          <w:rFonts w:ascii="Times New Roman" w:cs="Times New Roman" w:eastAsia="Times New Roman" w:hAnsi="Times New Roman"/>
          <w:sz w:val="13"/>
          <w:szCs w:val="13"/>
          <w:color w:val="008000"/>
        </w:rPr>
      </w:pPr>
    </w:p>
    <w:p>
      <w:pPr>
        <w:ind w:left="40" w:right="5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$39.40 to $40.03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Racham Investment Group LLC ("RIG LLC").</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Richard</w:t>
        <w:tab/>
        <w:t>09/15/2025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 Campbell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619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619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4463"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2025-09-15T17:17:33Z</dcterms:created>
  <dcterms:modified xsi:type="dcterms:W3CDTF">2025-09-15T17:17:33Z</dcterms:modified>
</cp:coreProperties>
</file>