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rPr/>
      </w:pPr>
      <w:r>
        <w:rPr/>
      </w:r>
    </w:p>
    <w:p>
      <w:pPr>
        <w:pStyle w:val="TextBody"/>
        <w:spacing w:before="0" w:after="0"/>
        <w:jc w:val="center"/>
        <w:rPr>
          <w:rFonts w:ascii="Times New Roman" w:hAnsi="Times New Roman"/>
          <w:b/>
          <w:sz w:val="28"/>
        </w:rPr>
      </w:pPr>
      <w:r>
        <w:rPr>
          <w:rFonts w:ascii="Times New Roman" w:hAnsi="Times New Roman"/>
          <w:b/>
          <w:sz w:val="28"/>
        </w:rPr>
        <w:t>UNITED STATES</w:t>
      </w:r>
    </w:p>
    <w:p>
      <w:pPr>
        <w:pStyle w:val="TextBody"/>
        <w:spacing w:before="0" w:after="0"/>
        <w:jc w:val="center"/>
        <w:rPr>
          <w:rFonts w:ascii="Times New Roman" w:hAnsi="Times New Roman"/>
          <w:b/>
          <w:sz w:val="28"/>
        </w:rPr>
      </w:pPr>
      <w:r>
        <w:rPr>
          <w:rFonts w:ascii="Times New Roman" w:hAnsi="Times New Roman"/>
          <w:b/>
          <w:sz w:val="28"/>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rPr>
          <w:sz w:val="20"/>
        </w:rPr>
      </w:pPr>
      <w:r>
        <w:rPr>
          <w:sz w:val="20"/>
        </w:rPr>
      </w:r>
    </w:p>
    <w:p>
      <w:pPr>
        <w:pStyle w:val="TextBody"/>
        <w:spacing w:before="0" w:after="0"/>
        <w:jc w:val="center"/>
        <w:rPr>
          <w:rFonts w:ascii="Times New Roman" w:hAnsi="Times New Roman"/>
          <w:b/>
          <w:sz w:val="36"/>
        </w:rPr>
      </w:pPr>
      <w:r>
        <w:rPr>
          <w:rFonts w:ascii="Times New Roman" w:hAnsi="Times New Roman"/>
          <w:b/>
          <w:sz w:val="36"/>
        </w:rPr>
        <w:t>FORM 8-K</w:t>
      </w:r>
    </w:p>
    <w:p>
      <w:pPr>
        <w:pStyle w:val="TextBody"/>
        <w:spacing w:before="0" w:after="0"/>
        <w:jc w:val="left"/>
        <w:rPr>
          <w:sz w:val="20"/>
        </w:rPr>
      </w:pPr>
      <w:r>
        <w:rPr>
          <w:sz w:val="20"/>
        </w:rPr>
      </w:r>
    </w:p>
    <w:p>
      <w:pPr>
        <w:pStyle w:val="TextBody"/>
        <w:spacing w:before="0" w:after="0"/>
        <w:jc w:val="center"/>
        <w:rPr>
          <w:rFonts w:ascii="Times New Roman" w:hAnsi="Times New Roman"/>
          <w:b/>
          <w:sz w:val="20"/>
        </w:rPr>
      </w:pPr>
      <w:r>
        <w:rPr>
          <w:rFonts w:ascii="Times New Roman" w:hAnsi="Times New Roman"/>
          <w:b/>
          <w:sz w:val="20"/>
        </w:rPr>
        <w:t>CURRENT REPORT</w:t>
      </w:r>
    </w:p>
    <w:p>
      <w:pPr>
        <w:pStyle w:val="TextBody"/>
        <w:spacing w:before="0" w:after="0"/>
        <w:jc w:val="center"/>
        <w:rPr>
          <w:rFonts w:ascii="Times New Roman" w:hAnsi="Times New Roman"/>
          <w:b/>
          <w:sz w:val="20"/>
        </w:rPr>
      </w:pPr>
      <w:r>
        <w:rPr>
          <w:rFonts w:ascii="Times New Roman" w:hAnsi="Times New Roman"/>
          <w:b/>
          <w:sz w:val="20"/>
        </w:rPr>
        <w:t>Pursuant to Section 13 or 15(d) of</w:t>
      </w:r>
    </w:p>
    <w:p>
      <w:pPr>
        <w:pStyle w:val="TextBody"/>
        <w:spacing w:before="0" w:after="0"/>
        <w:jc w:val="center"/>
        <w:rPr>
          <w:rFonts w:ascii="Times New Roman" w:hAnsi="Times New Roman"/>
          <w:b/>
          <w:sz w:val="20"/>
        </w:rPr>
      </w:pPr>
      <w:r>
        <w:rPr>
          <w:rFonts w:ascii="Times New Roman" w:hAnsi="Times New Roman"/>
          <w:b/>
          <w:sz w:val="20"/>
        </w:rPr>
        <w:t>the Securities Exchange Act of 1934</w:t>
      </w:r>
    </w:p>
    <w:p>
      <w:pPr>
        <w:pStyle w:val="TextBody"/>
        <w:spacing w:before="0" w:after="0"/>
        <w:jc w:val="left"/>
        <w:rPr>
          <w:sz w:val="20"/>
        </w:rPr>
      </w:pPr>
      <w:r>
        <w:rPr>
          <w:sz w:val="20"/>
        </w:rPr>
      </w:r>
    </w:p>
    <w:p>
      <w:pPr>
        <w:pStyle w:val="TextBody"/>
        <w:spacing w:before="0" w:after="0"/>
        <w:jc w:val="center"/>
        <w:rPr>
          <w:rFonts w:ascii="Times New Roman" w:hAnsi="Times New Roman"/>
          <w:b/>
          <w:sz w:val="20"/>
        </w:rPr>
      </w:pPr>
      <w:r>
        <w:rPr>
          <w:rFonts w:ascii="Times New Roman" w:hAnsi="Times New Roman"/>
          <w:b/>
          <w:sz w:val="20"/>
        </w:rPr>
        <w:t>Date of Report (Date of earliest event reported):  April 27, 2023</w:t>
      </w:r>
    </w:p>
    <w:p>
      <w:pPr>
        <w:pStyle w:val="TextBody"/>
        <w:spacing w:before="0" w:after="0"/>
        <w:jc w:val="left"/>
        <w:rPr>
          <w:sz w:val="20"/>
        </w:rPr>
      </w:pPr>
      <w:r>
        <w:rPr>
          <w:sz w:val="20"/>
        </w:rPr>
      </w:r>
    </w:p>
    <w:p>
      <w:pPr>
        <w:pStyle w:val="TextBody"/>
        <w:spacing w:before="0" w:after="0"/>
        <w:jc w:val="center"/>
        <w:rPr>
          <w:rFonts w:ascii="Times New Roman" w:hAnsi="Times New Roman"/>
          <w:b/>
          <w:sz w:val="48"/>
        </w:rPr>
      </w:pPr>
      <w:r>
        <w:rPr>
          <w:rFonts w:ascii="Times New Roman" w:hAnsi="Times New Roman"/>
          <w:b/>
          <w:sz w:val="48"/>
        </w:rPr>
        <w:t>South Plains Financial, Inc.</w:t>
      </w:r>
    </w:p>
    <w:p>
      <w:pPr>
        <w:pStyle w:val="TextBody"/>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rPr>
          <w:sz w:val="20"/>
        </w:rPr>
      </w:pPr>
      <w:r>
        <w:rPr>
          <w:sz w:val="20"/>
        </w:rPr>
      </w:r>
    </w:p>
    <w:tbl>
      <w:tblPr>
        <w:tblW w:w="8550" w:type="dxa"/>
        <w:jc w:val="left"/>
        <w:tblInd w:w="0" w:type="dxa"/>
        <w:tblCellMar>
          <w:top w:w="0" w:type="dxa"/>
          <w:left w:w="0" w:type="dxa"/>
          <w:bottom w:w="0" w:type="dxa"/>
          <w:right w:w="0" w:type="dxa"/>
        </w:tblCellMar>
      </w:tblPr>
      <w:tblGrid>
        <w:gridCol w:w="3575"/>
        <w:gridCol w:w="2210"/>
        <w:gridCol w:w="2765"/>
      </w:tblGrid>
      <w:tr>
        <w:trPr/>
        <w:tc>
          <w:tcPr>
            <w:tcW w:w="3575"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Texas</w:t>
            </w:r>
          </w:p>
        </w:tc>
        <w:tc>
          <w:tcPr>
            <w:tcW w:w="2210"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001-38895</w:t>
            </w:r>
          </w:p>
        </w:tc>
        <w:tc>
          <w:tcPr>
            <w:tcW w:w="2765"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75-2453320</w:t>
            </w:r>
          </w:p>
        </w:tc>
      </w:tr>
      <w:tr>
        <w:trPr/>
        <w:tc>
          <w:tcPr>
            <w:tcW w:w="3575" w:type="dxa"/>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spacing w:before="0" w:after="0"/>
        <w:rPr>
          <w:sz w:val="20"/>
        </w:rPr>
      </w:pPr>
      <w:r>
        <w:rPr>
          <w:sz w:val="20"/>
        </w:rPr>
      </w:r>
    </w:p>
    <w:tbl>
      <w:tblPr>
        <w:tblW w:w="4165" w:type="dxa"/>
        <w:jc w:val="left"/>
        <w:tblInd w:w="0" w:type="dxa"/>
        <w:tblCellMar>
          <w:top w:w="0" w:type="dxa"/>
          <w:left w:w="0" w:type="dxa"/>
          <w:bottom w:w="0" w:type="dxa"/>
          <w:right w:w="0" w:type="dxa"/>
        </w:tblCellMar>
      </w:tblPr>
      <w:tblGrid>
        <w:gridCol w:w="3200"/>
        <w:gridCol w:w="60"/>
        <w:gridCol w:w="905"/>
      </w:tblGrid>
      <w:tr>
        <w:trPr/>
        <w:tc>
          <w:tcPr>
            <w:tcW w:w="3200"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5219 City Bank Parkway</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Lubbock, Texas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79407</w:t>
            </w:r>
          </w:p>
        </w:tc>
      </w:tr>
      <w:tr>
        <w:trPr/>
        <w:tc>
          <w:tcPr>
            <w:tcW w:w="3200" w:type="dxa"/>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spacing w:before="0" w:after="0"/>
        <w:rPr>
          <w:sz w:val="20"/>
        </w:rPr>
      </w:pPr>
      <w:r>
        <w:rPr>
          <w:sz w:val="20"/>
        </w:rPr>
      </w:r>
    </w:p>
    <w:p>
      <w:pPr>
        <w:pStyle w:val="TextBody"/>
        <w:spacing w:before="0" w:after="0"/>
        <w:jc w:val="center"/>
        <w:rPr>
          <w:rFonts w:ascii="Times New Roman" w:hAnsi="Times New Roman"/>
          <w:b/>
          <w:sz w:val="20"/>
        </w:rPr>
      </w:pPr>
      <w:r>
        <w:rPr>
          <w:rFonts w:ascii="Times New Roman" w:hAnsi="Times New Roman"/>
          <w:b/>
          <w:sz w:val="20"/>
        </w:rPr>
        <w:t>(806) 792-7101</w:t>
      </w:r>
    </w:p>
    <w:p>
      <w:pPr>
        <w:pStyle w:val="TextBody"/>
        <w:spacing w:before="0" w:after="0"/>
        <w:jc w:val="center"/>
        <w:rPr>
          <w:rFonts w:ascii="Times New Roman" w:hAnsi="Times New Roman"/>
          <w:sz w:val="20"/>
        </w:rPr>
      </w:pPr>
      <w:r>
        <w:rPr>
          <w:rFonts w:ascii="Times New Roman" w:hAnsi="Times New Roman"/>
          <w:sz w:val="20"/>
        </w:rPr>
        <w:t>(Registrant’s telephone number, including area code)</w:t>
      </w:r>
    </w:p>
    <w:p>
      <w:pPr>
        <w:pStyle w:val="TextBody"/>
        <w:spacing w:before="0" w:after="0"/>
        <w:rPr>
          <w:sz w:val="20"/>
        </w:rPr>
      </w:pPr>
      <w:r>
        <w:rPr>
          <w:sz w:val="20"/>
        </w:rPr>
      </w:r>
    </w:p>
    <w:p>
      <w:pPr>
        <w:pStyle w:val="TextBody"/>
        <w:spacing w:before="0" w:after="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rPr>
          <w:sz w:val="20"/>
        </w:rPr>
      </w:pPr>
      <w:r>
        <w:rPr>
          <w:sz w:val="20"/>
        </w:rPr>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color w:val="000000"/>
              </w:rPr>
            </w:pPr>
            <w:r>
              <w:rPr>
                <w:color w:val="000000"/>
              </w:rPr>
              <w:t>☐</w:t>
            </w:r>
          </w:p>
        </w:tc>
        <w:tc>
          <w:tcPr>
            <w:tcW w:w="729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spacing w:before="0" w:after="0"/>
        <w:rPr>
          <w:sz w:val="20"/>
        </w:rPr>
      </w:pPr>
      <w:r>
        <w:rPr>
          <w:sz w:val="20"/>
        </w:rPr>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color w:val="000000"/>
              </w:rPr>
            </w:pPr>
            <w:r>
              <w:rPr>
                <w:color w:val="000000"/>
              </w:rPr>
              <w:t>☐</w:t>
            </w:r>
          </w:p>
        </w:tc>
        <w:tc>
          <w:tcPr>
            <w:tcW w:w="732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spacing w:before="0" w:after="0"/>
        <w:rPr>
          <w:sz w:val="20"/>
        </w:rPr>
      </w:pPr>
      <w:r>
        <w:rPr>
          <w:sz w:val="20"/>
        </w:rPr>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olor w:val="000000"/>
              </w:rPr>
            </w:pPr>
            <w:r>
              <w:rPr>
                <w:color w:val="000000"/>
              </w:rPr>
              <w:t>☐</w:t>
            </w:r>
          </w:p>
        </w:tc>
        <w:tc>
          <w:tcPr>
            <w:tcW w:w="906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spacing w:before="0" w:after="0"/>
        <w:rPr>
          <w:sz w:val="20"/>
        </w:rPr>
      </w:pPr>
      <w:r>
        <w:rPr>
          <w:sz w:val="20"/>
        </w:rPr>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color w:val="000000"/>
              </w:rPr>
            </w:pPr>
            <w:r>
              <w:rPr>
                <w:color w:val="000000"/>
              </w:rPr>
              <w:t>☐</w:t>
            </w:r>
          </w:p>
        </w:tc>
        <w:tc>
          <w:tcPr>
            <w:tcW w:w="900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spacing w:before="0" w:after="0"/>
        <w:rPr>
          <w:sz w:val="20"/>
        </w:rPr>
      </w:pPr>
      <w:r>
        <w:rPr>
          <w:sz w:val="20"/>
        </w:rPr>
      </w:r>
    </w:p>
    <w:p>
      <w:pPr>
        <w:pStyle w:val="TextBody"/>
        <w:spacing w:before="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rPr>
          <w:sz w:val="20"/>
        </w:rPr>
      </w:pPr>
      <w:r>
        <w:rPr>
          <w:sz w:val="20"/>
        </w:rPr>
      </w:r>
    </w:p>
    <w:tbl>
      <w:tblPr>
        <w:tblW w:w="8535" w:type="dxa"/>
        <w:jc w:val="left"/>
        <w:tblInd w:w="0" w:type="dxa"/>
        <w:tblCellMar>
          <w:top w:w="28" w:type="dxa"/>
          <w:left w:w="28" w:type="dxa"/>
          <w:bottom w:w="28" w:type="dxa"/>
          <w:right w:w="28" w:type="dxa"/>
        </w:tblCellMar>
      </w:tblPr>
      <w:tblGrid>
        <w:gridCol w:w="3410"/>
        <w:gridCol w:w="1535"/>
        <w:gridCol w:w="3590"/>
      </w:tblGrid>
      <w:tr>
        <w:trPr/>
        <w:tc>
          <w:tcPr>
            <w:tcW w:w="341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5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410"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1535"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SPFI</w:t>
            </w:r>
          </w:p>
        </w:tc>
        <w:tc>
          <w:tcPr>
            <w:tcW w:w="3590" w:type="dxa"/>
            <w:tcBorders>
              <w:left w:val="single" w:sz="12" w:space="0" w:color="000000"/>
              <w:bottom w:val="single" w:sz="12" w:space="0" w:color="000000"/>
              <w:right w:val="single" w:sz="12" w:space="0" w:color="000000"/>
            </w:tcBorders>
            <w:shd w:fill="auto" w:val="clear"/>
            <w:tcMar>
              <w:top w:w="0" w:type="dxa"/>
            </w:tcMar>
            <w:vAlign w:val="center"/>
          </w:tcPr>
          <w:p>
            <w:pPr>
              <w:pStyle w:val="TableContents"/>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spacing w:before="0" w:after="0"/>
        <w:rPr>
          <w:sz w:val="20"/>
        </w:rPr>
      </w:pPr>
      <w:r>
        <w:rPr>
          <w:sz w:val="20"/>
        </w:rPr>
      </w:r>
    </w:p>
    <w:p>
      <w:pPr>
        <w:pStyle w:val="TextBody"/>
        <w:spacing w:before="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sz w:val="20"/>
        </w:rPr>
      </w:pPr>
      <w:r>
        <w:rPr>
          <w:sz w:val="20"/>
        </w:rPr>
      </w:r>
    </w:p>
    <w:p>
      <w:pPr>
        <w:pStyle w:val="TextBody"/>
        <w:spacing w:before="0" w:after="0"/>
        <w:jc w:val="right"/>
        <w:rPr>
          <w:rFonts w:ascii="Times New Roman" w:hAnsi="Times New Roman"/>
          <w:color w:val="000000"/>
          <w:sz w:val="20"/>
        </w:rPr>
      </w:pPr>
      <w:r>
        <w:rPr>
          <w:rFonts w:ascii="Times New Roman" w:hAnsi="Times New Roman"/>
          <w:color w:val="000000"/>
          <w:sz w:val="20"/>
        </w:rPr>
        <w:t>Emerging growth company ☒</w:t>
      </w:r>
    </w:p>
    <w:p>
      <w:pPr>
        <w:pStyle w:val="TextBody"/>
        <w:spacing w:before="0" w:after="0"/>
        <w:rPr>
          <w:sz w:val="20"/>
        </w:rPr>
      </w:pPr>
      <w:r>
        <w:rPr>
          <w:sz w:val="20"/>
        </w:rPr>
      </w:r>
    </w:p>
    <w:p>
      <w:pPr>
        <w:pStyle w:val="TextBody"/>
        <w:spacing w:before="0" w:after="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sz w:val="20"/>
        </w:rPr>
      </w:pPr>
      <w:r>
        <w:rPr>
          <w:sz w:val="20"/>
        </w:rPr>
      </w:r>
    </w:p>
    <w:p>
      <w:pPr>
        <w:pStyle w:val="HorizontalLine"/>
        <w:rPr/>
      </w:pPr>
      <w:r>
        <w:rPr/>
      </w:r>
    </w:p>
    <w:p>
      <w:pPr>
        <w:pStyle w:val="HorizontalLine"/>
        <w:spacing w:before="200" w:after="200"/>
        <w:rPr/>
      </w:pPr>
      <w:r>
        <w:rPr/>
      </w:r>
    </w:p>
    <w:tbl>
      <w:tblPr>
        <w:tblW w:w="4810" w:type="dxa"/>
        <w:jc w:val="left"/>
        <w:tblInd w:w="0" w:type="dxa"/>
        <w:tblCellMar>
          <w:top w:w="0" w:type="dxa"/>
          <w:left w:w="0" w:type="dxa"/>
          <w:bottom w:w="0" w:type="dxa"/>
          <w:right w:w="0" w:type="dxa"/>
        </w:tblCellMar>
      </w:tblPr>
      <w:tblGrid>
        <w:gridCol w:w="830"/>
        <w:gridCol w:w="3980"/>
      </w:tblGrid>
      <w:tr>
        <w:trPr/>
        <w:tc>
          <w:tcPr>
            <w:tcW w:w="830"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Item 2.02</w:t>
            </w:r>
          </w:p>
        </w:tc>
        <w:tc>
          <w:tcPr>
            <w:tcW w:w="3980"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spacing w:before="0" w:after="0"/>
        <w:rPr/>
      </w:pPr>
      <w:r>
        <w:rPr/>
      </w:r>
    </w:p>
    <w:p>
      <w:pPr>
        <w:pStyle w:val="TextBody"/>
        <w:spacing w:before="0" w:after="0"/>
        <w:ind w:left="0" w:right="0" w:firstLine="720"/>
        <w:jc w:val="both"/>
        <w:rPr>
          <w:rFonts w:ascii="Times New Roman" w:hAnsi="Times New Roman"/>
          <w:sz w:val="20"/>
        </w:rPr>
      </w:pPr>
      <w:r>
        <w:rPr>
          <w:rFonts w:ascii="Times New Roman" w:hAnsi="Times New Roman"/>
          <w:color w:val="000000"/>
          <w:sz w:val="20"/>
        </w:rPr>
        <w:t>On April 27, 2023, South Plains Financial, Inc. (the “Company”)</w:t>
      </w:r>
      <w:r>
        <w:rPr>
          <w:rFonts w:ascii="Times New Roman" w:hAnsi="Times New Roman"/>
          <w:sz w:val="20"/>
        </w:rPr>
        <w:t xml:space="preserve"> issued a press release announcing its financial results for the first quarter ended March 31, 2023.  A copy of the Company’s press release covering such announcement and certain other matters is furnished as Exhibit 99.1 to this Current Report on Form 8-K.</w:t>
      </w:r>
    </w:p>
    <w:p>
      <w:pPr>
        <w:pStyle w:val="TextBody"/>
        <w:spacing w:before="0" w:after="0"/>
        <w:ind w:left="0" w:right="0" w:firstLine="720"/>
        <w:jc w:val="left"/>
        <w:rPr>
          <w:sz w:val="20"/>
        </w:rPr>
      </w:pPr>
      <w:r>
        <w:rPr>
          <w:sz w:val="20"/>
        </w:rPr>
      </w:r>
    </w:p>
    <w:tbl>
      <w:tblPr>
        <w:tblW w:w="3070" w:type="dxa"/>
        <w:jc w:val="left"/>
        <w:tblInd w:w="0" w:type="dxa"/>
        <w:tblCellMar>
          <w:top w:w="0" w:type="dxa"/>
          <w:left w:w="0" w:type="dxa"/>
          <w:bottom w:w="0" w:type="dxa"/>
          <w:right w:w="0" w:type="dxa"/>
        </w:tblCellMar>
      </w:tblPr>
      <w:tblGrid>
        <w:gridCol w:w="830"/>
        <w:gridCol w:w="2240"/>
      </w:tblGrid>
      <w:tr>
        <w:trPr/>
        <w:tc>
          <w:tcPr>
            <w:tcW w:w="830"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Item 7.01</w:t>
            </w:r>
          </w:p>
        </w:tc>
        <w:tc>
          <w:tcPr>
            <w:tcW w:w="2240" w:type="dxa"/>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spacing w:before="0" w:after="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April 27, 2023, officers of the Company will have a conference call with respect to the Company’s financial results for the first quarter ended March 31, 2023. An earnings release slide presentation highlighting the Company’s financial results for the first quarter ended March 31, 2023 is furnished as Exhibit 99.2 to this Current Report on Form 8-K. This earnings release slide presentation will also be available on the Company’s website, www.spfi.bank, under the “News &amp; Events” section.</w:t>
      </w:r>
    </w:p>
    <w:p>
      <w:pPr>
        <w:pStyle w:val="TextBody"/>
        <w:spacing w:before="0" w:after="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pStyle w:val="TextBody"/>
        <w:spacing w:before="0" w:after="0"/>
        <w:rPr/>
      </w:pPr>
      <w:r>
        <w:rPr/>
      </w:r>
    </w:p>
    <w:tbl>
      <w:tblPr>
        <w:tblW w:w="3790" w:type="dxa"/>
        <w:jc w:val="left"/>
        <w:tblInd w:w="0" w:type="dxa"/>
        <w:tblCellMar>
          <w:top w:w="0" w:type="dxa"/>
          <w:left w:w="0" w:type="dxa"/>
          <w:bottom w:w="0" w:type="dxa"/>
          <w:right w:w="0" w:type="dxa"/>
        </w:tblCellMar>
      </w:tblPr>
      <w:tblGrid>
        <w:gridCol w:w="830"/>
        <w:gridCol w:w="2960"/>
      </w:tblGrid>
      <w:tr>
        <w:trPr/>
        <w:tc>
          <w:tcPr>
            <w:tcW w:w="830"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Item 9.01</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spacing w:before="0" w:after="0"/>
        <w:rPr/>
      </w:pPr>
      <w:r>
        <w:rPr/>
      </w:r>
    </w:p>
    <w:tbl>
      <w:tblPr>
        <w:tblW w:w="9550" w:type="dxa"/>
        <w:jc w:val="left"/>
        <w:tblInd w:w="0" w:type="dxa"/>
        <w:tblCellMar>
          <w:top w:w="0" w:type="dxa"/>
          <w:left w:w="0" w:type="dxa"/>
          <w:bottom w:w="0" w:type="dxa"/>
          <w:right w:w="0" w:type="dxa"/>
        </w:tblCellMar>
      </w:tblPr>
      <w:tblGrid>
        <w:gridCol w:w="60"/>
        <w:gridCol w:w="380"/>
        <w:gridCol w:w="9110"/>
      </w:tblGrid>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(d)</w:t>
            </w:r>
          </w:p>
        </w:tc>
        <w:tc>
          <w:tcPr>
            <w:tcW w:w="91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Exhibits.</w:t>
            </w:r>
          </w:p>
        </w:tc>
      </w:tr>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11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0"/>
              <w:jc w:val="left"/>
              <w:rPr/>
            </w:pPr>
            <w:hyperlink w:anchor="brhc20052107_ex99-1.htm">
              <w:r>
                <w:rPr>
                  <w:rStyle w:val="InternetLink"/>
                  <w:rFonts w:ascii="Times New Roman" w:hAnsi="Times New Roman"/>
                  <w:color w:val="000000"/>
                  <w:sz w:val="20"/>
                </w:rPr>
                <w:t>99.1</w:t>
              </w:r>
            </w:hyperlink>
          </w:p>
        </w:tc>
        <w:tc>
          <w:tcPr>
            <w:tcW w:w="911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Press release, dated April 27, 2023, announcing first quarter 2023 financial results of South Plains Financial, Inc.</w:t>
            </w:r>
          </w:p>
        </w:tc>
      </w:tr>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11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0"/>
              <w:jc w:val="left"/>
              <w:rPr/>
            </w:pPr>
            <w:hyperlink w:anchor="brhc20052107_ex99-2.htm">
              <w:r>
                <w:rPr>
                  <w:rStyle w:val="InternetLink"/>
                  <w:rFonts w:ascii="Times New Roman" w:hAnsi="Times New Roman"/>
                  <w:color w:val="000000"/>
                  <w:sz w:val="20"/>
                </w:rPr>
                <w:t>99.2</w:t>
              </w:r>
            </w:hyperlink>
          </w:p>
        </w:tc>
        <w:tc>
          <w:tcPr>
            <w:tcW w:w="911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Earnings release slide presentation, dated April 27, 2023.</w:t>
            </w:r>
          </w:p>
        </w:tc>
      </w:tr>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283"/>
              <w:rPr/>
            </w:pPr>
            <w:r>
              <w:rPr/>
              <w:t> </w:t>
            </w:r>
          </w:p>
        </w:tc>
        <w:tc>
          <w:tcPr>
            <w:tcW w:w="911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8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104</w:t>
            </w:r>
          </w:p>
        </w:tc>
        <w:tc>
          <w:tcPr>
            <w:tcW w:w="911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spacing w:before="0" w:after="0"/>
        <w:rPr/>
      </w:pPr>
      <w:r>
        <w:rPr/>
      </w:r>
    </w:p>
    <w:p>
      <w:pPr>
        <w:pStyle w:val="HorizontalLine"/>
        <w:spacing w:before="200" w:after="200"/>
        <w:rPr/>
      </w:pPr>
      <w:r>
        <w:rPr/>
      </w:r>
    </w:p>
    <w:p>
      <w:pPr>
        <w:pStyle w:val="TextBody"/>
        <w:spacing w:before="0" w:after="0"/>
        <w:jc w:val="center"/>
        <w:rPr>
          <w:rFonts w:ascii="Times New Roman" w:hAnsi="Times New Roman"/>
          <w:b/>
          <w:sz w:val="20"/>
        </w:rPr>
      </w:pPr>
      <w:r>
        <w:rPr>
          <w:rFonts w:ascii="Times New Roman" w:hAnsi="Times New Roman"/>
          <w:b/>
          <w:sz w:val="20"/>
        </w:rPr>
        <w:t>SIGNATURES</w:t>
      </w:r>
    </w:p>
    <w:p>
      <w:pPr>
        <w:pStyle w:val="TextBody"/>
        <w:spacing w:before="0" w:after="0"/>
        <w:jc w:val="left"/>
        <w:rPr>
          <w:sz w:val="20"/>
        </w:rPr>
      </w:pPr>
      <w:r>
        <w:rPr>
          <w:sz w:val="20"/>
        </w:rPr>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jc w:val="left"/>
        <w:rPr>
          <w:sz w:val="20"/>
        </w:rPr>
      </w:pPr>
      <w:r>
        <w:rPr>
          <w:sz w:val="20"/>
        </w:rPr>
      </w:r>
    </w:p>
    <w:tbl>
      <w:tblPr>
        <w:tblW w:w="4884" w:type="dxa"/>
        <w:jc w:val="left"/>
        <w:tblInd w:w="0" w:type="dxa"/>
        <w:tblCellMar>
          <w:top w:w="0" w:type="dxa"/>
          <w:left w:w="0" w:type="dxa"/>
          <w:bottom w:w="0" w:type="dxa"/>
          <w:right w:w="0" w:type="dxa"/>
        </w:tblCellMar>
      </w:tblPr>
      <w:tblGrid>
        <w:gridCol w:w="1835"/>
        <w:gridCol w:w="462"/>
        <w:gridCol w:w="2587"/>
      </w:tblGrid>
      <w:tr>
        <w:trPr/>
        <w:tc>
          <w:tcPr>
            <w:tcW w:w="1835" w:type="dxa"/>
            <w:tcBorders/>
            <w:shd w:fill="auto" w:val="clear"/>
            <w:vAlign w:val="center"/>
          </w:tcPr>
          <w:p>
            <w:pPr>
              <w:pStyle w:val="TableContents"/>
              <w:spacing w:before="0" w:after="283"/>
              <w:rPr/>
            </w:pPr>
            <w:r>
              <w:rPr/>
              <w:t> </w:t>
            </w:r>
          </w:p>
        </w:tc>
        <w:tc>
          <w:tcPr>
            <w:tcW w:w="3049" w:type="dxa"/>
            <w:gridSpan w:val="2"/>
            <w:tcBorders/>
            <w:shd w:fill="auto" w:val="clear"/>
            <w:vAlign w:val="center"/>
          </w:tcPr>
          <w:p>
            <w:pPr>
              <w:pStyle w:val="TableContents"/>
              <w:spacing w:before="0" w:after="0"/>
              <w:jc w:val="left"/>
              <w:rPr>
                <w:rFonts w:ascii="Times New Roman" w:hAnsi="Times New Roman"/>
                <w:b/>
                <w:color w:val="000000"/>
                <w:sz w:val="20"/>
              </w:rPr>
            </w:pPr>
            <w:r>
              <w:rPr>
                <w:rFonts w:ascii="Times New Roman" w:hAnsi="Times New Roman"/>
                <w:b/>
                <w:color w:val="000000"/>
                <w:sz w:val="20"/>
              </w:rPr>
              <w:t>SOUTH PLAINS FINANCIAL, INC.</w:t>
            </w:r>
          </w:p>
        </w:tc>
      </w:tr>
      <w:tr>
        <w:trPr/>
        <w:tc>
          <w:tcPr>
            <w:tcW w:w="1835" w:type="dxa"/>
            <w:tcBorders/>
            <w:shd w:fill="auto" w:val="clear"/>
            <w:vAlign w:val="center"/>
          </w:tcPr>
          <w:p>
            <w:pPr>
              <w:pStyle w:val="TableContents"/>
              <w:spacing w:before="0" w:after="283"/>
              <w:rPr/>
            </w:pPr>
            <w:r>
              <w:rPr/>
              <w:t> </w:t>
            </w:r>
          </w:p>
        </w:tc>
        <w:tc>
          <w:tcPr>
            <w:tcW w:w="3049" w:type="dxa"/>
            <w:gridSpan w:val="2"/>
            <w:tcBorders/>
            <w:shd w:fill="auto" w:val="clear"/>
            <w:vAlign w:val="center"/>
          </w:tcPr>
          <w:p>
            <w:pPr>
              <w:pStyle w:val="TableContents"/>
              <w:spacing w:before="0" w:after="283"/>
              <w:rPr/>
            </w:pPr>
            <w:r>
              <w:rPr/>
              <w:t> </w:t>
            </w:r>
          </w:p>
        </w:tc>
      </w:tr>
      <w:tr>
        <w:trPr/>
        <w:tc>
          <w:tcPr>
            <w:tcW w:w="183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Dated:  April 27, 2023</w:t>
            </w:r>
          </w:p>
        </w:tc>
        <w:tc>
          <w:tcPr>
            <w:tcW w:w="462"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By:</w:t>
            </w:r>
          </w:p>
        </w:tc>
        <w:tc>
          <w:tcPr>
            <w:tcW w:w="2587" w:type="dxa"/>
            <w:tcBorders>
              <w:bottom w:val="single" w:sz="12" w:space="0" w:color="000000"/>
            </w:tcBorders>
            <w:shd w:fill="auto" w:val="clear"/>
            <w:tcMar>
              <w:bottom w:w="28" w:type="dxa"/>
            </w:tcM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/s/ Steven B. Crockett</w:t>
            </w:r>
          </w:p>
        </w:tc>
      </w:tr>
    </w:tbl>
    <w:tbl>
      <w:tblPr>
        <w:tblW w:w="3170" w:type="dxa"/>
        <w:jc w:val="left"/>
        <w:tblInd w:w="0" w:type="dxa"/>
        <w:tblCellMar>
          <w:top w:w="0" w:type="dxa"/>
          <w:left w:w="0" w:type="dxa"/>
          <w:bottom w:w="0" w:type="dxa"/>
          <w:right w:w="0" w:type="dxa"/>
        </w:tblCellMar>
      </w:tblPr>
      <w:tblGrid>
        <w:gridCol w:w="75"/>
        <w:gridCol w:w="60"/>
        <w:gridCol w:w="303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Steven B. Crockett</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Chief Financial Officer and Treasurer</w:t>
            </w:r>
          </w:p>
        </w:tc>
      </w:tr>
    </w:tbl>
    <w:p>
      <w:pPr>
        <w:pStyle w:val="TextBody"/>
        <w:spacing w:before="0" w:after="0"/>
        <w:rPr>
          <w:sz w:val="20"/>
        </w:rPr>
      </w:pPr>
      <w:r>
        <w:rPr>
          <w:sz w:val="20"/>
        </w:rPr>
      </w:r>
    </w:p>
    <w:p>
      <w:pPr>
        <w:pStyle w:val="TextBody"/>
        <w:spacing w:before="0" w:after="0"/>
        <w:rPr>
          <w:sz w:val="20"/>
        </w:rPr>
      </w:pPr>
      <w:r>
        <w:rPr>
          <w:sz w:val="20"/>
        </w:rPr>
      </w:r>
    </w:p>
    <w:p>
      <w:pPr>
        <w:pStyle w:val="HorizontalLine"/>
        <w:rPr/>
      </w:pPr>
      <w:r>
        <w:rPr/>
      </w:r>
      <w:r>
        <w:br w:type="page"/>
      </w:r>
    </w:p>
    <w:p>
      <w:pPr>
        <w:pStyle w:val="HorizontalLine"/>
        <w:pBdr>
          <w:bottom w:val="single" w:sz="20" w:space="0" w:color="808080"/>
        </w:pBdr>
        <w:rPr/>
      </w:pPr>
      <w:r>
        <w:rPr/>
      </w:r>
      <w:bookmarkStart w:id="0" w:name="brhc20052107_ex99-1.htm"/>
      <w:bookmarkStart w:id="1" w:name="ksbrhc20052107_ex991"/>
      <w:bookmarkStart w:id="2" w:name="brhc20052107_ex99-1.htm"/>
      <w:bookmarkStart w:id="3" w:name="ksbrhc20052107_ex991"/>
      <w:bookmarkEnd w:id="2"/>
      <w:bookmarkEnd w:id="3"/>
    </w:p>
    <w:p>
      <w:pPr>
        <w:pStyle w:val="TextBody"/>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spacing w:before="0" w:after="0"/>
        <w:rPr/>
      </w:pPr>
      <w:r>
        <w:rPr/>
      </w:r>
    </w:p>
    <w:p>
      <w:pPr>
        <w:pStyle w:val="TextBody"/>
        <w:spacing w:before="0" w:after="0"/>
        <w:jc w:val="left"/>
        <w:rPr/>
      </w:pPr>
      <w:r>
        <w:rPr/>
        <w:drawing>
          <wp:inline distT="0" distB="0" distL="0" distR="0">
            <wp:extent cx="369570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95700" cy="533400"/>
                    </a:xfrm>
                    <a:prstGeom prst="rect">
                      <a:avLst/>
                    </a:prstGeom>
                  </pic:spPr>
                </pic:pic>
              </a:graphicData>
            </a:graphic>
          </wp:inline>
        </w:drawing>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South Plains Financial, Inc. Reports First Quarter 2023 Financial Results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LUBBOCK, Texas, April 27, 2023 (GLOBE NEWSWIRE) – South Plains Financial, Inc. (NASDAQ:SPFI) (“South Plains” or the “Company”), the parent company of City Bank (“City Bank” or the “Bank”), today reported its financial results for the quarter ended March 31, 2023.</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First Quarter 2023 Highlights</w:t>
      </w:r>
    </w:p>
    <w:p>
      <w:pPr>
        <w:pStyle w:val="TextBody"/>
        <w:spacing w:before="0" w:after="0"/>
        <w:rPr/>
      </w:pPr>
      <w:r>
        <w:rPr/>
      </w:r>
    </w:p>
    <w:p>
      <w:pPr>
        <w:pStyle w:val="Normal"/>
        <w:spacing w:before="0" w:after="0"/>
        <w:rPr>
          <w:sz w:val="4"/>
          <w:szCs w:val="4"/>
        </w:rPr>
      </w:pPr>
      <w:r>
        <w:rPr>
          <w:sz w:val="4"/>
          <w:szCs w:val="4"/>
        </w:rPr>
      </w:r>
      <w:bookmarkStart w:id="4" w:name="z6ace0deb0f9348ab827fd79b639437a1"/>
      <w:bookmarkStart w:id="5" w:name="z6ace0deb0f9348ab827fd79b639437a1"/>
      <w:bookmarkEnd w:id="5"/>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Net income for the first quarter of 2023 was $9.2 million, compared to $12.6 million for the fourth quarter of 2022 and $14.3 million for the first quarter of 2022.</w:t>
            </w:r>
          </w:p>
        </w:tc>
      </w:tr>
    </w:tbl>
    <w:p>
      <w:pPr>
        <w:pStyle w:val="Normal"/>
        <w:spacing w:before="0" w:after="0"/>
        <w:rPr>
          <w:sz w:val="4"/>
          <w:szCs w:val="4"/>
        </w:rPr>
      </w:pPr>
      <w:r>
        <w:rPr>
          <w:sz w:val="4"/>
          <w:szCs w:val="4"/>
        </w:rPr>
      </w:r>
      <w:bookmarkStart w:id="6" w:name="zf61e364da02e47f28c259d845403e7d6"/>
      <w:bookmarkStart w:id="7" w:name="zf61e364da02e47f28c259d845403e7d6"/>
      <w:bookmarkEnd w:id="7"/>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Diluted earnings per share for the first quarter of 2023 was $0.53, compared to $0.71 for the fourth quarter of 2022 and $0.78 for the first quarter of 2022.</w:t>
            </w:r>
          </w:p>
        </w:tc>
      </w:tr>
    </w:tbl>
    <w:p>
      <w:pPr>
        <w:pStyle w:val="Normal"/>
        <w:spacing w:before="0" w:after="0"/>
        <w:rPr>
          <w:sz w:val="4"/>
          <w:szCs w:val="4"/>
        </w:rPr>
      </w:pPr>
      <w:r>
        <w:rPr>
          <w:sz w:val="4"/>
          <w:szCs w:val="4"/>
        </w:rPr>
      </w:r>
      <w:bookmarkStart w:id="8" w:name="z6a61176d9b124c1284d2f7f365371de6"/>
      <w:bookmarkStart w:id="9" w:name="z6a61176d9b124c1284d2f7f365371de6"/>
      <w:bookmarkEnd w:id="9"/>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Deposits grew $101.6 million, or 12% annualized, to $3.51 billion during the first quarter of 2023, as compared to December 31, 2022; an estimated 17% of quarter end deposits were uninsured or uncollateralized.</w:t>
            </w:r>
          </w:p>
        </w:tc>
      </w:tr>
    </w:tbl>
    <w:p>
      <w:pPr>
        <w:pStyle w:val="Normal"/>
        <w:spacing w:before="0" w:after="0"/>
        <w:rPr>
          <w:sz w:val="4"/>
          <w:szCs w:val="4"/>
        </w:rPr>
      </w:pPr>
      <w:r>
        <w:rPr>
          <w:sz w:val="4"/>
          <w:szCs w:val="4"/>
        </w:rPr>
      </w:r>
      <w:bookmarkStart w:id="10" w:name="zc3a2cb0cd532432fb0236659411cb756"/>
      <w:bookmarkStart w:id="11" w:name="zc3a2cb0cd532432fb0236659411cb756"/>
      <w:bookmarkEnd w:id="11"/>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Average cost of deposits for the first quarter of 2023 was 136 basis points, compared to 97 basis points for the fourth quarter of 2022 and 23 basis points for the first quarter of 2022.</w:t>
            </w:r>
          </w:p>
        </w:tc>
      </w:tr>
    </w:tbl>
    <w:p>
      <w:pPr>
        <w:pStyle w:val="Normal"/>
        <w:spacing w:before="0" w:after="0"/>
        <w:rPr>
          <w:sz w:val="4"/>
          <w:szCs w:val="4"/>
        </w:rPr>
      </w:pPr>
      <w:r>
        <w:rPr>
          <w:sz w:val="4"/>
          <w:szCs w:val="4"/>
        </w:rPr>
      </w:r>
      <w:bookmarkStart w:id="12" w:name="zfdea65cc91fb4147a12db866d1002058"/>
      <w:bookmarkStart w:id="13" w:name="zfdea65cc91fb4147a12db866d1002058"/>
      <w:bookmarkEnd w:id="13"/>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Net interest margin, calculated on a tax-equivalent basis, was 3.75% for the first quarter of 2023, compared to 3.88% for the fourth quarter of 2022.</w:t>
            </w:r>
          </w:p>
        </w:tc>
      </w:tr>
    </w:tbl>
    <w:p>
      <w:pPr>
        <w:pStyle w:val="Normal"/>
        <w:spacing w:before="0" w:after="0"/>
        <w:rPr>
          <w:sz w:val="4"/>
          <w:szCs w:val="4"/>
        </w:rPr>
      </w:pPr>
      <w:r>
        <w:rPr>
          <w:sz w:val="4"/>
          <w:szCs w:val="4"/>
        </w:rPr>
      </w:r>
      <w:bookmarkStart w:id="14" w:name="z7a733a1055ef41dab4da1e69a6dcd58e"/>
      <w:bookmarkStart w:id="15" w:name="z7a733a1055ef41dab4da1e69a6dcd58e"/>
      <w:bookmarkEnd w:id="15"/>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Loans held for investment grew $40.6 million, or 5.9% annualized, during the first quarter of 2023, compared to December 31, 2022.</w:t>
            </w:r>
          </w:p>
        </w:tc>
      </w:tr>
    </w:tbl>
    <w:p>
      <w:pPr>
        <w:pStyle w:val="Normal"/>
        <w:spacing w:before="0" w:after="0"/>
        <w:rPr>
          <w:sz w:val="4"/>
          <w:szCs w:val="4"/>
        </w:rPr>
      </w:pPr>
      <w:r>
        <w:rPr>
          <w:sz w:val="4"/>
          <w:szCs w:val="4"/>
        </w:rPr>
      </w:r>
      <w:bookmarkStart w:id="16" w:name="zdccba325ef9549d09415ed40996fc754"/>
      <w:bookmarkStart w:id="17" w:name="zdccba325ef9549d09415ed40996fc754"/>
      <w:bookmarkEnd w:id="17"/>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The Company recorded a provision for credit losses of $1.0 million in the first quarter of 2023, compared to $248 thousand in the fourth quarter of 2022 and a negative provision of $2.1 million for the first quarter of 2022.</w:t>
            </w:r>
          </w:p>
        </w:tc>
      </w:tr>
    </w:tbl>
    <w:p>
      <w:pPr>
        <w:pStyle w:val="Normal"/>
        <w:spacing w:before="0" w:after="0"/>
        <w:rPr>
          <w:sz w:val="4"/>
          <w:szCs w:val="4"/>
        </w:rPr>
      </w:pPr>
      <w:r>
        <w:rPr>
          <w:sz w:val="4"/>
          <w:szCs w:val="4"/>
        </w:rPr>
      </w:r>
      <w:bookmarkStart w:id="18" w:name="z4a0208dd1d8e40ad997b37b6ad487da2"/>
      <w:bookmarkStart w:id="19" w:name="z4a0208dd1d8e40ad997b37b6ad487da2"/>
      <w:bookmarkEnd w:id="19"/>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Nonperforming assets to total assets were 0.19% at March 31, 2023, compared to 0.20% at December 31, 2022 and 0.33% at March 31, 2022.</w:t>
            </w:r>
          </w:p>
        </w:tc>
      </w:tr>
    </w:tbl>
    <w:p>
      <w:pPr>
        <w:pStyle w:val="Normal"/>
        <w:spacing w:before="0" w:after="0"/>
        <w:rPr>
          <w:sz w:val="4"/>
          <w:szCs w:val="4"/>
        </w:rPr>
      </w:pPr>
      <w:r>
        <w:rPr>
          <w:sz w:val="4"/>
          <w:szCs w:val="4"/>
        </w:rPr>
      </w:r>
      <w:bookmarkStart w:id="20" w:name="z34499028686945ffa45ea1cb09e4b8af"/>
      <w:bookmarkStart w:id="21" w:name="z34499028686945ffa45ea1cb09e4b8af"/>
      <w:bookmarkEnd w:id="21"/>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Return on average assets for the first quarter of 2023 was 0.95% annualized, compared to 1.27% annualized for the fourth quarter of 2022 and 1.47% annualized for the first quarter of 2022.</w:t>
            </w:r>
          </w:p>
        </w:tc>
      </w:tr>
    </w:tbl>
    <w:p>
      <w:pPr>
        <w:pStyle w:val="Normal"/>
        <w:spacing w:before="0" w:after="0"/>
        <w:rPr>
          <w:sz w:val="4"/>
          <w:szCs w:val="4"/>
        </w:rPr>
      </w:pPr>
      <w:r>
        <w:rPr>
          <w:sz w:val="4"/>
          <w:szCs w:val="4"/>
        </w:rPr>
      </w:r>
      <w:bookmarkStart w:id="22" w:name="z813bb96fb73b4c399643e7759533e065"/>
      <w:bookmarkStart w:id="23" w:name="z813bb96fb73b4c399643e7759533e065"/>
      <w:bookmarkEnd w:id="23"/>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Tangible book value (non-GAAP) per share was $20.19 as of March 31, 2023, compared to $19.57 per share as of December 31, 2022 and $20.49 per share as of March 31, 2022.</w:t>
            </w:r>
          </w:p>
        </w:tc>
      </w:tr>
    </w:tbl>
    <w:p>
      <w:pPr>
        <w:pStyle w:val="Normal"/>
        <w:spacing w:before="0" w:after="0"/>
        <w:rPr>
          <w:sz w:val="4"/>
          <w:szCs w:val="4"/>
        </w:rPr>
      </w:pPr>
      <w:r>
        <w:rPr>
          <w:sz w:val="4"/>
          <w:szCs w:val="4"/>
        </w:rPr>
      </w:r>
      <w:bookmarkStart w:id="24" w:name="zab4fe69504504982a8644aaddb14811e"/>
      <w:bookmarkStart w:id="25" w:name="zab4fe69504504982a8644aaddb14811e"/>
      <w:bookmarkEnd w:id="25"/>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Liquidity - The Company had available borrowing capacity of $1.75 billion through the Federal Home Loan Bank of Dallas, the Federal Reserve’s Discount Window, and access to the Federal Reserve’s Bank Term Funding Program at March 31, 2023.</w:t>
            </w:r>
          </w:p>
        </w:tc>
      </w:tr>
    </w:tbl>
    <w:p>
      <w:pPr>
        <w:pStyle w:val="Normal"/>
        <w:spacing w:before="0" w:after="0"/>
        <w:rPr>
          <w:sz w:val="4"/>
          <w:szCs w:val="4"/>
        </w:rPr>
      </w:pPr>
      <w:r>
        <w:rPr>
          <w:sz w:val="4"/>
          <w:szCs w:val="4"/>
        </w:rPr>
      </w:r>
      <w:bookmarkStart w:id="26" w:name="z9a7e9902258e4be1865b8aa737c3e0f9"/>
      <w:bookmarkStart w:id="27" w:name="z9a7e9902258e4be1865b8aa737c3e0f9"/>
      <w:bookmarkEnd w:id="27"/>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Capital - total risk-based capital ratio – 16.70%, Tier 1 risk-based capital ratio – 13.24%, Common Equity Tier 1 risk-based capital ratio – 11.92%, and Tier 1 leverage ratio - 11.22%, all at March 31, 2023 and significantly exceeding the minimum regulatory levels necessary to be deemed “well-capitalized.”</w:t>
            </w:r>
          </w:p>
        </w:tc>
      </w:tr>
    </w:tbl>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Subsequent Events</w:t>
      </w:r>
    </w:p>
    <w:p>
      <w:pPr>
        <w:pStyle w:val="TextBody"/>
        <w:spacing w:before="0" w:after="0"/>
        <w:rPr/>
      </w:pPr>
      <w:r>
        <w:rPr/>
      </w:r>
    </w:p>
    <w:p>
      <w:pPr>
        <w:pStyle w:val="Normal"/>
        <w:spacing w:before="0" w:after="0"/>
        <w:rPr>
          <w:sz w:val="4"/>
          <w:szCs w:val="4"/>
        </w:rPr>
      </w:pPr>
      <w:r>
        <w:rPr>
          <w:sz w:val="4"/>
          <w:szCs w:val="4"/>
        </w:rPr>
      </w:r>
      <w:bookmarkStart w:id="28" w:name="z4d43b63940b34a9c9c7eabd8f7de6c45"/>
      <w:bookmarkStart w:id="29" w:name="z4d43b63940b34a9c9c7eabd8f7de6c45"/>
      <w:bookmarkEnd w:id="29"/>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As previously announced, on April 1, 2023, the Company completed the sale of City Bank’s wholly owned subsidiary, Windmark Insurance Agency, Inc. (“Windmark”) to Alliant Insurance Services in an all cash transaction.</w:t>
            </w:r>
          </w:p>
        </w:tc>
      </w:tr>
    </w:tbl>
    <w:p>
      <w:pPr>
        <w:pStyle w:val="TextBody"/>
        <w:spacing w:before="0" w:after="0"/>
        <w:rPr/>
      </w:pPr>
      <w:r>
        <w:rPr/>
      </w:r>
    </w:p>
    <w:p>
      <w:pPr>
        <w:pStyle w:val="TextBody"/>
        <w:spacing w:before="0" w:after="0"/>
        <w:jc w:val="both"/>
        <w:rPr>
          <w:rFonts w:ascii="Times New Roman" w:hAnsi="Times New Roman"/>
          <w:sz w:val="20"/>
        </w:rPr>
      </w:pPr>
      <w:r>
        <w:rPr>
          <w:rFonts w:ascii="Times New Roman" w:hAnsi="Times New Roman"/>
          <w:sz w:val="20"/>
        </w:rPr>
        <w:t>Curtis Griffith, South Plains’ Chairman and Chief Executive Officer, commented, “Our results this quarter speak directly to the strength and financial soundness of City Bank as well as the customer relationships that we have developed over many years as we grew our deposit base 12% annualized, as compared to the fourth quarter of 2022, and ended the first quarter with an estimated 17% uninsured or uncollateralized deposits, an improvement from year end 2022 of 26%. We are also in a strong liquidity position with $1.75 billion of available borrowing capacity at quarter end from the FHLB Dallas and the Federal Reserve’s discount window and Bank Term Funding Program. Additionally, the sale of Windmark on April 1st has provided significant additional capital to augment our already strong capital position. In this time of economic uncertainty and unexpected difficulties in the banking sector, we believe it is prudent to maintain our capital well above the regulatory requirements and to also maintain our strict credit culture because we will not sacrifice credit quality in our loan portfolio for growth.”</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Results of Operations, Quarter Ended March 31, 2023</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Net Interest Income</w:t>
      </w:r>
    </w:p>
    <w:p>
      <w:pPr>
        <w:pStyle w:val="TextBody"/>
        <w:spacing w:before="0" w:after="0"/>
        <w:jc w:val="left"/>
        <w:rPr>
          <w:rFonts w:ascii="Times New Roman" w:hAnsi="Times New Roman"/>
          <w:b/>
          <w:color w:val="000000"/>
          <w:sz w:val="20"/>
        </w:rPr>
      </w:pPr>
      <w:r>
        <w:rPr>
          <w:rFonts w:ascii="Times New Roman" w:hAnsi="Times New Roman"/>
          <w:b/>
          <w:color w:val="000000"/>
          <w:sz w:val="20"/>
        </w:rPr>
      </w:r>
    </w:p>
    <w:p>
      <w:pPr>
        <w:pStyle w:val="TextBody"/>
        <w:spacing w:before="0" w:after="0"/>
        <w:jc w:val="both"/>
        <w:rPr>
          <w:rFonts w:ascii="Times New Roman" w:hAnsi="Times New Roman"/>
          <w:b w:val="false"/>
          <w:color w:val="000000"/>
          <w:sz w:val="20"/>
        </w:rPr>
      </w:pPr>
      <w:r>
        <w:rPr>
          <w:rFonts w:ascii="Times New Roman" w:hAnsi="Times New Roman"/>
          <w:b w:val="false"/>
          <w:color w:val="000000"/>
          <w:sz w:val="20"/>
        </w:rPr>
        <w:t xml:space="preserve">Net interest income was $34.3 million for the first quarter of 2023, compared to $36.3 million for the fourth quarter of 2022 and $29.9 million for the first quarter of 2022. Net interest margin, calculated on a tax-equivalent basis, was 3.75% for the first quarter of 2023, compared to 3.88% for the fourth quarter of 2022 and 3.33% for the first quarter of 2022. The average yield on loans was 5.78% for the first quarter of 2023, compared to 5.59% for the fourth quarter of 2022 and 4.80% for the first quarter of 2022. The average cost of deposits was 136 basis points for the first quarter of 2023, which is 39 basis points higher than the fourth quarter of 2022 and 113 basis points higher than the first quarter of 2022. </w:t>
      </w:r>
    </w:p>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Interest income was $47.4 million for the first quarter of 2023, compared to $46.2 million for the fourth quarter of 2022 and $33.1 million for the first quarter of 2022. Interest income increased $1.2 million in the first quarter of 2023 from the fourth quarter of 2022, which was comprised of increases of $903 thousand in loan interest income and $317 thousand in interest income from securities and other interest-earning assets. The growth in loan interest income was primarily due to an increase of $33.3 million in average loans outstanding and the rising short-term interest rate environment, partially offset by a $0.9 million purchase discount principal and interest recovery recorded in the fourth quarter of 2022. The increase in interest income on securities and other interest-earning assets was primarily due to continued rising market short-term interest rates. Interest income increased $14.4 million in the first quarter of 2023 compared to the first quarter of 2022. This increase was primarily due to an increase of average loans of $296.3 million, securities purchases, and higher market interest rates during the period.</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Interest expense was $13.1 million for the first quarter of 2023, compared to $9.9 million for the fourth quarter of 2022 and $3.1 million for the first quarter of 2022. Interest expense increased $3.2 million compared to the fourth quarter of 2022 and $10.0 million compared to the first quarter of 2022, primarily as a result of significantly rising short-term interest rates on interest-bearing liabilities, with the increase being mainly comprised of interest expense on deposits.</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Noninterest Income and Noninterest Expense</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Noninterest income was $10.7 million for the first quarter of 2023, compared to $12.7 million for the fourth quarter of 2022 and $23.7 million for the first quarter of 2022. The decrease from the fourth quarter of 2022 was primarily due to the seasonal decrease of $1.4 million in income from insurance activities and a decrease of $491 thousand in mortgage banking activities revenue. The decrease in mortgage banking activities revenues was mainly the result of a $2.0 million fair value write-down of the mortgage servicing rights portfolio compared to the write-down of $1.3 million in the fourth quarter of 2022, partially offset by an increase of $14.8 million in interest rate lock commitments, as the residential mortgage market experienced overall lower market interest rates compared to the fourth quarter of 2022. The decrease in noninterest income for the first quarter of 2023 as compared to the first quarter of 2022 was primarily due to a decline of $11.4 million in mortgage banking activities revenue as mortgage loan originations declined $148.5 million as a result of higher market interest rates and a reduction in the number of mortgage loan originators.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Noninterest expense was $32.4 million for the first quarter of 2023, compared to $32.7 million for the fourth quarter of 2022 and $37.9 million for the first quarter of 2022. The 1.1% decrease from the fourth quarter of 2022 was largely the result of declines in legal, marketing, and property repair and maintenance expense, partially offset by an increase in personnel expense. The decrease in noninterest expense for the first quarter of 2023 as compared to the first quarter of 2022 was primarily driven by a reduction of $3.0 million in mortgage personnel costs and $830 thousand in other variable mortgage-based expenses due to the decline in mortgage loan originations, in addition to a decrease of $789 thousand in legal expenses.</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Loan Portfolio and Composition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Loans held for investment were $2.79 billion as of March 31, 2023, compared to $2.75 billion as of December 31, 2022 and $2.45 billion as of March 31, 2022. The $40.6 million, or 1.5%, increase during the first quarter of 2023 as compared to the fourth quarter of 2022 remained relationship-focused and occurred primarily in commercial real estate loans and residential mortgage loans, partially offset by a decrease in residential construction loans. As of March 31, 2023, loans held for investment increased $335.0 million, or 13.7% year over year, from March 31, 2022, primarily attributable to strong organic loan growth.</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Deposits and Borrowings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Deposits totaled $3.51 billion as of March 31, 2023, compared to $3.41 billion as of December 31, 2022 and $3.45 billion as of March 31, 2022. Deposits increased by $101.6 million, or 3.0%, in the first quarter of 2023 from December 31, 2022. As of March 31, 2023, deposits increased $57.9 million, or 1.7% year over year, from March 31, 2022. Noninterest-bearing deposits were $1.11 billion as of March 31, 2023, compared to $1.15 billion as of December 31, 2022 and $1.13 billion as of March 31, 2022. Noninterest-bearing deposits represented 31.7% of total deposits as of March 31, 2023. The quarterly growth in deposits was mainly the result of increased focus on liquidity and occurred predominately in our public fund deposits. The year-over-year increase in deposits is primarily a result of the noted growth in the first quarter of 2023, partially offset by deposit outflows experienced in the fourth quarter of 2022.</w:t>
      </w:r>
    </w:p>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Asset Quality</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recorded a provision for credit losses in the first quarter of 2023 of $1.0 million, compared to $248 thousand in the fourth quarter of 2022 and a negative provision of $2.1 million in the first quarter of 2022. The Company continued to largely experience stable credit metrics in the loan portfolio during the first quarter of 2023. The provision during the first quarter of 2023 was largely attributable to growth in loans held for investment and unfunded loan commitments. Forecasted economic conditions continue to remain uncertain due to the interest rate environment and persistent high inflation levels in the United States, and provisions for credit losses may be necessary in future periods.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ratio of allowance for credit losses to loans held for investment was 1.42% as of March 31, 2023, compared to 1.43% as of December 31, 2022 and 1.62% as of March 31, 2022.</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ratio of nonperforming assets to total assets as of March 31, 2023 was 0.19%, compared to 0.20% as of December 31, 2022 and 0.33% at March 31, 2022. Annualized net charge-offs (recoveries) were 0.09% for the first quarter of 2023, compared to 0.09% for the fourth quarter of 2022 and 0.06% for the first quarter of 2022.</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Capital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Book value per share increased to $21.57 at March 31, 2023, compared to $20.97 at December 31, 2022. The growth was mainly driven by an increase of $7.0 million of net income after dividends paid and a $4.7 million dollar increase in accumulated other comprehensive income (“AOCI”). The increase in AOCI was attributed to the rise in fair value of our available for sale securities and fair value hedges, net of tax, as a result of decreases in longer-term market interest rates during the period.</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Conference Call</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South Plains will host a conference call to discuss its first quarter 2023 financial results today, April 27, 2023, at 5:00 p.m., Eastern Time. Investors and analysts interested in participating in the call are invited to dial 1-877-300-8521 (international callers please dial 1-412-317-6026) approximately 10 minutes prior to the start of the call. A live audio webcast of the conference call and conference materials will be available on the Company’s website at </w:t>
      </w:r>
      <w:r>
        <w:rPr>
          <w:rFonts w:ascii="Times New Roman" w:hAnsi="Times New Roman"/>
          <w:color w:val="000000"/>
          <w:sz w:val="20"/>
          <w:u w:val="single"/>
        </w:rPr>
        <w:t>https://www.spfi.bank/news-events/events</w:t>
      </w:r>
      <w:r>
        <w:rPr>
          <w:rFonts w:ascii="Times New Roman" w:hAnsi="Times New Roman"/>
          <w:color w:val="000000"/>
          <w:sz w:val="20"/>
        </w:rPr>
        <w:t>.</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10177523. The replay will be available until May 11, 2023.</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About South Plains Financial, Inc.</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Times New Roman" w:hAnsi="Times New Roman"/>
          <w:color w:val="000000"/>
          <w:sz w:val="20"/>
          <w:u w:val="single"/>
        </w:rPr>
        <w:t>https://www.spfi.bank</w:t>
      </w:r>
      <w:r>
        <w:rPr>
          <w:rFonts w:ascii="Times New Roman" w:hAnsi="Times New Roman"/>
          <w:color w:val="000000"/>
          <w:sz w:val="20"/>
        </w:rPr>
        <w:t xml:space="preserve"> for more information.</w:t>
      </w:r>
    </w:p>
    <w:p>
      <w:pPr>
        <w:pStyle w:val="TextBody"/>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reconciliation of non-GAAP financial measures to GAAP financial measures is provided at the end of this press release.</w:t>
      </w:r>
    </w:p>
    <w:p>
      <w:pPr>
        <w:pStyle w:val="TextBody"/>
        <w:spacing w:before="0" w:after="0"/>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The Company routinely posts important information for investors on its web site (under </w:t>
      </w:r>
      <w:r>
        <w:rPr>
          <w:rFonts w:ascii="Times New Roman" w:hAnsi="Times New Roman"/>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color w:val="000000"/>
          <w:sz w:val="20"/>
          <w:u w:val="single"/>
        </w:rPr>
        <w:t>www.spfi.bank/news-events/press-releases</w:t>
      </w:r>
      <w:r>
        <w:rPr>
          <w:rFonts w:ascii="Times New Roman" w:hAnsi="Times New Roman"/>
          <w:color w:val="000000"/>
          <w:sz w:val="20"/>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document.</w:t>
      </w:r>
    </w:p>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Forward Looking Statements</w:t>
      </w:r>
    </w:p>
    <w:p>
      <w:pPr>
        <w:pStyle w:val="TextBody"/>
        <w:spacing w:before="0" w:after="0"/>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These forward-looking statements reflect South Plains’ current views with respect to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general economic conditions,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the uncertain impacts of quantitative tightening and current and future monetary policies of the Board of Governors of the Federal Reserve System, regulatory considerations, the extent of the impact of the COVID-19 pandemic (and any current or future variants thereof), competition and market expansion opportunities, changes in non-interest expenditures or in the anticipated benefits of such expenditures,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and other documents South Plains files with the SEC from time to time. South Plains urges readers of this press release to review the “</w:t>
      </w:r>
      <w:r>
        <w:rPr>
          <w:rFonts w:ascii="Times New Roman" w:hAnsi="Times New Roman"/>
          <w:i/>
          <w:color w:val="000000"/>
          <w:sz w:val="20"/>
        </w:rPr>
        <w:t>Risk Factors”</w:t>
      </w:r>
      <w:r>
        <w:rPr>
          <w:rFonts w:ascii="Times New Roman" w:hAnsi="Times New Roman"/>
          <w:color w:val="000000"/>
          <w:sz w:val="20"/>
        </w:rPr>
        <w:t xml:space="preserve"> section of our most recent Annual Report on Form 10-K, as well as the “</w:t>
      </w:r>
      <w:r>
        <w:rPr>
          <w:rFonts w:ascii="Times New Roman" w:hAnsi="Times New Roman"/>
          <w:i/>
          <w:color w:val="000000"/>
          <w:sz w:val="20"/>
        </w:rPr>
        <w:t>Risk Factors</w:t>
      </w:r>
      <w:r>
        <w:rPr>
          <w:rFonts w:ascii="Times New Roman" w:hAnsi="Times New Roman"/>
          <w:color w:val="000000"/>
          <w:sz w:val="20"/>
        </w:rPr>
        <w:t xml:space="preserve">” section of other documents South Plains files or furnishes with the SEC from time to time, which are available on the SEC’s website, </w:t>
      </w:r>
      <w:r>
        <w:rPr>
          <w:rFonts w:ascii="Times New Roman" w:hAnsi="Times New Roman"/>
          <w:color w:val="000000"/>
          <w:sz w:val="20"/>
          <w:u w:val="single"/>
        </w:rPr>
        <w:t>www.sec.gov</w:t>
      </w:r>
      <w:r>
        <w:rPr>
          <w:rFonts w:ascii="Times New Roman" w:hAnsi="Times New Roman"/>
          <w:color w:val="000000"/>
          <w:sz w:val="20"/>
        </w:rPr>
        <w:t>.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 All forward-looking statements, express or implied, included in the press release are qualified in their entirety by this cautionary statement.</w:t>
      </w:r>
    </w:p>
    <w:p>
      <w:pPr>
        <w:pStyle w:val="TextBody"/>
        <w:spacing w:before="0" w:after="0"/>
        <w:rPr/>
      </w:pPr>
      <w:r>
        <w:rPr/>
      </w:r>
    </w:p>
    <w:p>
      <w:pPr>
        <w:pStyle w:val="Normal"/>
        <w:spacing w:before="0" w:after="0"/>
        <w:rPr>
          <w:sz w:val="4"/>
          <w:szCs w:val="4"/>
        </w:rPr>
      </w:pPr>
      <w:r>
        <w:rPr>
          <w:sz w:val="4"/>
          <w:szCs w:val="4"/>
        </w:rPr>
      </w:r>
      <w:bookmarkStart w:id="30" w:name="z52112552983c476592ecde43554078b1"/>
      <w:bookmarkStart w:id="31" w:name="z52112552983c476592ecde43554078b1"/>
      <w:bookmarkEnd w:id="31"/>
    </w:p>
    <w:tbl>
      <w:tblPr>
        <w:tblW w:w="4855" w:type="dxa"/>
        <w:jc w:val="left"/>
        <w:tblInd w:w="0" w:type="dxa"/>
        <w:tblCellMar>
          <w:top w:w="0" w:type="dxa"/>
          <w:left w:w="0" w:type="dxa"/>
          <w:bottom w:w="0" w:type="dxa"/>
          <w:right w:w="0" w:type="dxa"/>
        </w:tblCellMar>
      </w:tblPr>
      <w:tblGrid>
        <w:gridCol w:w="740"/>
        <w:gridCol w:w="4115"/>
      </w:tblGrid>
      <w:tr>
        <w:trPr/>
        <w:tc>
          <w:tcPr>
            <w:tcW w:w="740"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Contact:</w:t>
            </w:r>
          </w:p>
        </w:tc>
        <w:tc>
          <w:tcPr>
            <w:tcW w:w="411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Mikella Newsom, Chief Risk Officer and Secretary</w:t>
            </w:r>
          </w:p>
        </w:tc>
      </w:tr>
      <w:tr>
        <w:trPr/>
        <w:tc>
          <w:tcPr>
            <w:tcW w:w="74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0"/>
              <w:jc w:val="left"/>
              <w:rPr>
                <w:rFonts w:ascii="Times New Roman" w:hAnsi="Times New Roman"/>
                <w:color w:val="000000"/>
                <w:sz w:val="20"/>
              </w:rPr>
            </w:pPr>
            <w:r>
              <w:rPr>
                <w:rFonts w:ascii="Times New Roman" w:hAnsi="Times New Roman"/>
                <w:color w:val="000000"/>
                <w:sz w:val="20"/>
              </w:rPr>
              <w:t>(866) 771-3347</w:t>
            </w:r>
          </w:p>
        </w:tc>
      </w:tr>
      <w:tr>
        <w:trPr/>
        <w:tc>
          <w:tcPr>
            <w:tcW w:w="74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0"/>
              <w:jc w:val="left"/>
              <w:rPr>
                <w:rFonts w:ascii="Times New Roman" w:hAnsi="Times New Roman"/>
                <w:color w:val="000000"/>
                <w:sz w:val="20"/>
                <w:u w:val="single"/>
              </w:rPr>
            </w:pPr>
            <w:r>
              <w:rPr>
                <w:rFonts w:ascii="Times New Roman" w:hAnsi="Times New Roman"/>
                <w:color w:val="000000"/>
                <w:sz w:val="20"/>
                <w:u w:val="single"/>
              </w:rPr>
              <w:t>investors@city.bank</w:t>
            </w:r>
          </w:p>
        </w:tc>
      </w:tr>
    </w:tbl>
    <w:p>
      <w:pPr>
        <w:pStyle w:val="TextBody"/>
        <w:spacing w:before="0" w:after="0"/>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Source: South Plains Financial, Inc.</w:t>
      </w:r>
    </w:p>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spacing w:before="0" w:after="0"/>
        <w:jc w:val="left"/>
        <w:rPr>
          <w:rFonts w:ascii="Times New Roman" w:hAnsi="Times New Roman"/>
          <w:b/>
          <w:color w:val="000000"/>
          <w:sz w:val="20"/>
        </w:rPr>
      </w:pPr>
      <w:r>
        <w:rPr>
          <w:rFonts w:ascii="Times New Roman" w:hAnsi="Times New Roman"/>
          <w:b/>
          <w:color w:val="000000"/>
          <w:sz w:val="20"/>
        </w:rPr>
        <w:t>Consolidated Financial Highlights - (Unaudited)</w:t>
      </w:r>
    </w:p>
    <w:p>
      <w:pPr>
        <w:pStyle w:val="TextBody"/>
        <w:spacing w:before="0" w:after="0"/>
        <w:jc w:val="left"/>
        <w:rPr>
          <w:rFonts w:ascii="Times New Roman" w:hAnsi="Times New Roman"/>
          <w:b/>
          <w:color w:val="000000"/>
          <w:sz w:val="20"/>
        </w:rPr>
      </w:pPr>
      <w:r>
        <w:rPr>
          <w:rFonts w:ascii="Times New Roman" w:hAnsi="Times New Roman"/>
          <w:b/>
          <w:color w:val="000000"/>
          <w:sz w:val="20"/>
        </w:rPr>
        <w:t>(Dollars in thousands, except share data)</w:t>
      </w:r>
    </w:p>
    <w:p>
      <w:pPr>
        <w:pStyle w:val="TextBody"/>
        <w:spacing w:before="0" w:after="0"/>
        <w:rPr/>
      </w:pPr>
      <w:r>
        <w:rPr/>
      </w:r>
    </w:p>
    <w:p>
      <w:pPr>
        <w:pStyle w:val="Normal"/>
        <w:spacing w:before="0" w:after="0"/>
        <w:rPr>
          <w:sz w:val="4"/>
          <w:szCs w:val="4"/>
        </w:rPr>
      </w:pPr>
      <w:r>
        <w:rPr>
          <w:sz w:val="4"/>
          <w:szCs w:val="4"/>
        </w:rPr>
      </w:r>
      <w:bookmarkStart w:id="32" w:name="zd282d35b811648fca11fc74fc5d67165"/>
      <w:bookmarkStart w:id="33" w:name="zd282d35b811648fca11fc74fc5d67165"/>
      <w:bookmarkEnd w:id="33"/>
    </w:p>
    <w:tbl>
      <w:tblPr>
        <w:tblW w:w="10205" w:type="dxa"/>
        <w:jc w:val="left"/>
        <w:tblInd w:w="0" w:type="dxa"/>
        <w:tblCellMar>
          <w:top w:w="0" w:type="dxa"/>
          <w:left w:w="0" w:type="dxa"/>
          <w:bottom w:w="0" w:type="dxa"/>
          <w:right w:w="0" w:type="dxa"/>
        </w:tblCellMar>
      </w:tblPr>
      <w:tblGrid>
        <w:gridCol w:w="3274"/>
        <w:gridCol w:w="60"/>
        <w:gridCol w:w="125"/>
        <w:gridCol w:w="950"/>
        <w:gridCol w:w="185"/>
        <w:gridCol w:w="60"/>
        <w:gridCol w:w="130"/>
        <w:gridCol w:w="995"/>
        <w:gridCol w:w="185"/>
        <w:gridCol w:w="60"/>
        <w:gridCol w:w="141"/>
        <w:gridCol w:w="1079"/>
        <w:gridCol w:w="245"/>
        <w:gridCol w:w="60"/>
        <w:gridCol w:w="125"/>
        <w:gridCol w:w="950"/>
        <w:gridCol w:w="245"/>
        <w:gridCol w:w="60"/>
        <w:gridCol w:w="125"/>
        <w:gridCol w:w="950"/>
        <w:gridCol w:w="201"/>
      </w:tblGrid>
      <w:tr>
        <w:trPr/>
        <w:tc>
          <w:tcPr>
            <w:tcW w:w="32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70" w:type="dxa"/>
            <w:gridSpan w:val="18"/>
            <w:tcBorders/>
            <w:shd w:fill="auto" w:val="cle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As of and for the quarter ended</w:t>
            </w:r>
          </w:p>
        </w:tc>
        <w:tc>
          <w:tcPr>
            <w:tcW w:w="201" w:type="dxa"/>
            <w:tcBorders/>
            <w:shd w:fill="auto"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1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18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2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2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201" w:type="dxa"/>
            <w:tcBorders/>
            <w:shd w:fill="auto"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Selected Income Statement Data:</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5"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Interest income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47,448</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46,228</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41,108</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40,752</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33,080</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Interest expense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13,133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9,906</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6,006</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3,647</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3,133</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34,315</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36,322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35,102</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37,105</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29,947</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Provision for credit losses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1,010</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248</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(782</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(2,085</w:t>
            </w:r>
          </w:p>
        </w:tc>
        <w:tc>
          <w:tcPr>
            <w:tcW w:w="201"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Noninterest income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10,691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12,676</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20,937</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18,835</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23,697</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Noninterest expense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32,361</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32,708</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37,401</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36,056</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37,924</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2,391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3,421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3,962</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4,001</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3,527</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9,244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12,621</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15,458</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15,883</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14,278</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Per Share Data (Common Stock):</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earnings, basic</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0.54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0.74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0.89</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0.91</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0.81</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earnings, diluted</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0.53</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0.71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0.86</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0.88</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0.78</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dividends declared and paid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0.12</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0.11</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0.11</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Book value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21.57</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20.97</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20.03</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20.91</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21.90</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Tangible book value (non-GAAP)</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20.19</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19.57</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18.61</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19.50</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20.49</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 basic</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17,046,713</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17,007,914</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17,286,531</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17,490,706</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17,716,136</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Weighted average shares outstanding, dilutive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17,560,756</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17,751,674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17,901,899</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18,020,548</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18,392,397</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Shares outstanding at end of period</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17,062,572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17,027,197</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17,064,640</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17,417,094</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17,673,407</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Selected Period End Balance Sheet Data:</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328,002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234,883</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329,962</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375,690</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528,612</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Investment securities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698,579</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701,711</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711,412</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763,943</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793,404</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loans held for investment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2,788,640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2,748,081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2,690,366</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2,580,493</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2,453,631</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Allowance for credit losses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39,560</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39,288</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39,657</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39,785</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39,649</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4,058,049</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3,944,063</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3,992,690</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3,974,724</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3,999,744</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2,397,115</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2,255,942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2,198,464</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2,230,105</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2,318,942</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1,110,939</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1,150,488</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1,262,072</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1,195,732</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1,131,215</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deposits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3,508,054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3,406,430</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3,460,536</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3,425,837</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3,450,157</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Borrowings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122,400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122,354</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122,307</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122,261</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122,214</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367,964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357,014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341,799</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364,222</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387,068</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Summary Performance Ratios: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Return on average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0.95</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1.27</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1.53</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1.60</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1.47</w:t>
            </w:r>
          </w:p>
        </w:tc>
        <w:tc>
          <w:tcPr>
            <w:tcW w:w="201"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Return on average equity</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10.34</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14.33</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17.37</w:t>
            </w:r>
          </w:p>
        </w:tc>
        <w:tc>
          <w:tcPr>
            <w:tcW w:w="24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16.96</w:t>
            </w:r>
          </w:p>
        </w:tc>
        <w:tc>
          <w:tcPr>
            <w:tcW w:w="24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14.58</w:t>
            </w:r>
          </w:p>
        </w:tc>
        <w:tc>
          <w:tcPr>
            <w:tcW w:w="20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auto" w:val="clear"/>
            <w:vAlign w:val="bottom"/>
          </w:tcPr>
          <w:p>
            <w:pPr>
              <w:pStyle w:val="TableContents"/>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(1)</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3.75</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3.88</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3.70</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4.02</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3.33</w:t>
            </w:r>
          </w:p>
        </w:tc>
        <w:tc>
          <w:tcPr>
            <w:tcW w:w="201"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Yield on loans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5.78</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5.59</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5.12</w:t>
            </w:r>
          </w:p>
        </w:tc>
        <w:tc>
          <w:tcPr>
            <w:tcW w:w="24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5.57</w:t>
            </w:r>
          </w:p>
        </w:tc>
        <w:tc>
          <w:tcPr>
            <w:tcW w:w="24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4.80</w:t>
            </w:r>
          </w:p>
        </w:tc>
        <w:tc>
          <w:tcPr>
            <w:tcW w:w="20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Cost of interest-bearing deposits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2.03</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1.52</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0.82</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0.42</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0.34</w:t>
            </w:r>
          </w:p>
        </w:tc>
        <w:tc>
          <w:tcPr>
            <w:tcW w:w="201"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Efficiency ratio</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71.42</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66.35</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66.38</w:t>
            </w:r>
          </w:p>
        </w:tc>
        <w:tc>
          <w:tcPr>
            <w:tcW w:w="24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64.11</w:t>
            </w:r>
          </w:p>
        </w:tc>
        <w:tc>
          <w:tcPr>
            <w:tcW w:w="24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70.30</w:t>
            </w:r>
          </w:p>
        </w:tc>
        <w:tc>
          <w:tcPr>
            <w:tcW w:w="20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Summary Credit Quality Data:</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201" w:type="dxa"/>
            <w:tcBorders/>
            <w:shd w:fill="auto" w:val="clear"/>
            <w:vAlign w:val="bottom"/>
          </w:tcPr>
          <w:p>
            <w:pPr>
              <w:pStyle w:val="TableContents"/>
              <w:spacing w:before="0" w:after="283"/>
              <w:jc w:val="left"/>
              <w:rPr/>
            </w:pPr>
            <w:r>
              <w:rPr/>
              <w:t> </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loans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7,579</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7,790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7,834</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7,889</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12,141</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loans to total loans held for investment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0.27</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0.28</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0.29</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0.31</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0.49</w:t>
            </w:r>
          </w:p>
        </w:tc>
        <w:tc>
          <w:tcPr>
            <w:tcW w:w="201"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 real estate owned</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169</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59</w:t>
            </w:r>
          </w:p>
        </w:tc>
        <w:tc>
          <w:tcPr>
            <w:tcW w:w="24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1,141</w:t>
            </w:r>
          </w:p>
        </w:tc>
        <w:tc>
          <w:tcPr>
            <w:tcW w:w="201" w:type="dxa"/>
            <w:tcBorders/>
            <w:shd w:fill="CCEEFF" w:val="clear"/>
            <w:vAlign w:val="bottom"/>
          </w:tcPr>
          <w:p>
            <w:pPr>
              <w:pStyle w:val="TableContents"/>
              <w:spacing w:before="0" w:after="283"/>
              <w:jc w:val="left"/>
              <w:rPr/>
            </w:pPr>
            <w:r>
              <w:rPr/>
              <w:t> </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Nonperforming assets to total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0.19</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0.20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0.20</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0.20</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0.33</w:t>
            </w:r>
          </w:p>
        </w:tc>
        <w:tc>
          <w:tcPr>
            <w:tcW w:w="201"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Allowance for credit losses to total loans held for investment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1.42</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1.43</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1.47</w:t>
            </w:r>
          </w:p>
        </w:tc>
        <w:tc>
          <w:tcPr>
            <w:tcW w:w="24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1.54</w:t>
            </w:r>
          </w:p>
        </w:tc>
        <w:tc>
          <w:tcPr>
            <w:tcW w:w="24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1.62</w:t>
            </w:r>
          </w:p>
        </w:tc>
        <w:tc>
          <w:tcPr>
            <w:tcW w:w="20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4"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charge-offs to average loans outstanding (annualized)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0.09</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0.09</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 </w:t>
            </w:r>
          </w:p>
        </w:tc>
        <w:tc>
          <w:tcPr>
            <w:tcW w:w="107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(0.10</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(0.02</w:t>
            </w:r>
          </w:p>
        </w:tc>
        <w:tc>
          <w:tcPr>
            <w:tcW w:w="24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0.06</w:t>
            </w:r>
          </w:p>
        </w:tc>
        <w:tc>
          <w:tcPr>
            <w:tcW w:w="201"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spacing w:before="0" w:after="0"/>
        <w:rPr/>
      </w:pPr>
      <w:r>
        <w:rPr/>
      </w:r>
    </w:p>
    <w:p>
      <w:pPr>
        <w:pStyle w:val="HorizontalLine"/>
        <w:pBdr>
          <w:bottom w:val="single" w:sz="20" w:space="0" w:color="808080"/>
        </w:pBdr>
        <w:spacing w:before="200" w:after="200"/>
        <w:rPr/>
      </w:pPr>
      <w:r>
        <w:rPr/>
      </w:r>
    </w:p>
    <w:p>
      <w:pPr>
        <w:pStyle w:val="Normal"/>
        <w:spacing w:before="0" w:after="0"/>
        <w:rPr>
          <w:sz w:val="4"/>
          <w:szCs w:val="4"/>
        </w:rPr>
      </w:pPr>
      <w:r>
        <w:rPr>
          <w:sz w:val="4"/>
          <w:szCs w:val="4"/>
        </w:rPr>
      </w:r>
      <w:bookmarkStart w:id="34" w:name="z5b9aebafc361415baf4fbc35c60ad2ba"/>
      <w:bookmarkStart w:id="35" w:name="z5b9aebafc361415baf4fbc35c60ad2ba"/>
      <w:bookmarkEnd w:id="35"/>
    </w:p>
    <w:tbl>
      <w:tblPr>
        <w:tblW w:w="10205" w:type="dxa"/>
        <w:jc w:val="left"/>
        <w:tblInd w:w="0" w:type="dxa"/>
        <w:tblCellMar>
          <w:top w:w="0" w:type="dxa"/>
          <w:left w:w="0" w:type="dxa"/>
          <w:bottom w:w="0" w:type="dxa"/>
          <w:right w:w="0" w:type="dxa"/>
        </w:tblCellMar>
      </w:tblPr>
      <w:tblGrid>
        <w:gridCol w:w="4218"/>
        <w:gridCol w:w="60"/>
        <w:gridCol w:w="88"/>
        <w:gridCol w:w="730"/>
        <w:gridCol w:w="185"/>
        <w:gridCol w:w="60"/>
        <w:gridCol w:w="124"/>
        <w:gridCol w:w="1019"/>
        <w:gridCol w:w="185"/>
        <w:gridCol w:w="60"/>
        <w:gridCol w:w="134"/>
        <w:gridCol w:w="1086"/>
        <w:gridCol w:w="185"/>
        <w:gridCol w:w="60"/>
        <w:gridCol w:w="77"/>
        <w:gridCol w:w="628"/>
        <w:gridCol w:w="185"/>
        <w:gridCol w:w="60"/>
        <w:gridCol w:w="92"/>
        <w:gridCol w:w="766"/>
        <w:gridCol w:w="203"/>
      </w:tblGrid>
      <w:tr>
        <w:trPr/>
        <w:tc>
          <w:tcPr>
            <w:tcW w:w="42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724" w:type="dxa"/>
            <w:gridSpan w:val="18"/>
            <w:tcBorders/>
            <w:shd w:fill="auto" w:val="cle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As of and for the quarter ended</w:t>
            </w:r>
          </w:p>
        </w:tc>
        <w:tc>
          <w:tcPr>
            <w:tcW w:w="203" w:type="dxa"/>
            <w:tcBorders/>
            <w:shd w:fill="auto" w:val="clear"/>
            <w:vAlign w:val="bottom"/>
          </w:tcPr>
          <w:p>
            <w:pPr>
              <w:pStyle w:val="TableContents"/>
              <w:spacing w:before="0" w:after="283"/>
              <w:jc w:val="left"/>
              <w:rPr/>
            </w:pPr>
            <w:r>
              <w:rPr/>
              <w:t> </w:t>
            </w:r>
          </w:p>
        </w:tc>
      </w:tr>
      <w:tr>
        <w:trPr/>
        <w:tc>
          <w:tcPr>
            <w:tcW w:w="421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203" w:type="dxa"/>
            <w:tcBorders/>
            <w:shd w:fill="auto" w:val="clear"/>
            <w:vAlign w:val="bottom"/>
          </w:tcPr>
          <w:p>
            <w:pPr>
              <w:pStyle w:val="TableContents"/>
              <w:spacing w:before="0" w:after="283"/>
              <w:jc w:val="left"/>
              <w:rPr/>
            </w:pPr>
            <w:r>
              <w:rPr/>
              <w:t> </w:t>
            </w:r>
          </w:p>
        </w:tc>
      </w:tr>
      <w:tr>
        <w:trPr/>
        <w:tc>
          <w:tcPr>
            <w:tcW w:w="4218"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Capital Ratios:</w:t>
            </w:r>
          </w:p>
        </w:tc>
        <w:tc>
          <w:tcPr>
            <w:tcW w:w="60" w:type="dxa"/>
            <w:tcBorders/>
            <w:shd w:fill="auto" w:val="clear"/>
            <w:vAlign w:val="bottom"/>
          </w:tcPr>
          <w:p>
            <w:pPr>
              <w:pStyle w:val="TableContents"/>
              <w:spacing w:before="0" w:after="283"/>
              <w:rPr/>
            </w:pPr>
            <w:r>
              <w:rPr/>
              <w:t> </w:t>
            </w:r>
          </w:p>
        </w:tc>
        <w:tc>
          <w:tcPr>
            <w:tcW w:w="818"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3"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05"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58" w:type="dxa"/>
            <w:gridSpan w:val="2"/>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r>
      <w:tr>
        <w:trPr/>
        <w:tc>
          <w:tcPr>
            <w:tcW w:w="4218"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 to total assets</w:t>
            </w:r>
          </w:p>
        </w:tc>
        <w:tc>
          <w:tcPr>
            <w:tcW w:w="6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73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9.07</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9.05</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8.56</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jc w:val="left"/>
              <w:rPr/>
            </w:pPr>
            <w:r>
              <w:rPr/>
              <w:t> </w:t>
            </w:r>
          </w:p>
        </w:tc>
        <w:tc>
          <w:tcPr>
            <w:tcW w:w="62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9.16</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9.68</w:t>
            </w:r>
          </w:p>
        </w:tc>
        <w:tc>
          <w:tcPr>
            <w:tcW w:w="203"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Tangible common equity to tangible assets (non-GAAP)</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jc w:val="left"/>
              <w:rPr/>
            </w:pPr>
            <w:r>
              <w:rPr/>
              <w:t> </w:t>
            </w:r>
          </w:p>
        </w:tc>
        <w:tc>
          <w:tcPr>
            <w:tcW w:w="73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8.54</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c>
          <w:tcPr>
            <w:tcW w:w="101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8.50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1086"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8.00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jc w:val="left"/>
              <w:rPr/>
            </w:pPr>
            <w:r>
              <w:rPr/>
              <w:t> </w:t>
            </w:r>
          </w:p>
        </w:tc>
        <w:tc>
          <w:tcPr>
            <w:tcW w:w="62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8.60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jc w:val="left"/>
              <w:rPr/>
            </w:pPr>
            <w:r>
              <w:rPr/>
              <w:t> </w:t>
            </w:r>
          </w:p>
        </w:tc>
        <w:tc>
          <w:tcPr>
            <w:tcW w:w="766"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9.11</w:t>
            </w:r>
          </w:p>
        </w:tc>
        <w:tc>
          <w:tcPr>
            <w:tcW w:w="203"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Common equity tier 1 to risk-weighted assets</w:t>
            </w:r>
          </w:p>
        </w:tc>
        <w:tc>
          <w:tcPr>
            <w:tcW w:w="6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73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11.92</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11.81</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11.67</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jc w:val="left"/>
              <w:rPr/>
            </w:pPr>
            <w:r>
              <w:rPr/>
              <w:t> </w:t>
            </w:r>
          </w:p>
        </w:tc>
        <w:tc>
          <w:tcPr>
            <w:tcW w:w="62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12.24</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12.86</w:t>
            </w:r>
          </w:p>
        </w:tc>
        <w:tc>
          <w:tcPr>
            <w:tcW w:w="203"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Tier 1 capital to average assets</w:t>
            </w:r>
          </w:p>
        </w:tc>
        <w:tc>
          <w:tcPr>
            <w:tcW w:w="6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jc w:val="left"/>
              <w:rPr/>
            </w:pPr>
            <w:r>
              <w:rPr/>
              <w:t> </w:t>
            </w:r>
          </w:p>
        </w:tc>
        <w:tc>
          <w:tcPr>
            <w:tcW w:w="73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11.22</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c>
          <w:tcPr>
            <w:tcW w:w="101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11.03</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1086"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10.95</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jc w:val="left"/>
              <w:rPr/>
            </w:pPr>
            <w:r>
              <w:rPr/>
              <w:t> </w:t>
            </w:r>
          </w:p>
        </w:tc>
        <w:tc>
          <w:tcPr>
            <w:tcW w:w="62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10.93</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jc w:val="left"/>
              <w:rPr/>
            </w:pPr>
            <w:r>
              <w:rPr/>
              <w:t> </w:t>
            </w:r>
          </w:p>
        </w:tc>
        <w:tc>
          <w:tcPr>
            <w:tcW w:w="766"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10.78</w:t>
            </w:r>
          </w:p>
        </w:tc>
        <w:tc>
          <w:tcPr>
            <w:tcW w:w="203"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218"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capital to risk-weighted assets</w:t>
            </w:r>
          </w:p>
        </w:tc>
        <w:tc>
          <w:tcPr>
            <w:tcW w:w="60"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jc w:val="left"/>
              <w:rPr/>
            </w:pPr>
            <w:r>
              <w:rPr/>
              <w:t> </w:t>
            </w:r>
          </w:p>
        </w:tc>
        <w:tc>
          <w:tcPr>
            <w:tcW w:w="73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16.70</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1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16.58</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16.46</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jc w:val="left"/>
              <w:rPr/>
            </w:pPr>
            <w:r>
              <w:rPr/>
              <w:t> </w:t>
            </w:r>
          </w:p>
        </w:tc>
        <w:tc>
          <w:tcPr>
            <w:tcW w:w="62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17.32</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18.22</w:t>
            </w:r>
          </w:p>
        </w:tc>
        <w:tc>
          <w:tcPr>
            <w:tcW w:w="203"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spacing w:before="0" w:after="0"/>
        <w:rPr/>
      </w:pPr>
      <w:r>
        <w:rPr/>
      </w:r>
    </w:p>
    <w:p>
      <w:pPr>
        <w:pStyle w:val="Normal"/>
        <w:spacing w:before="0" w:after="0"/>
        <w:rPr>
          <w:sz w:val="4"/>
          <w:szCs w:val="4"/>
        </w:rPr>
      </w:pPr>
      <w:r>
        <w:rPr>
          <w:sz w:val="4"/>
          <w:szCs w:val="4"/>
        </w:rPr>
      </w:r>
      <w:bookmarkStart w:id="36" w:name="z4a3c2f85e458469e87bddc420c1b46b1"/>
      <w:bookmarkStart w:id="37" w:name="z4a3c2f85e458469e87bddc420c1b46b1"/>
      <w:bookmarkEnd w:id="37"/>
    </w:p>
    <w:tbl>
      <w:tblPr>
        <w:tblW w:w="10205" w:type="dxa"/>
        <w:jc w:val="left"/>
        <w:tblInd w:w="0" w:type="dxa"/>
        <w:tblCellMar>
          <w:top w:w="0" w:type="dxa"/>
          <w:left w:w="0" w:type="dxa"/>
          <w:bottom w:w="0" w:type="dxa"/>
          <w:right w:w="0" w:type="dxa"/>
        </w:tblCellMar>
      </w:tblPr>
      <w:tblGrid>
        <w:gridCol w:w="251"/>
        <w:gridCol w:w="9954"/>
      </w:tblGrid>
      <w:tr>
        <w:trPr/>
        <w:tc>
          <w:tcPr>
            <w:tcW w:w="251"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(1)</w:t>
            </w:r>
          </w:p>
        </w:tc>
        <w:tc>
          <w:tcPr>
            <w:tcW w:w="9954"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Net interest margin is calculated as the annual net interest income, on a fully tax-equivalent basis, divided by average interest-earning assets.</w:t>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spacing w:before="0" w:after="0"/>
        <w:jc w:val="left"/>
        <w:rPr>
          <w:rFonts w:ascii="Times New Roman" w:hAnsi="Times New Roman"/>
          <w:b/>
          <w:color w:val="000000"/>
          <w:sz w:val="20"/>
        </w:rPr>
      </w:pPr>
      <w:r>
        <w:rPr>
          <w:rFonts w:ascii="Times New Roman" w:hAnsi="Times New Roman"/>
          <w:b/>
          <w:color w:val="000000"/>
          <w:sz w:val="20"/>
        </w:rPr>
        <w:t>Average Balances and Yields - (Unaudited)</w:t>
      </w:r>
    </w:p>
    <w:p>
      <w:pPr>
        <w:pStyle w:val="TextBody"/>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spacing w:before="0" w:after="0"/>
        <w:rPr/>
      </w:pPr>
      <w:r>
        <w:rPr/>
      </w:r>
    </w:p>
    <w:p>
      <w:pPr>
        <w:pStyle w:val="Normal"/>
        <w:spacing w:before="0" w:after="0"/>
        <w:rPr>
          <w:sz w:val="4"/>
          <w:szCs w:val="4"/>
        </w:rPr>
      </w:pPr>
      <w:r>
        <w:rPr>
          <w:sz w:val="4"/>
          <w:szCs w:val="4"/>
        </w:rPr>
      </w:r>
      <w:bookmarkStart w:id="38" w:name="z73a8dc60a77f431190180e01b4375bd6"/>
      <w:bookmarkStart w:id="39" w:name="z73a8dc60a77f431190180e01b4375bd6"/>
      <w:bookmarkEnd w:id="39"/>
    </w:p>
    <w:tbl>
      <w:tblPr>
        <w:tblW w:w="10205" w:type="dxa"/>
        <w:jc w:val="left"/>
        <w:tblInd w:w="0" w:type="dxa"/>
        <w:tblCellMar>
          <w:top w:w="0" w:type="dxa"/>
          <w:left w:w="0" w:type="dxa"/>
          <w:bottom w:w="0" w:type="dxa"/>
          <w:right w:w="0" w:type="dxa"/>
        </w:tblCellMar>
      </w:tblPr>
      <w:tblGrid>
        <w:gridCol w:w="4010"/>
        <w:gridCol w:w="60"/>
        <w:gridCol w:w="125"/>
        <w:gridCol w:w="845"/>
        <w:gridCol w:w="60"/>
        <w:gridCol w:w="60"/>
        <w:gridCol w:w="125"/>
        <w:gridCol w:w="590"/>
        <w:gridCol w:w="60"/>
        <w:gridCol w:w="60"/>
        <w:gridCol w:w="125"/>
        <w:gridCol w:w="795"/>
        <w:gridCol w:w="185"/>
        <w:gridCol w:w="60"/>
        <w:gridCol w:w="125"/>
        <w:gridCol w:w="845"/>
        <w:gridCol w:w="60"/>
        <w:gridCol w:w="60"/>
        <w:gridCol w:w="125"/>
        <w:gridCol w:w="590"/>
        <w:gridCol w:w="60"/>
        <w:gridCol w:w="60"/>
        <w:gridCol w:w="125"/>
        <w:gridCol w:w="795"/>
        <w:gridCol w:w="200"/>
      </w:tblGrid>
      <w:tr>
        <w:trPr/>
        <w:tc>
          <w:tcPr>
            <w:tcW w:w="4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35" w:type="dxa"/>
            <w:gridSpan w:val="2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For the Three Months Ended</w:t>
            </w:r>
          </w:p>
        </w:tc>
        <w:tc>
          <w:tcPr>
            <w:tcW w:w="200" w:type="dxa"/>
            <w:tcBorders/>
            <w:shd w:fill="auto"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4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 2023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845" w:type="dxa"/>
            <w:gridSpan w:val="10"/>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 2022</w:t>
            </w:r>
          </w:p>
        </w:tc>
        <w:tc>
          <w:tcPr>
            <w:tcW w:w="200" w:type="dxa"/>
            <w:tcBorders/>
            <w:shd w:fill="auto"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45" w:type="dxa"/>
            <w:gridSpan w:val="10"/>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845" w:type="dxa"/>
            <w:gridSpan w:val="10"/>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Yield/Rate</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Average</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Interest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Yield/Rate</w:t>
            </w:r>
          </w:p>
        </w:tc>
        <w:tc>
          <w:tcPr>
            <w:tcW w:w="200" w:type="dxa"/>
            <w:tcBorders/>
            <w:shd w:fill="auto"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0" w:type="dxa"/>
            <w:gridSpan w:val="2"/>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Loans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2,778,876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39,602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5.78</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2,482,603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29,379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4.80</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taxable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585,427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5,240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3.63</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520,672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1.83</w:t>
            </w:r>
          </w:p>
        </w:tc>
        <w:tc>
          <w:tcPr>
            <w:tcW w:w="20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Debt securities - nontaxable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213,191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1,413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2.69</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218,321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2.69</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 interest-bearing assets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161,955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1,495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3.74</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467,471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0.18</w:t>
            </w:r>
          </w:p>
        </w:tc>
        <w:tc>
          <w:tcPr>
            <w:tcW w:w="20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interest-earning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3,739,449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47,750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5.18</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3,689,067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33,385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3.67</w:t>
            </w:r>
          </w:p>
        </w:tc>
        <w:tc>
          <w:tcPr>
            <w:tcW w:w="20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Noninterest-earning assets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189,477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262,178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Total assets</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3,928,926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3,951,245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&amp; stockholders’ equity</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NOW, Savings, MMDA’s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1,988,555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9,984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2.04</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1,937,764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0.19</w:t>
            </w:r>
          </w:p>
        </w:tc>
        <w:tc>
          <w:tcPr>
            <w:tcW w:w="20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283,997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1,386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1.98</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339,104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1.17</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Short-term borrowings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Notes payable &amp; other long-term borrowings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75,984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5.40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75,798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5.41</w:t>
            </w:r>
          </w:p>
        </w:tc>
        <w:tc>
          <w:tcPr>
            <w:tcW w:w="20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6.57</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2.02</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Total interest-bearing liabilities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2,394,933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13,133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2.22</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2,399,063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3,133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0.53</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Demand deposits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1,109,344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1,104,091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62,160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50,843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Stockholders’ equity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362,489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397,248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Total liabilities &amp; stockholders’ equity</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3,928,926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3,951,245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401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34,617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30,252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795"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4010" w:type="dxa"/>
            <w:tcBorders/>
            <w:shd w:fill="CCEEFF" w:val="clear"/>
            <w:vAlign w:val="bottom"/>
          </w:tcPr>
          <w:p>
            <w:pPr>
              <w:pStyle w:val="TableContents"/>
              <w:spacing w:lineRule="auto" w:line="240" w:before="0" w:after="0"/>
              <w:ind w:left="144" w:right="0" w:hanging="144"/>
              <w:jc w:val="left"/>
              <w:rPr>
                <w:rFonts w:ascii="Times New Roman" w:hAnsi="Times New Roman"/>
                <w:color w:val="000000"/>
                <w:sz w:val="20"/>
              </w:rPr>
            </w:pPr>
            <w:r>
              <w:rPr>
                <w:rFonts w:ascii="Times New Roman" w:hAnsi="Times New Roman"/>
                <w:color w:val="000000"/>
                <w:sz w:val="20"/>
              </w:rPr>
              <w:t>Net interest margin (2)</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3.75</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7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3.33</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spacing w:before="0" w:after="0"/>
        <w:rPr/>
      </w:pPr>
      <w:r>
        <w:rPr/>
      </w:r>
    </w:p>
    <w:p>
      <w:pPr>
        <w:pStyle w:val="Normal"/>
        <w:spacing w:before="0" w:after="0"/>
        <w:rPr>
          <w:sz w:val="4"/>
          <w:szCs w:val="4"/>
        </w:rPr>
      </w:pPr>
      <w:r>
        <w:rPr>
          <w:sz w:val="4"/>
          <w:szCs w:val="4"/>
        </w:rPr>
      </w:r>
      <w:bookmarkStart w:id="40" w:name="z7dc7c1f3e86545759730399b37a4a864"/>
      <w:bookmarkStart w:id="41" w:name="z7dc7c1f3e86545759730399b37a4a864"/>
      <w:bookmarkEnd w:id="41"/>
    </w:p>
    <w:tbl>
      <w:tblPr>
        <w:tblW w:w="6115" w:type="dxa"/>
        <w:jc w:val="left"/>
        <w:tblInd w:w="0" w:type="dxa"/>
        <w:tblCellMar>
          <w:top w:w="0" w:type="dxa"/>
          <w:left w:w="0" w:type="dxa"/>
          <w:bottom w:w="0" w:type="dxa"/>
          <w:right w:w="0" w:type="dxa"/>
        </w:tblCellMar>
      </w:tblPr>
      <w:tblGrid>
        <w:gridCol w:w="260"/>
        <w:gridCol w:w="5855"/>
      </w:tblGrid>
      <w:tr>
        <w:trPr/>
        <w:tc>
          <w:tcPr>
            <w:tcW w:w="260"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(1)</w:t>
            </w:r>
          </w:p>
        </w:tc>
        <w:tc>
          <w:tcPr>
            <w:tcW w:w="5855"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Average loan balances include nonaccrual loans and loans held for sale.</w:t>
            </w:r>
          </w:p>
        </w:tc>
      </w:tr>
    </w:tbl>
    <w:p>
      <w:pPr>
        <w:pStyle w:val="Normal"/>
        <w:spacing w:before="0" w:after="0"/>
        <w:rPr>
          <w:sz w:val="4"/>
          <w:szCs w:val="4"/>
        </w:rPr>
      </w:pPr>
      <w:r>
        <w:rPr>
          <w:sz w:val="4"/>
          <w:szCs w:val="4"/>
        </w:rPr>
      </w:r>
      <w:bookmarkStart w:id="42" w:name="z81ae00d2c55644549ece9e6511b90b7d"/>
      <w:bookmarkStart w:id="43" w:name="z81ae00d2c55644549ece9e6511b90b7d"/>
      <w:bookmarkEnd w:id="43"/>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rPr>
                <w:rFonts w:ascii="Times New Roman" w:hAnsi="Times New Roman"/>
                <w:color w:val="000000"/>
                <w:sz w:val="20"/>
              </w:rPr>
            </w:pPr>
            <w:r>
              <w:rPr>
                <w:rFonts w:ascii="Times New Roman" w:hAnsi="Times New Roman"/>
                <w:color w:val="000000"/>
                <w:sz w:val="20"/>
              </w:rPr>
              <w:t>(2)</w:t>
            </w:r>
          </w:p>
        </w:tc>
        <w:tc>
          <w:tcPr>
            <w:tcW w:w="9956" w:type="dxa"/>
            <w:tcBorders/>
            <w:shd w:fill="auto" w:val="clear"/>
            <w:vAlign w:val="center"/>
          </w:tcPr>
          <w:p>
            <w:pPr>
              <w:pStyle w:val="TableContents"/>
              <w:spacing w:before="0" w:after="0"/>
              <w:jc w:val="both"/>
              <w:rPr>
                <w:rFonts w:ascii="Times New Roman" w:hAnsi="Times New Roman"/>
                <w:color w:val="000000"/>
                <w:sz w:val="20"/>
              </w:rPr>
            </w:pPr>
            <w:r>
              <w:rPr>
                <w:rFonts w:ascii="Times New Roman" w:hAnsi="Times New Roman"/>
                <w:color w:val="000000"/>
                <w:sz w:val="20"/>
              </w:rPr>
              <w:t>Net interest margin is calculated as the annualized net interest income, on a fully tax-equivalent basis, divided by average interest-earning assets.</w:t>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spacing w:before="0" w:after="0"/>
        <w:jc w:val="left"/>
        <w:rPr>
          <w:rFonts w:ascii="Times New Roman" w:hAnsi="Times New Roman"/>
          <w:b/>
          <w:color w:val="000000"/>
          <w:sz w:val="20"/>
        </w:rPr>
      </w:pPr>
      <w:r>
        <w:rPr>
          <w:rFonts w:ascii="Times New Roman" w:hAnsi="Times New Roman"/>
          <w:b/>
          <w:color w:val="000000"/>
          <w:sz w:val="20"/>
        </w:rPr>
        <w:t>Consolidated Balance Sheets</w:t>
      </w:r>
    </w:p>
    <w:p>
      <w:pPr>
        <w:pStyle w:val="TextBody"/>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spacing w:before="0" w:after="0"/>
        <w:rPr/>
      </w:pPr>
      <w:r>
        <w:rPr/>
      </w:r>
    </w:p>
    <w:p>
      <w:pPr>
        <w:pStyle w:val="Normal"/>
        <w:spacing w:before="0" w:after="0"/>
        <w:rPr>
          <w:sz w:val="4"/>
          <w:szCs w:val="4"/>
        </w:rPr>
      </w:pPr>
      <w:r>
        <w:rPr>
          <w:sz w:val="4"/>
          <w:szCs w:val="4"/>
        </w:rPr>
      </w:r>
      <w:bookmarkStart w:id="44" w:name="z879c8d4f3a6347f1baaa9171f4f75f76"/>
      <w:bookmarkStart w:id="45" w:name="z879c8d4f3a6347f1baaa9171f4f75f76"/>
      <w:bookmarkEnd w:id="45"/>
    </w:p>
    <w:tbl>
      <w:tblPr>
        <w:tblW w:w="6524" w:type="dxa"/>
        <w:jc w:val="left"/>
        <w:tblInd w:w="0" w:type="dxa"/>
        <w:tblCellMar>
          <w:top w:w="0" w:type="dxa"/>
          <w:left w:w="0" w:type="dxa"/>
          <w:bottom w:w="0" w:type="dxa"/>
          <w:right w:w="0" w:type="dxa"/>
        </w:tblCellMar>
      </w:tblPr>
      <w:tblGrid>
        <w:gridCol w:w="4085"/>
        <w:gridCol w:w="60"/>
        <w:gridCol w:w="125"/>
        <w:gridCol w:w="845"/>
        <w:gridCol w:w="80"/>
        <w:gridCol w:w="60"/>
        <w:gridCol w:w="151"/>
        <w:gridCol w:w="1023"/>
        <w:gridCol w:w="95"/>
      </w:tblGrid>
      <w:tr>
        <w:trPr/>
        <w:tc>
          <w:tcPr>
            <w:tcW w:w="4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4"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As of</w:t>
            </w:r>
          </w:p>
        </w:tc>
        <w:tc>
          <w:tcPr>
            <w:tcW w:w="95" w:type="dxa"/>
            <w:tcBorders/>
            <w:shd w:fill="auto"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shd w:fill="auto"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Assets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Cash and due from banks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51,186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61,613</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 in banks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276,816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173,270</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Federal funds sold</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color w:val="000000"/>
              </w:rPr>
            </w:pPr>
            <w:r>
              <w:rPr>
                <w:color w:val="00000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Securities available for sale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698,579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701,711</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Loans held for sale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20,448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30,403</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Loans held for investment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2,788,640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2,748,081</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Less:  Allowance for credit losses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(39,560</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(39,288</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loans held for investment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2,749,080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2,708,793</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Premises and equipment, net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56,079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56,337</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Goodwill</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19,508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19,508</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Intangible assets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3,988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4,349</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Mortgage servicing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25,795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27,474</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 assets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156,570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160,605</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4,058,049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3,944,063</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Liabilities and Stockholders’ Equity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1,110,939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1,150,488</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Interest-bearing deposits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2,397,115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2,255,942</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deposits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3,508,054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3,406,430</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 borrowings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76,007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75,961</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46,393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46,393</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59,631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58,265</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liabilities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3,690,085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3,587,049</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Stockholders’ Equity</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Common stock</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17,063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17,027</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112,981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112,834</w:t>
            </w:r>
          </w:p>
        </w:tc>
        <w:tc>
          <w:tcPr>
            <w:tcW w:w="9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Retained earnings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298,299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292,261</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Accumulated other comprehensive income (loss)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(60,379</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5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(65,108</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08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367,964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357,014</w:t>
            </w:r>
          </w:p>
        </w:tc>
        <w:tc>
          <w:tcPr>
            <w:tcW w:w="9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liabilities and stockholders’ equity</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4,058,049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3,944,063</w:t>
            </w:r>
          </w:p>
        </w:tc>
        <w:tc>
          <w:tcPr>
            <w:tcW w:w="9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spacing w:before="0" w:after="0"/>
        <w:jc w:val="left"/>
        <w:rPr>
          <w:rFonts w:ascii="Times New Roman" w:hAnsi="Times New Roman"/>
          <w:b/>
          <w:color w:val="000000"/>
          <w:sz w:val="20"/>
        </w:rPr>
      </w:pPr>
      <w:r>
        <w:rPr>
          <w:rFonts w:ascii="Times New Roman" w:hAnsi="Times New Roman"/>
          <w:b/>
          <w:color w:val="000000"/>
          <w:sz w:val="20"/>
        </w:rPr>
        <w:t>Consolidated Statements of Income</w:t>
      </w:r>
    </w:p>
    <w:p>
      <w:pPr>
        <w:pStyle w:val="TextBody"/>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spacing w:before="0" w:after="0"/>
        <w:rPr/>
      </w:pPr>
      <w:r>
        <w:rPr/>
      </w:r>
    </w:p>
    <w:p>
      <w:pPr>
        <w:pStyle w:val="Normal"/>
        <w:spacing w:before="0" w:after="0"/>
        <w:rPr>
          <w:sz w:val="4"/>
          <w:szCs w:val="4"/>
        </w:rPr>
      </w:pPr>
      <w:r>
        <w:rPr>
          <w:sz w:val="4"/>
          <w:szCs w:val="4"/>
        </w:rPr>
      </w:r>
      <w:bookmarkStart w:id="46" w:name="zf18fc1886a5245f19624bd7ab8aadc11"/>
      <w:bookmarkStart w:id="47" w:name="zf18fc1886a5245f19624bd7ab8aadc11"/>
      <w:bookmarkEnd w:id="47"/>
    </w:p>
    <w:tbl>
      <w:tblPr>
        <w:tblW w:w="6216" w:type="dxa"/>
        <w:jc w:val="left"/>
        <w:tblInd w:w="0" w:type="dxa"/>
        <w:tblCellMar>
          <w:top w:w="0" w:type="dxa"/>
          <w:left w:w="0" w:type="dxa"/>
          <w:bottom w:w="0" w:type="dxa"/>
          <w:right w:w="0" w:type="dxa"/>
        </w:tblCellMar>
      </w:tblPr>
      <w:tblGrid>
        <w:gridCol w:w="4145"/>
        <w:gridCol w:w="60"/>
        <w:gridCol w:w="155"/>
        <w:gridCol w:w="734"/>
        <w:gridCol w:w="69"/>
        <w:gridCol w:w="69"/>
        <w:gridCol w:w="155"/>
        <w:gridCol w:w="734"/>
        <w:gridCol w:w="95"/>
      </w:tblGrid>
      <w:tr>
        <w:trPr/>
        <w:tc>
          <w:tcPr>
            <w:tcW w:w="4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6"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Three Months Ended</w:t>
            </w:r>
          </w:p>
        </w:tc>
        <w:tc>
          <w:tcPr>
            <w:tcW w:w="95" w:type="dxa"/>
            <w:tcBorders/>
            <w:shd w:fill="auto"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shd w:fill="auto"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jc w:val="left"/>
              <w:rPr>
                <w:rFonts w:ascii="Times New Roman" w:hAnsi="Times New Roman"/>
                <w:b/>
                <w:color w:val="000000"/>
                <w:sz w:val="20"/>
              </w:rPr>
            </w:pPr>
            <w:r>
              <w:rPr>
                <w:rFonts w:ascii="Times New Roman" w:hAnsi="Times New Roman"/>
                <w:b/>
                <w:color w:val="000000"/>
                <w:sz w:val="20"/>
              </w:rPr>
              <w:t>Interest income:</w:t>
            </w:r>
          </w:p>
        </w:tc>
        <w:tc>
          <w:tcPr>
            <w:tcW w:w="60"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Loans, including fees</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39,597</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29,378</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auto" w:val="clear"/>
            <w:vAlign w:val="bottom"/>
          </w:tcPr>
          <w:p>
            <w:pPr>
              <w:pStyle w:val="TableContents"/>
              <w:spacing w:before="0" w:after="283"/>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7,851</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3,702</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interest income</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47,448</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33,080</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Interest expense:</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283"/>
              <w:jc w:val="right"/>
              <w:rPr/>
            </w:pPr>
            <w:r>
              <w:rPr/>
              <w:t> </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Deposits</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11,370</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1,890</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Subordinated debt</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1,012</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1,012</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Junior subordinated deferrable interest debentures</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751</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231</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auto" w:val="clear"/>
            <w:vAlign w:val="bottom"/>
          </w:tcPr>
          <w:p>
            <w:pPr>
              <w:pStyle w:val="TableContents"/>
              <w:spacing w:before="0" w:after="283"/>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interest expense</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13,133</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3,133</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34,315</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29,947</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Provision for credit losses</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1,010</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(2,085</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interest income after provision for credit losses</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33,305</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32,032</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Noninterest income:</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283"/>
              <w:jc w:val="right"/>
              <w:rPr/>
            </w:pPr>
            <w:r>
              <w:rPr/>
              <w:t> </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Service charges on deposits</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1,701</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1,773</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Income from insurance activities</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1,411</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1,570</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Mortgage banking activities</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2,286</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13,637</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Bank card services and interchange fees</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2,956</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3,222</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gain on sale of securities</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2,337</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3,495</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noninterest income</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10,691</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23,697</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Noninterest expense:</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283"/>
              <w:jc w:val="right"/>
              <w:rPr/>
            </w:pPr>
            <w:r>
              <w:rPr/>
              <w:t> </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Salaries and employee benefits</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19,254</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22,703</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occupancy expense</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3,832</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3,737</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Professional services</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1,648</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2,625</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Marketing and development</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936</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720</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Other</w:t>
            </w:r>
          </w:p>
        </w:tc>
        <w:tc>
          <w:tcPr>
            <w:tcW w:w="60" w:type="dxa"/>
            <w:tcBorders/>
            <w:shd w:fill="auto" w:val="clear"/>
            <w:vAlign w:val="bottom"/>
          </w:tcPr>
          <w:p>
            <w:pPr>
              <w:pStyle w:val="TableContents"/>
              <w:spacing w:before="0" w:after="283"/>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6,691</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8,139</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noninterest expense</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32,361</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37,924</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Income before income taxes</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11,635</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17,805</w:t>
            </w:r>
          </w:p>
        </w:tc>
        <w:tc>
          <w:tcPr>
            <w:tcW w:w="95" w:type="dxa"/>
            <w:tcBorders/>
            <w:shd w:fill="auto" w:val="clear"/>
            <w:vAlign w:val="bottom"/>
          </w:tcPr>
          <w:p>
            <w:pPr>
              <w:pStyle w:val="TableContents"/>
              <w:spacing w:before="0" w:after="283"/>
              <w:jc w:val="left"/>
              <w:rPr/>
            </w:pPr>
            <w:r>
              <w:rPr/>
              <w:t> </w:t>
            </w:r>
          </w:p>
        </w:tc>
      </w:tr>
      <w:tr>
        <w:trPr/>
        <w:tc>
          <w:tcPr>
            <w:tcW w:w="414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2,391</w:t>
            </w:r>
          </w:p>
        </w:tc>
        <w:tc>
          <w:tcPr>
            <w:tcW w:w="69" w:type="dxa"/>
            <w:tcBorders/>
            <w:shd w:fill="CCEEFF" w:val="clear"/>
            <w:vAlign w:val="bottom"/>
          </w:tcPr>
          <w:p>
            <w:pPr>
              <w:pStyle w:val="TableContents"/>
              <w:spacing w:before="0" w:after="283"/>
              <w:jc w:val="left"/>
              <w:rPr/>
            </w:pPr>
            <w:r>
              <w:rPr/>
              <w:t> </w:t>
            </w:r>
          </w:p>
        </w:tc>
        <w:tc>
          <w:tcPr>
            <w:tcW w:w="69"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3,527</w:t>
            </w:r>
          </w:p>
        </w:tc>
        <w:tc>
          <w:tcPr>
            <w:tcW w:w="95" w:type="dxa"/>
            <w:tcBorders/>
            <w:shd w:fill="CCEEFF" w:val="clear"/>
            <w:vAlign w:val="bottom"/>
          </w:tcPr>
          <w:p>
            <w:pPr>
              <w:pStyle w:val="TableContents"/>
              <w:spacing w:before="0" w:after="283"/>
              <w:jc w:val="left"/>
              <w:rPr/>
            </w:pPr>
            <w:r>
              <w:rPr/>
              <w:t> </w:t>
            </w:r>
          </w:p>
        </w:tc>
      </w:tr>
      <w:tr>
        <w:trPr/>
        <w:tc>
          <w:tcPr>
            <w:tcW w:w="4145"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Net income</w:t>
            </w:r>
          </w:p>
        </w:tc>
        <w:tc>
          <w:tcPr>
            <w:tcW w:w="60" w:type="dxa"/>
            <w:tcBorders/>
            <w:shd w:fill="auto" w:val="clear"/>
            <w:vAlign w:val="bottom"/>
          </w:tcPr>
          <w:p>
            <w:pPr>
              <w:pStyle w:val="TableContents"/>
              <w:spacing w:before="0" w:after="283"/>
              <w:rPr/>
            </w:pPr>
            <w:r>
              <w:rPr/>
              <w:t> </w:t>
            </w:r>
          </w:p>
        </w:tc>
        <w:tc>
          <w:tcPr>
            <w:tcW w:w="15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9,244</w:t>
            </w:r>
          </w:p>
        </w:tc>
        <w:tc>
          <w:tcPr>
            <w:tcW w:w="69" w:type="dxa"/>
            <w:tcBorders/>
            <w:shd w:fill="auto" w:val="clear"/>
            <w:vAlign w:val="bottom"/>
          </w:tcPr>
          <w:p>
            <w:pPr>
              <w:pStyle w:val="TableContents"/>
              <w:spacing w:before="0" w:after="283"/>
              <w:jc w:val="left"/>
              <w:rPr/>
            </w:pPr>
            <w:r>
              <w:rPr/>
              <w:t> </w:t>
            </w:r>
          </w:p>
        </w:tc>
        <w:tc>
          <w:tcPr>
            <w:tcW w:w="69" w:type="dxa"/>
            <w:tcBorders/>
            <w:shd w:fill="auto" w:val="clear"/>
            <w:vAlign w:val="bottom"/>
          </w:tcPr>
          <w:p>
            <w:pPr>
              <w:pStyle w:val="TableContents"/>
              <w:spacing w:before="0" w:after="283"/>
              <w:rPr/>
            </w:pPr>
            <w:r>
              <w:rPr/>
              <w:t> </w:t>
            </w:r>
          </w:p>
        </w:tc>
        <w:tc>
          <w:tcPr>
            <w:tcW w:w="15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14,278</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spacing w:before="0" w:after="0"/>
        <w:jc w:val="left"/>
        <w:rPr>
          <w:rFonts w:ascii="Times New Roman" w:hAnsi="Times New Roman"/>
          <w:b/>
          <w:color w:val="000000"/>
          <w:sz w:val="20"/>
        </w:rPr>
      </w:pPr>
      <w:r>
        <w:rPr>
          <w:rFonts w:ascii="Times New Roman" w:hAnsi="Times New Roman"/>
          <w:b/>
          <w:color w:val="000000"/>
          <w:sz w:val="20"/>
        </w:rPr>
        <w:t>Loan Composition</w:t>
      </w:r>
    </w:p>
    <w:p>
      <w:pPr>
        <w:pStyle w:val="TextBody"/>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spacing w:before="0" w:after="0"/>
        <w:rPr/>
      </w:pPr>
      <w:r>
        <w:rPr/>
      </w:r>
    </w:p>
    <w:p>
      <w:pPr>
        <w:pStyle w:val="Normal"/>
        <w:spacing w:before="0" w:after="0"/>
        <w:rPr>
          <w:sz w:val="4"/>
          <w:szCs w:val="4"/>
        </w:rPr>
      </w:pPr>
      <w:r>
        <w:rPr>
          <w:sz w:val="4"/>
          <w:szCs w:val="4"/>
        </w:rPr>
      </w:r>
      <w:bookmarkStart w:id="48" w:name="z627a2c6c1df44d94b274e4c866e867f6"/>
      <w:bookmarkStart w:id="49" w:name="z627a2c6c1df44d94b274e4c866e867f6"/>
      <w:bookmarkEnd w:id="49"/>
    </w:p>
    <w:tbl>
      <w:tblPr>
        <w:tblW w:w="5060" w:type="dxa"/>
        <w:jc w:val="left"/>
        <w:tblInd w:w="0" w:type="dxa"/>
        <w:tblCellMar>
          <w:top w:w="0" w:type="dxa"/>
          <w:left w:w="0" w:type="dxa"/>
          <w:bottom w:w="0" w:type="dxa"/>
          <w:right w:w="0" w:type="dxa"/>
        </w:tblCellMar>
      </w:tblPr>
      <w:tblGrid>
        <w:gridCol w:w="2660"/>
        <w:gridCol w:w="60"/>
        <w:gridCol w:w="125"/>
        <w:gridCol w:w="845"/>
        <w:gridCol w:w="60"/>
        <w:gridCol w:w="60"/>
        <w:gridCol w:w="151"/>
        <w:gridCol w:w="1024"/>
        <w:gridCol w:w="75"/>
      </w:tblGrid>
      <w:tr>
        <w:trPr/>
        <w:tc>
          <w:tcPr>
            <w:tcW w:w="26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6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As of</w:t>
            </w:r>
          </w:p>
        </w:tc>
        <w:tc>
          <w:tcPr>
            <w:tcW w:w="75" w:type="dxa"/>
            <w:tcBorders/>
            <w:shd w:fill="auto"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75" w:type="dxa"/>
            <w:tcBorders/>
            <w:shd w:fill="auto"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Loans: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66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926,018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919,358</w:t>
            </w:r>
          </w:p>
        </w:tc>
        <w:tc>
          <w:tcPr>
            <w:tcW w:w="75" w:type="dxa"/>
            <w:tcBorders/>
            <w:shd w:fill="CCEEFF"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315,473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327,513</w:t>
            </w:r>
          </w:p>
        </w:tc>
        <w:tc>
          <w:tcPr>
            <w:tcW w:w="75" w:type="dxa"/>
            <w:tcBorders/>
            <w:shd w:fill="auto" w:val="clear"/>
            <w:vAlign w:val="bottom"/>
          </w:tcPr>
          <w:p>
            <w:pPr>
              <w:pStyle w:val="TableContents"/>
              <w:spacing w:before="0" w:after="283"/>
              <w:jc w:val="left"/>
              <w:rPr/>
            </w:pPr>
            <w:r>
              <w:rPr/>
              <w:t> </w:t>
            </w:r>
          </w:p>
        </w:tc>
      </w:tr>
      <w:tr>
        <w:trPr/>
        <w:tc>
          <w:tcPr>
            <w:tcW w:w="266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510,917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484,783</w:t>
            </w:r>
          </w:p>
        </w:tc>
        <w:tc>
          <w:tcPr>
            <w:tcW w:w="75" w:type="dxa"/>
            <w:tcBorders/>
            <w:shd w:fill="CCEEFF"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Consumer:</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4"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660" w:type="dxa"/>
            <w:tcBorders/>
            <w:shd w:fill="CCEEFF" w:val="clear"/>
            <w:vAlign w:val="bottom"/>
          </w:tcPr>
          <w:p>
            <w:pPr>
              <w:pStyle w:val="TableContents"/>
              <w:spacing w:before="0" w:after="0"/>
              <w:ind w:left="324" w:right="0" w:hanging="144"/>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485,396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460,124</w:t>
            </w:r>
          </w:p>
        </w:tc>
        <w:tc>
          <w:tcPr>
            <w:tcW w:w="75" w:type="dxa"/>
            <w:tcBorders/>
            <w:shd w:fill="CCEEFF"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ind w:left="324" w:right="0" w:hanging="144"/>
              <w:jc w:val="left"/>
              <w:rPr>
                <w:rFonts w:ascii="Times New Roman" w:hAnsi="Times New Roman"/>
                <w:color w:val="000000"/>
                <w:sz w:val="20"/>
              </w:rPr>
            </w:pPr>
            <w:r>
              <w:rPr>
                <w:rFonts w:ascii="Times New Roman" w:hAnsi="Times New Roman"/>
                <w:color w:val="000000"/>
                <w:sz w:val="20"/>
              </w:rPr>
              <w:t>Auto Loans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321,309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321,476</w:t>
            </w:r>
          </w:p>
        </w:tc>
        <w:tc>
          <w:tcPr>
            <w:tcW w:w="75" w:type="dxa"/>
            <w:tcBorders/>
            <w:shd w:fill="auto" w:val="clear"/>
            <w:vAlign w:val="bottom"/>
          </w:tcPr>
          <w:p>
            <w:pPr>
              <w:pStyle w:val="TableContents"/>
              <w:spacing w:before="0" w:after="283"/>
              <w:jc w:val="left"/>
              <w:rPr/>
            </w:pPr>
            <w:r>
              <w:rPr/>
              <w:t> </w:t>
            </w:r>
          </w:p>
        </w:tc>
      </w:tr>
      <w:tr>
        <w:trPr/>
        <w:tc>
          <w:tcPr>
            <w:tcW w:w="2660" w:type="dxa"/>
            <w:tcBorders/>
            <w:shd w:fill="CCEEFF" w:val="clear"/>
            <w:vAlign w:val="bottom"/>
          </w:tcPr>
          <w:p>
            <w:pPr>
              <w:pStyle w:val="TableContents"/>
              <w:spacing w:before="0" w:after="0"/>
              <w:ind w:left="324" w:right="0" w:hanging="144"/>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81,413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81,308</w:t>
            </w:r>
          </w:p>
        </w:tc>
        <w:tc>
          <w:tcPr>
            <w:tcW w:w="75" w:type="dxa"/>
            <w:tcBorders/>
            <w:shd w:fill="CCEEFF"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Construction</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148,114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153,519</w:t>
            </w:r>
          </w:p>
        </w:tc>
        <w:tc>
          <w:tcPr>
            <w:tcW w:w="75" w:type="dxa"/>
            <w:tcBorders/>
            <w:shd w:fill="auto" w:val="clear"/>
            <w:vAlign w:val="bottom"/>
          </w:tcPr>
          <w:p>
            <w:pPr>
              <w:pStyle w:val="TableContents"/>
              <w:spacing w:before="0" w:after="283"/>
              <w:jc w:val="left"/>
              <w:rPr/>
            </w:pPr>
            <w:r>
              <w:rPr/>
              <w:t> </w:t>
            </w:r>
          </w:p>
        </w:tc>
      </w:tr>
      <w:tr>
        <w:trPr/>
        <w:tc>
          <w:tcPr>
            <w:tcW w:w="2660"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Total loans held for investment</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2,788,640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2,748,081</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spacing w:before="0" w:after="0"/>
        <w:jc w:val="left"/>
        <w:rPr>
          <w:rFonts w:ascii="Times New Roman" w:hAnsi="Times New Roman"/>
          <w:b/>
          <w:color w:val="000000"/>
          <w:sz w:val="20"/>
        </w:rPr>
      </w:pPr>
      <w:r>
        <w:rPr>
          <w:rFonts w:ascii="Times New Roman" w:hAnsi="Times New Roman"/>
          <w:b/>
          <w:color w:val="000000"/>
          <w:sz w:val="20"/>
        </w:rPr>
        <w:t>Deposit Composition</w:t>
      </w:r>
    </w:p>
    <w:p>
      <w:pPr>
        <w:pStyle w:val="TextBody"/>
        <w:spacing w:before="0" w:after="0"/>
        <w:jc w:val="left"/>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spacing w:before="0" w:after="0"/>
        <w:rPr/>
      </w:pPr>
      <w:r>
        <w:rPr/>
      </w:r>
    </w:p>
    <w:p>
      <w:pPr>
        <w:pStyle w:val="Normal"/>
        <w:spacing w:before="0" w:after="0"/>
        <w:rPr>
          <w:sz w:val="4"/>
          <w:szCs w:val="4"/>
        </w:rPr>
      </w:pPr>
      <w:r>
        <w:rPr>
          <w:sz w:val="4"/>
          <w:szCs w:val="4"/>
        </w:rPr>
      </w:r>
      <w:bookmarkStart w:id="50" w:name="z9a90fa86157a4eb99b99e70f1a31f750"/>
      <w:bookmarkStart w:id="51" w:name="z9a90fa86157a4eb99b99e70f1a31f750"/>
      <w:bookmarkEnd w:id="51"/>
    </w:p>
    <w:tbl>
      <w:tblPr>
        <w:tblW w:w="5254" w:type="dxa"/>
        <w:jc w:val="left"/>
        <w:tblInd w:w="0" w:type="dxa"/>
        <w:tblCellMar>
          <w:top w:w="0" w:type="dxa"/>
          <w:left w:w="0" w:type="dxa"/>
          <w:bottom w:w="0" w:type="dxa"/>
          <w:right w:w="0" w:type="dxa"/>
        </w:tblCellMar>
      </w:tblPr>
      <w:tblGrid>
        <w:gridCol w:w="2855"/>
        <w:gridCol w:w="60"/>
        <w:gridCol w:w="125"/>
        <w:gridCol w:w="845"/>
        <w:gridCol w:w="60"/>
        <w:gridCol w:w="60"/>
        <w:gridCol w:w="151"/>
        <w:gridCol w:w="1023"/>
        <w:gridCol w:w="75"/>
      </w:tblGrid>
      <w:tr>
        <w:trPr/>
        <w:tc>
          <w:tcPr>
            <w:tcW w:w="28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64"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As of</w:t>
            </w:r>
          </w:p>
        </w:tc>
        <w:tc>
          <w:tcPr>
            <w:tcW w:w="75" w:type="dxa"/>
            <w:tcBorders/>
            <w:shd w:fill="auto"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75" w:type="dxa"/>
            <w:tcBorders/>
            <w:shd w:fill="auto"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0"/>
              <w:jc w:val="left"/>
              <w:rPr>
                <w:rFonts w:ascii="Times New Roman" w:hAnsi="Times New Roman"/>
                <w:b/>
                <w:color w:val="000000"/>
                <w:sz w:val="20"/>
              </w:rPr>
            </w:pPr>
            <w:r>
              <w:rPr>
                <w:rFonts w:ascii="Times New Roman" w:hAnsi="Times New Roman"/>
                <w:b/>
                <w:color w:val="000000"/>
                <w:sz w:val="20"/>
              </w:rPr>
              <w:t>Deposits: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Noninterest-bearing deposits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1,110,939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1,150,488</w:t>
            </w:r>
          </w:p>
        </w:tc>
        <w:tc>
          <w:tcPr>
            <w:tcW w:w="75" w:type="dxa"/>
            <w:tcBorders/>
            <w:shd w:fill="CCEEFF"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NOW &amp; other transaction accounts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321,644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350,910</w:t>
            </w:r>
          </w:p>
        </w:tc>
        <w:tc>
          <w:tcPr>
            <w:tcW w:w="75"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MMDA &amp; other savings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1,787,621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1,618,833</w:t>
            </w:r>
          </w:p>
        </w:tc>
        <w:tc>
          <w:tcPr>
            <w:tcW w:w="75" w:type="dxa"/>
            <w:tcBorders/>
            <w:shd w:fill="CCEEFF"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Time deposits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287,850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286,199</w:t>
            </w:r>
          </w:p>
        </w:tc>
        <w:tc>
          <w:tcPr>
            <w:tcW w:w="75"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Total deposits</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3,508,054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3,406,430</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spacing w:before="0" w:after="0"/>
        <w:jc w:val="left"/>
        <w:rPr>
          <w:rFonts w:ascii="Times New Roman" w:hAnsi="Times New Roman"/>
          <w:b/>
          <w:color w:val="000000"/>
          <w:sz w:val="20"/>
        </w:rPr>
      </w:pPr>
      <w:r>
        <w:rPr>
          <w:rFonts w:ascii="Times New Roman" w:hAnsi="Times New Roman"/>
          <w:b/>
          <w:color w:val="000000"/>
          <w:sz w:val="20"/>
        </w:rPr>
        <w:t>Reconciliation of Non-GAAP Financial Measures (Unaudited)</w:t>
      </w:r>
    </w:p>
    <w:p>
      <w:pPr>
        <w:pStyle w:val="TextBody"/>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spacing w:before="0" w:after="0"/>
        <w:rPr/>
      </w:pPr>
      <w:r>
        <w:rPr/>
      </w:r>
    </w:p>
    <w:p>
      <w:pPr>
        <w:pStyle w:val="Normal"/>
        <w:spacing w:before="0" w:after="0"/>
        <w:rPr>
          <w:sz w:val="4"/>
          <w:szCs w:val="4"/>
        </w:rPr>
      </w:pPr>
      <w:r>
        <w:rPr>
          <w:sz w:val="4"/>
          <w:szCs w:val="4"/>
        </w:rPr>
      </w:r>
      <w:bookmarkStart w:id="52" w:name="z5d069e6bfff8404bbe915bf9ef77ff92"/>
      <w:bookmarkStart w:id="53" w:name="z5d069e6bfff8404bbe915bf9ef77ff92"/>
      <w:bookmarkEnd w:id="53"/>
    </w:p>
    <w:tbl>
      <w:tblPr>
        <w:tblW w:w="8120" w:type="dxa"/>
        <w:jc w:val="left"/>
        <w:tblInd w:w="0" w:type="dxa"/>
        <w:tblCellMar>
          <w:top w:w="0" w:type="dxa"/>
          <w:left w:w="0" w:type="dxa"/>
          <w:bottom w:w="0" w:type="dxa"/>
          <w:right w:w="0" w:type="dxa"/>
        </w:tblCellMar>
      </w:tblPr>
      <w:tblGrid>
        <w:gridCol w:w="2570"/>
        <w:gridCol w:w="60"/>
        <w:gridCol w:w="155"/>
        <w:gridCol w:w="734"/>
        <w:gridCol w:w="60"/>
        <w:gridCol w:w="60"/>
        <w:gridCol w:w="204"/>
        <w:gridCol w:w="970"/>
        <w:gridCol w:w="60"/>
        <w:gridCol w:w="60"/>
        <w:gridCol w:w="212"/>
        <w:gridCol w:w="1007"/>
        <w:gridCol w:w="80"/>
        <w:gridCol w:w="60"/>
        <w:gridCol w:w="126"/>
        <w:gridCol w:w="598"/>
        <w:gridCol w:w="60"/>
        <w:gridCol w:w="60"/>
        <w:gridCol w:w="155"/>
        <w:gridCol w:w="734"/>
        <w:gridCol w:w="95"/>
      </w:tblGrid>
      <w:tr>
        <w:trPr/>
        <w:tc>
          <w:tcPr>
            <w:tcW w:w="25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395" w:type="dxa"/>
            <w:gridSpan w:val="18"/>
            <w:tcBorders/>
            <w:shd w:fill="auto" w:val="cle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For the quarter ended</w:t>
            </w:r>
          </w:p>
        </w:tc>
        <w:tc>
          <w:tcPr>
            <w:tcW w:w="95"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1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2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shd w:fill="auto"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Pre-tax, pre-provision income</w:t>
            </w:r>
          </w:p>
        </w:tc>
        <w:tc>
          <w:tcPr>
            <w:tcW w:w="60"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19"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2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257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Net income</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9,244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12,621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15,458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15,883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14,278</w:t>
            </w:r>
          </w:p>
        </w:tc>
        <w:tc>
          <w:tcPr>
            <w:tcW w:w="95" w:type="dxa"/>
            <w:tcBorders/>
            <w:shd w:fill="CCEEFF" w:val="clear"/>
            <w:vAlign w:val="bottom"/>
          </w:tcPr>
          <w:p>
            <w:pPr>
              <w:pStyle w:val="TableContents"/>
              <w:spacing w:before="0" w:after="283"/>
              <w:jc w:val="left"/>
              <w:rPr/>
            </w:pPr>
            <w:r>
              <w:rPr/>
              <w:t> </w:t>
            </w:r>
          </w:p>
        </w:tc>
      </w:tr>
      <w:tr>
        <w:trPr/>
        <w:tc>
          <w:tcPr>
            <w:tcW w:w="257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Income tax expense</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jc w:val="left"/>
              <w:rPr/>
            </w:pPr>
            <w:r>
              <w:rPr/>
              <w:t> </w:t>
            </w:r>
          </w:p>
        </w:tc>
        <w:tc>
          <w:tcPr>
            <w:tcW w:w="97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 </w:t>
            </w:r>
          </w:p>
        </w:tc>
        <w:tc>
          <w:tcPr>
            <w:tcW w:w="1007"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3,962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c>
          <w:tcPr>
            <w:tcW w:w="598"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4,001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3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3,527</w:t>
            </w:r>
          </w:p>
        </w:tc>
        <w:tc>
          <w:tcPr>
            <w:tcW w:w="95" w:type="dxa"/>
            <w:tcBorders/>
            <w:shd w:fill="auto" w:val="clear"/>
            <w:vAlign w:val="bottom"/>
          </w:tcPr>
          <w:p>
            <w:pPr>
              <w:pStyle w:val="TableContents"/>
              <w:spacing w:before="0" w:after="283"/>
              <w:jc w:val="left"/>
              <w:rPr/>
            </w:pPr>
            <w:r>
              <w:rPr/>
              <w:t> </w:t>
            </w:r>
          </w:p>
        </w:tc>
      </w:tr>
      <w:tr>
        <w:trPr/>
        <w:tc>
          <w:tcPr>
            <w:tcW w:w="2570"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Provision for credit losses</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1,010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(782</w:t>
            </w:r>
          </w:p>
        </w:tc>
        <w:tc>
          <w:tcPr>
            <w:tcW w:w="8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34"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(2,085</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2570"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Pre-tax, pre-provision income</w:t>
            </w:r>
          </w:p>
        </w:tc>
        <w:tc>
          <w:tcPr>
            <w:tcW w:w="60" w:type="dxa"/>
            <w:tcBorders/>
            <w:shd w:fill="auto" w:val="clear"/>
            <w:vAlign w:val="bottom"/>
          </w:tcPr>
          <w:p>
            <w:pPr>
              <w:pStyle w:val="TableContents"/>
              <w:spacing w:before="0" w:after="283"/>
              <w:rPr/>
            </w:pPr>
            <w:r>
              <w:rPr/>
              <w:t> </w:t>
            </w:r>
          </w:p>
        </w:tc>
        <w:tc>
          <w:tcPr>
            <w:tcW w:w="15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12,645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7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16,290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2"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0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18,638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19,884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15,720</w:t>
            </w:r>
          </w:p>
        </w:tc>
        <w:tc>
          <w:tcPr>
            <w:tcW w:w="95" w:type="dxa"/>
            <w:tcBorders/>
            <w:shd w:fill="auto"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South Plains Financial, Inc.</w:t>
      </w:r>
    </w:p>
    <w:p>
      <w:pPr>
        <w:pStyle w:val="TextBody"/>
        <w:spacing w:before="0" w:after="0"/>
        <w:jc w:val="left"/>
        <w:rPr>
          <w:rFonts w:ascii="Times New Roman" w:hAnsi="Times New Roman"/>
          <w:b/>
          <w:color w:val="000000"/>
          <w:sz w:val="20"/>
        </w:rPr>
      </w:pPr>
      <w:r>
        <w:rPr>
          <w:rFonts w:ascii="Times New Roman" w:hAnsi="Times New Roman"/>
          <w:b/>
          <w:color w:val="000000"/>
          <w:sz w:val="20"/>
        </w:rPr>
        <w:t>Reconciliation of Non-GAAP Financial Measures (Unaudited)</w:t>
      </w:r>
    </w:p>
    <w:p>
      <w:pPr>
        <w:pStyle w:val="TextBody"/>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spacing w:before="0" w:after="0"/>
        <w:rPr/>
      </w:pPr>
      <w:r>
        <w:rPr/>
      </w:r>
    </w:p>
    <w:p>
      <w:pPr>
        <w:pStyle w:val="Normal"/>
        <w:spacing w:before="0" w:after="0"/>
        <w:rPr>
          <w:sz w:val="4"/>
          <w:szCs w:val="4"/>
        </w:rPr>
      </w:pPr>
      <w:r>
        <w:rPr>
          <w:sz w:val="4"/>
          <w:szCs w:val="4"/>
        </w:rPr>
      </w:r>
      <w:bookmarkStart w:id="54" w:name="z907d296b0f8441be91897c743407e100"/>
      <w:bookmarkStart w:id="55" w:name="z907d296b0f8441be91897c743407e100"/>
      <w:bookmarkEnd w:id="55"/>
    </w:p>
    <w:tbl>
      <w:tblPr>
        <w:tblW w:w="10205" w:type="dxa"/>
        <w:jc w:val="left"/>
        <w:tblInd w:w="0" w:type="dxa"/>
        <w:tblCellMar>
          <w:top w:w="0" w:type="dxa"/>
          <w:left w:w="0" w:type="dxa"/>
          <w:bottom w:w="0" w:type="dxa"/>
          <w:right w:w="0" w:type="dxa"/>
        </w:tblCellMar>
      </w:tblPr>
      <w:tblGrid>
        <w:gridCol w:w="3276"/>
        <w:gridCol w:w="60"/>
        <w:gridCol w:w="125"/>
        <w:gridCol w:w="950"/>
        <w:gridCol w:w="185"/>
        <w:gridCol w:w="60"/>
        <w:gridCol w:w="134"/>
        <w:gridCol w:w="1029"/>
        <w:gridCol w:w="185"/>
        <w:gridCol w:w="60"/>
        <w:gridCol w:w="134"/>
        <w:gridCol w:w="1074"/>
        <w:gridCol w:w="185"/>
        <w:gridCol w:w="60"/>
        <w:gridCol w:w="125"/>
        <w:gridCol w:w="995"/>
        <w:gridCol w:w="185"/>
        <w:gridCol w:w="60"/>
        <w:gridCol w:w="125"/>
        <w:gridCol w:w="995"/>
        <w:gridCol w:w="203"/>
      </w:tblGrid>
      <w:tr>
        <w:trPr/>
        <w:tc>
          <w:tcPr>
            <w:tcW w:w="32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666" w:type="dxa"/>
            <w:gridSpan w:val="18"/>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As of</w:t>
            </w:r>
          </w:p>
        </w:tc>
        <w:tc>
          <w:tcPr>
            <w:tcW w:w="203" w:type="dxa"/>
            <w:tcBorders/>
            <w:shd w:fill="auto" w:val="clear"/>
            <w:vAlign w:val="bottom"/>
          </w:tcPr>
          <w:p>
            <w:pPr>
              <w:pStyle w:val="TableContents"/>
              <w:spacing w:before="0" w:after="283"/>
              <w:jc w:val="left"/>
              <w:rPr/>
            </w:pPr>
            <w:r>
              <w:rPr/>
              <w:t> </w:t>
            </w:r>
          </w:p>
        </w:tc>
      </w:tr>
      <w:tr>
        <w:trPr/>
        <w:tc>
          <w:tcPr>
            <w:tcW w:w="32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63"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December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September 30,</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June 30,</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203" w:type="dxa"/>
            <w:tcBorders/>
            <w:shd w:fill="auto" w:val="clear"/>
            <w:vAlign w:val="bottom"/>
          </w:tcPr>
          <w:p>
            <w:pPr>
              <w:pStyle w:val="TableContents"/>
              <w:spacing w:before="0" w:after="283"/>
              <w:jc w:val="left"/>
              <w:rPr/>
            </w:pPr>
            <w:r>
              <w:rPr/>
              <w:t> </w:t>
            </w:r>
          </w:p>
        </w:tc>
      </w:tr>
      <w:tr>
        <w:trPr/>
        <w:tc>
          <w:tcPr>
            <w:tcW w:w="3276" w:type="dxa"/>
            <w:tcBorders/>
            <w:shd w:fill="auto" w:val="clear"/>
            <w:vAlign w:val="bottom"/>
          </w:tcPr>
          <w:p>
            <w:pPr>
              <w:pStyle w:val="TableContents"/>
              <w:spacing w:before="0" w:after="0"/>
              <w:jc w:val="left"/>
              <w:rPr>
                <w:rFonts w:ascii="Times New Roman" w:hAnsi="Times New Roman"/>
                <w:b/>
                <w:color w:val="000000"/>
                <w:sz w:val="20"/>
              </w:rPr>
            </w:pPr>
            <w:r>
              <w:rPr>
                <w:rFonts w:ascii="Times New Roman" w:hAnsi="Times New Roman"/>
                <w:b/>
                <w:color w:val="000000"/>
                <w:sz w:val="20"/>
              </w:rPr>
              <w:t>Tangible common equity</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63"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 </w:t>
            </w:r>
          </w:p>
        </w:tc>
      </w:tr>
      <w:tr>
        <w:trPr/>
        <w:tc>
          <w:tcPr>
            <w:tcW w:w="3276"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common stockholders’ equity</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367,964</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357,014</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$ 341,799</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$ 364,222</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$ 387,068</w:t>
            </w:r>
          </w:p>
        </w:tc>
        <w:tc>
          <w:tcPr>
            <w:tcW w:w="203" w:type="dxa"/>
            <w:tcBorders/>
            <w:shd w:fill="CCEEFF" w:val="clear"/>
            <w:vAlign w:val="bottom"/>
          </w:tcPr>
          <w:p>
            <w:pPr>
              <w:pStyle w:val="TableContents"/>
              <w:spacing w:before="0" w:after="283"/>
              <w:jc w:val="left"/>
              <w:rPr/>
            </w:pPr>
            <w:r>
              <w:rPr/>
              <w:t> </w:t>
            </w:r>
          </w:p>
        </w:tc>
      </w:tr>
      <w:tr>
        <w:trPr/>
        <w:tc>
          <w:tcPr>
            <w:tcW w:w="3276"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Less:  goodwill and other intangibles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(23,496</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(23,857</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(24,228</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(24,620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(25,011</w:t>
            </w:r>
          </w:p>
        </w:tc>
        <w:tc>
          <w:tcPr>
            <w:tcW w:w="203"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jc w:val="left"/>
              <w:rPr/>
            </w:pPr>
            <w:r>
              <w:rPr/>
              <w:t> </w:t>
            </w:r>
          </w:p>
        </w:tc>
      </w:tr>
      <w:tr>
        <w:trPr/>
        <w:tc>
          <w:tcPr>
            <w:tcW w:w="3276"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common equity</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344,468</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333,157</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$ 317,571</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$ 339,602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$ 362,057</w:t>
            </w:r>
          </w:p>
        </w:tc>
        <w:tc>
          <w:tcPr>
            <w:tcW w:w="203" w:type="dxa"/>
            <w:tcBorders/>
            <w:shd w:fill="auto" w:val="clear"/>
            <w:vAlign w:val="bottom"/>
          </w:tcPr>
          <w:p>
            <w:pPr>
              <w:pStyle w:val="TableContents"/>
              <w:spacing w:before="0" w:after="283"/>
              <w:jc w:val="left"/>
              <w:rPr/>
            </w:pPr>
            <w:r>
              <w:rPr/>
              <w:t> </w:t>
            </w:r>
          </w:p>
        </w:tc>
      </w:tr>
      <w:tr>
        <w:trPr/>
        <w:tc>
          <w:tcPr>
            <w:tcW w:w="3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jc w:val="left"/>
              <w:rPr/>
            </w:pPr>
            <w:r>
              <w:rPr/>
              <w:t> </w:t>
            </w:r>
          </w:p>
        </w:tc>
      </w:tr>
      <w:tr>
        <w:trPr/>
        <w:tc>
          <w:tcPr>
            <w:tcW w:w="3276"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1029"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283"/>
              <w:jc w:val="right"/>
              <w:rPr/>
            </w:pPr>
            <w:r>
              <w:rPr/>
              <w:t> </w:t>
            </w:r>
          </w:p>
        </w:tc>
        <w:tc>
          <w:tcPr>
            <w:tcW w:w="203" w:type="dxa"/>
            <w:tcBorders/>
            <w:shd w:fill="auto" w:val="clear"/>
            <w:vAlign w:val="bottom"/>
          </w:tcPr>
          <w:p>
            <w:pPr>
              <w:pStyle w:val="TableContents"/>
              <w:spacing w:before="0" w:after="283"/>
              <w:jc w:val="left"/>
              <w:rPr/>
            </w:pPr>
            <w:r>
              <w:rPr/>
              <w:t> </w:t>
            </w:r>
          </w:p>
        </w:tc>
      </w:tr>
      <w:tr>
        <w:trPr/>
        <w:tc>
          <w:tcPr>
            <w:tcW w:w="3276"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4,058,049</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3,944,063</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$ 3,992,690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$ 3,974,724</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$ 3,999,744</w:t>
            </w:r>
          </w:p>
        </w:tc>
        <w:tc>
          <w:tcPr>
            <w:tcW w:w="203" w:type="dxa"/>
            <w:tcBorders/>
            <w:shd w:fill="CCEEFF" w:val="clear"/>
            <w:vAlign w:val="bottom"/>
          </w:tcPr>
          <w:p>
            <w:pPr>
              <w:pStyle w:val="TableContents"/>
              <w:spacing w:before="0" w:after="283"/>
              <w:jc w:val="left"/>
              <w:rPr/>
            </w:pPr>
            <w:r>
              <w:rPr/>
              <w:t> </w:t>
            </w:r>
          </w:p>
        </w:tc>
      </w:tr>
      <w:tr>
        <w:trPr/>
        <w:tc>
          <w:tcPr>
            <w:tcW w:w="3276"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Less:  goodwill and other intangibles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(23,496</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(23,857</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(24,228</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(24,620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(25,011</w:t>
            </w:r>
          </w:p>
        </w:tc>
        <w:tc>
          <w:tcPr>
            <w:tcW w:w="203"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jc w:val="left"/>
              <w:rPr/>
            </w:pPr>
            <w:r>
              <w:rPr/>
              <w:t> </w:t>
            </w:r>
          </w:p>
        </w:tc>
      </w:tr>
      <w:tr>
        <w:trPr/>
        <w:tc>
          <w:tcPr>
            <w:tcW w:w="3276" w:type="dxa"/>
            <w:tcBorders/>
            <w:shd w:fill="auto" w:val="clear"/>
            <w:vAlign w:val="bottom"/>
          </w:tcPr>
          <w:p>
            <w:pPr>
              <w:pStyle w:val="TableContents"/>
              <w:spacing w:before="0" w:after="0"/>
              <w:ind w:left="144" w:right="0" w:hanging="144"/>
              <w:jc w:val="left"/>
              <w:rPr>
                <w:rFonts w:ascii="Times New Roman" w:hAnsi="Times New Roman"/>
                <w:b/>
                <w:color w:val="000000"/>
                <w:sz w:val="20"/>
              </w:rPr>
            </w:pPr>
            <w:r>
              <w:rPr>
                <w:rFonts w:ascii="Times New Roman" w:hAnsi="Times New Roman"/>
                <w:b/>
                <w:color w:val="000000"/>
                <w:sz w:val="20"/>
              </w:rPr>
              <w:t>Tangible assets</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4,034,553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3,920,206</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$ 3,968,462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$ 3,950,104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$ 3,974,733</w:t>
            </w:r>
          </w:p>
        </w:tc>
        <w:tc>
          <w:tcPr>
            <w:tcW w:w="203" w:type="dxa"/>
            <w:tcBorders/>
            <w:shd w:fill="auto" w:val="clear"/>
            <w:vAlign w:val="bottom"/>
          </w:tcPr>
          <w:p>
            <w:pPr>
              <w:pStyle w:val="TableContents"/>
              <w:spacing w:before="0" w:after="283"/>
              <w:jc w:val="left"/>
              <w:rPr/>
            </w:pPr>
            <w:r>
              <w:rPr/>
              <w:t> </w:t>
            </w:r>
          </w:p>
        </w:tc>
      </w:tr>
      <w:tr>
        <w:trPr/>
        <w:tc>
          <w:tcPr>
            <w:tcW w:w="3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jc w:val="left"/>
              <w:rPr/>
            </w:pPr>
            <w:r>
              <w:rPr/>
              <w:t> </w:t>
            </w:r>
          </w:p>
        </w:tc>
      </w:tr>
      <w:tr>
        <w:trPr/>
        <w:tc>
          <w:tcPr>
            <w:tcW w:w="3276"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Shares outstanding</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17,062,572</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29"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17,027,197</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07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17,064,640</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99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17,417,094</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99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17,673,407</w:t>
            </w:r>
          </w:p>
        </w:tc>
        <w:tc>
          <w:tcPr>
            <w:tcW w:w="203" w:type="dxa"/>
            <w:tcBorders/>
            <w:shd w:fill="auto" w:val="clear"/>
            <w:vAlign w:val="bottom"/>
          </w:tcPr>
          <w:p>
            <w:pPr>
              <w:pStyle w:val="TableContents"/>
              <w:spacing w:before="0" w:after="283"/>
              <w:jc w:val="left"/>
              <w:rPr/>
            </w:pPr>
            <w:r>
              <w:rPr/>
              <w:t> </w:t>
            </w:r>
          </w:p>
        </w:tc>
      </w:tr>
      <w:tr>
        <w:trPr/>
        <w:tc>
          <w:tcPr>
            <w:tcW w:w="32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pPr>
            <w:r>
              <w:rPr/>
              <w:t> </w:t>
            </w:r>
          </w:p>
        </w:tc>
        <w:tc>
          <w:tcPr>
            <w:tcW w:w="203" w:type="dxa"/>
            <w:tcBorders/>
            <w:shd w:fill="CCEEFF" w:val="clear"/>
            <w:vAlign w:val="bottom"/>
          </w:tcPr>
          <w:p>
            <w:pPr>
              <w:pStyle w:val="TableContents"/>
              <w:spacing w:before="0" w:after="283"/>
              <w:jc w:val="left"/>
              <w:rPr/>
            </w:pPr>
            <w:r>
              <w:rPr/>
              <w:t> </w:t>
            </w:r>
          </w:p>
        </w:tc>
      </w:tr>
      <w:tr>
        <w:trPr/>
        <w:tc>
          <w:tcPr>
            <w:tcW w:w="3276"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Total stockholders’ equity to total assets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9.07</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102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9.05</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jc w:val="left"/>
              <w:rPr/>
            </w:pPr>
            <w:r>
              <w:rPr/>
              <w:t> </w:t>
            </w:r>
          </w:p>
        </w:tc>
        <w:tc>
          <w:tcPr>
            <w:tcW w:w="107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8.56</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9.16</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9.68</w:t>
            </w:r>
          </w:p>
        </w:tc>
        <w:tc>
          <w:tcPr>
            <w:tcW w:w="203"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6"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Tangible common equity to tangible assets</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8.54</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2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8.50</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jc w:val="left"/>
              <w:rPr/>
            </w:pPr>
            <w:r>
              <w:rPr/>
              <w:t> </w:t>
            </w:r>
          </w:p>
        </w:tc>
        <w:tc>
          <w:tcPr>
            <w:tcW w:w="107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8.00</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8.60</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9.11</w:t>
            </w:r>
          </w:p>
        </w:tc>
        <w:tc>
          <w:tcPr>
            <w:tcW w:w="203"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3276" w:type="dxa"/>
            <w:tcBorders/>
            <w:shd w:fill="auto"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Book value per share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21.57</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20.97</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20.03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20.91</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21.90</w:t>
            </w:r>
          </w:p>
        </w:tc>
        <w:tc>
          <w:tcPr>
            <w:tcW w:w="203" w:type="dxa"/>
            <w:tcBorders/>
            <w:shd w:fill="auto" w:val="clear"/>
            <w:vAlign w:val="bottom"/>
          </w:tcPr>
          <w:p>
            <w:pPr>
              <w:pStyle w:val="TableContents"/>
              <w:spacing w:before="0" w:after="283"/>
              <w:jc w:val="left"/>
              <w:rPr/>
            </w:pPr>
            <w:r>
              <w:rPr/>
              <w:t> </w:t>
            </w:r>
          </w:p>
        </w:tc>
      </w:tr>
      <w:tr>
        <w:trPr/>
        <w:tc>
          <w:tcPr>
            <w:tcW w:w="3276" w:type="dxa"/>
            <w:tcBorders/>
            <w:shd w:fill="CCEEFF" w:val="clear"/>
            <w:vAlign w:val="bottom"/>
          </w:tcPr>
          <w:p>
            <w:pPr>
              <w:pStyle w:val="TableContents"/>
              <w:spacing w:before="0" w:after="0"/>
              <w:ind w:left="144" w:right="0" w:hanging="144"/>
              <w:jc w:val="left"/>
              <w:rPr>
                <w:rFonts w:ascii="Times New Roman" w:hAnsi="Times New Roman"/>
                <w:color w:val="000000"/>
                <w:sz w:val="20"/>
              </w:rPr>
            </w:pPr>
            <w:r>
              <w:rPr>
                <w:rFonts w:ascii="Times New Roman" w:hAnsi="Times New Roman"/>
                <w:color w:val="000000"/>
                <w:sz w:val="20"/>
              </w:rPr>
              <w:t>Tangible book value per share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5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20.19</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2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19.57</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7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18.61</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19.50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20.49</w:t>
            </w:r>
          </w:p>
        </w:tc>
        <w:tc>
          <w:tcPr>
            <w:tcW w:w="203"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56" w:name="brhc20052107_ex99-2.htm"/>
      <w:bookmarkStart w:id="57" w:name="ksbrhc20052107_ex992"/>
      <w:bookmarkStart w:id="58" w:name="brhc20052107_ex99-2.htm"/>
      <w:bookmarkStart w:id="59" w:name="ksbrhc20052107_ex992"/>
      <w:bookmarkEnd w:id="58"/>
      <w:bookmarkEnd w:id="59"/>
    </w:p>
    <w:p>
      <w:pPr>
        <w:pStyle w:val="TextBody"/>
        <w:spacing w:before="0" w:after="0"/>
        <w:jc w:val="right"/>
        <w:rPr>
          <w:b/>
        </w:rPr>
      </w:pPr>
      <w:r>
        <w:rPr>
          <w:b/>
        </w:rPr>
        <w:t>Exhibit 99.2</w:t>
      </w:r>
    </w:p>
    <w:p>
      <w:pPr>
        <w:pStyle w:val="TextBody"/>
        <w:spacing w:before="0" w:after="0"/>
        <w:rPr/>
      </w:pPr>
      <w:r>
        <w:rPr/>
      </w:r>
    </w:p>
    <w:p>
      <w:pPr>
        <w:pStyle w:val="TextBody"/>
        <w:spacing w:before="0" w:after="0"/>
        <w:rPr/>
      </w:pPr>
      <w:r>
        <w:rPr/>
      </w:r>
    </w:p>
    <w:p>
      <w:pPr>
        <w:pStyle w:val="TextBody"/>
        <w:spacing w:before="0" w:after="0"/>
        <w:jc w:val="center"/>
        <w:rPr/>
      </w:pPr>
      <w:r>
        <w:rPr/>
        <w:drawing>
          <wp:inline distT="0" distB="0" distL="0" distR="0">
            <wp:extent cx="7543800" cy="5829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South Plains Financial  First Quarter 2023  Earnings Presentation  April 27, 2023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Safe Harbor Statement and Other Disclosures   FORWARD-LOOKING STATEMENTS  This presentation contains, and future oral and written statements of South Plains Financial, Inc. (“South Plains” or the “Company” or “SPFI”) and City Bank (“City Bank” or the “Bank”) may contain, statements about future events that constitute forward-looking statements within the meaning of the Private Securities Litigation Reform Act of 1995. These forward-looking statements reflect South Plains’ current views with respect to, among other things, the ongoing COVID-19 pandemic,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Forward-looking statements include, but are not limited to: (i) projections and estimates of revenues, expenses, income or loss, earnings or loss per share, and other financial items, (ii) statements of plans, objectives and expectations of South Plains or its management, (iii) statements of future economic performance, and (iv) statements of assumptions underlying such statements. Forward-looking statements should not be relied on because they involve known and unknown risks, uncertainties and other factors, some of which are beyond the control of South Plains and City Bank. These risks, uncertainties and other factors may cause the actual results, performance, and achievements of South Plains and City Bank to be materially different from the anticipated future results, performance or achievements expressed in, or implied by, the forward-looking statements. Factors that could cause such differences include, but are not limited to, general economic conditions,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the uncertain impacts of quantitative tightening and current and future monetary policies of the Board of Governors of the Federal Reserve System, regulatory considerations, competition and market expansion opportunities, changes in non-interest expenditures or in the anticipated benefits of such expenditures, the receipt of required regulatory approvals, changes in non-performing assets and charge-offs, adequacy of loan loss reserves, changes in tax laws, current or future litigation, regulatory examinations or other legal and/or regulatory actions, the impact of any tariffs, terrorist threats and attacks, acts of war or threats thereof or other pandemics. Due to these and other possible uncertainties and risks, South Plains can give no assurance that the results contemplated in the forward-looking statements will be realized and readers are cautioned not to place undue reliance on the forward-looking statements contained in this presentation. For more information about these factors, please see South Plains’ reports filed with or furnished to the U.S. Securities and Exchange Commission (the “SEC”), including South Plains’ most recent Annual Report on Form 10-K and Quarterly Reports on Form 10-Q on file with the SEC, including the sections entitled "Risk Factors" and "Management's Discussion and Analysis of Financial Condition and Results of Operations." Further, any forward-looking statement speaks only as of the date on which it is made and South Plains undertakes no obligation to update or revise any forward-looking statement to reflect events or circumstances after the date on which the statement is made or to reflect the occurrence of unanticipated events, except as required by law. All forward-looking statements, express or implied, herein are qualified in their entirety by this cautionary statement.  NON-GAAP FINANCIAL MEASURES  Management believes that certain non-GAAP performance measures used in this presentation provide meaningful information about underlying trends in its business and operations and provide both management and investors a more complete understanding of the Company’s financial position and performance. Non-GAAP financial measures should be viewed in addition to, and not as an alternative for, SPFI’s reported results prepared in accordance with GAAP. Numbers in this presentation may not sum due to rounding.  2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Today’s Speakers   Curtis C. Griffith Chairman &amp; Chief Executive Officer  Elected to the board of directors of First State Bank of Morton, Texas, in 1972 and employed by it in 1979  Elected Chairman of the First State Bank of Morton board in 1984  Chairman of the Board of City Bank and the Company since 1993  Steven B. Crockett Chief Financial Officer &amp; Treasurer  Appointed Chief Financial Officer in 2015  Previously Controller of City Bank and the Company for 14 and 5 years respectively  Began career in public accounting in 1994 by serving for seven years with a local firm in Lubbock, Texas  Cory T. Newsom President  Entire banking career with the Company focused on lending and operations  Appointed President and Chief Executive Officer of the Bank in 2008  Joined the Board in 2008  3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First Quarter 2023 Highlights  South Plains’ Granular, Core Deposit Franchise Proved to be a Competitive Advantage in Light of the Current Banking Sector Turmoil  Total deposits increased $101.6 million, or 12.0% annualized, to $3.5 billion during 1Q’23 compared to 4Q’22  Estimated uninsured deposits at City Bank comprise 17% of total deposits, with an average deposit account size of approximately $35 thousand – at the end of 1Q’23  At the end of 1Q’23, SPFI had $1.75 billion of total borrowing capacity  Loans held for investment increased 5.9%, annualized, to $2.79B as compared to 4Q’22. Metropolitan market loan growth of 5.0% during 1Q’23  Credit metrics were stable through 1Q’23 as the ratio of nonperforming assets to total assets was 19 bps as compared to 20 bps in 4Q’22 and 33 bps in Q1’22  Subsequent to quarter end, as previously announced, SPFI sold City Bank’s wholly-owned subsidiary, Windmark Insurance Agency, Inc. (“Windmark”) for $35.5 million in cash proceeds, providing further flexibility for investment and capital allocation to create shareholder value   Deposit Growth   12.0% Annualized   Uninsured Deposits  17%  Net Income   $9.2 M  EPS - Diluted  $0.53  Net Interest Margin (1)  (“NIM”) 3.75%  Average Yield on Loans  5.78%  4  Source: Company documents  Net interest margin is calculated on a tax-equivalent basis  The Bank defines its “major metropolitan markets” to include Dallas, Houston and El Paso, Texas  Organic Loan Growth   5.9% Annualized  Loans Held for Investment  (“HFI”) $2.79 B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Granular Deposit Base &amp; Ample Liquidity  Total Borrowing Capacity  $1.75 Billion  Source: Company documents  (1) No securities are currently pledged to this program; amount represents securities available to be pledged  Data as of March 31, 2023  5  Total Deposit Base Breakdown  Average deposit account size is approximately $35 thousand  City Bank’s percentage of estimated uninsured deposits was 17%  excludes collateralized public fund deposits  SPFI consolidated percentage was 14%, which further excludes SPFI cash of $98.8 million  SPFI had $1.75 billion of available borrowing capacity, as follows:  $988 million with FHLB of Dallas  $586 million through the Federal Reserve’s Discount Window  $179 million via the Federal Reserve’s Bank Term Funding Program (1)  No borrowings utilized during 1Q’23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Loan Portfolio  1Q’23 Highlights  Loans HFI increased $40.6 million from 4Q’22, primarily due to organic net loan growth  Organic net loan growth was driven by increases in commercial real estate loans and residential mortgage loans, partially offset by a decrease in residential construction loans  Loans HFI increased $335.0 million from 1Q’22  1Q’23 yield on loans of 5.78%, an increase of 19 bps compared to 4Q’22  Total Loans HFI  $ in Millions  Source: Company documents  6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Attractive Markets Poised for Organic Growth  El Paso Basin  Dallas / Ft. Worth  Population of 865,000+  Adjacent in proximity to Juarez, Mexico’s growing industrial center and an estimated population of 1.5 million people  Home to four universities including The University of Texas at El Paso  Focus on commercial real estate lending  Largest MSA in Texas and fourth largest in the nation  Steadily expanding population that accounts for over 26% of the state’s population  MSA with the largest job growth in 2022 (+5.9%)  Attractive location for companies interested in relocating to more efficient economic environments   Focus on commercial real estate lending  Houston   Second largest MSA in Texas and fifth largest in the nation  Total Non-Farm Employment was up 5.6% in 2022 compared to 2021  Called the “Energy Capital of the World,” the area also boasts the world’s largest medical center and second busiest port in the U.S  Focus on commercial real estate lending  Lubbock Basin  Population in excess of 320,000 with major industries in agribusiness, education, and trade among others  Home of Texas Tech University – enrollment of 40,000 students  Focus on community bank approach and expanding local relationships  7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Metropolitan Loan Growth  1Q’23 Highlights  Loans HFI in our Dallas, Houston and El Paso metro markets increased 5.0% annualized in 1Q'23 as compared to 4Q'22  Loans HFI increased 16.2% in 1Q’23 as compared to 1Q’22 in these metro markets and represent 32% of total Bank loans at March 31, 2023.  Expansion of lending team across the Company’s metro markets is driving accelerated loan growth  Existing infrastructure in Dallas, Houston and El Paso can support further growth  New lenders continue to ramp more quickly than anticipated reaching breakeven ahead of plan, on average  El Paso experienced $10mm of paydowns related to two credits in 1Q’23  Total Metropolitan Loans  $ in Millions  Source: Company documents  8  5.00%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Loan HFI Portfolio  Loan Mix  Loan Portfolio ($ in millions)     3/31/23  Commercial C&amp;D  $   154.8  Residential C&amp;D     260.7  CRE Owner/Occ.  307.9  Other CRE Non Owner/Occ.     489.6  Multi-Family     169.0  C&amp;I     370.2  Agriculture     148.4  1-4 Family     485.4  Auto     321.3  Other Consumer     81.4           Total  $  2,788.7  Source: Company documents  Fixed vs. Variable Rate   at 3/31/23  9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CRE Portfolio  10  Office Highlights  Office is 5.8% of total loans HFI  32% is owner-occupied  Average loan size is $755 thousand  Medical offices comprise 13%  CRE Portfolio ($ in millions)  3/31/2023  Property Type  Total  Multifamily  $169.0  Warehouse  164.9  Retail  163.6  Office – Non-Owner Occ  109.5  Hotel  65.5  Restaurant  64.5  Office – Owner Occ  52.0  Convenience Store  41.1  Other  136.4        Total  $966.5  Source: Company documents  CRE Sector Breakdown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Indirect Auto Overview  Indirect Auto Highlights  Indirect auto loans totaled $300.3 million  Disciplined underwriting approach to selectively grow indirect auto lending portfolio   Strong credit quality in sector positioned for resiliency across economic cycles:  Super Prime Credit (&gt;719): $183.9 million  Prime Credit (719-660): $84.4 million  Near Prime Credit (659-620): $26.4 million  Sub-Prime Credit (619-580): $5.0 million  Deep Sub-Prime Credit (&lt;580): $0.6 million  Loans past due 30+ days: 14 bps as compared to 26 bps at 12/31/22  Indirect Auto Credit Breakdown  Source: Company documents  Data as of March 31, 2023 unless otherwise indicated  11  Credit score at origination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Noninterest Income Overview  Noninterest Income  $ in Millions  1Q'23 Highlights  Noninterest income of $10.7 million, compared to $12.7 million in 4Q'22, primarily due to:  A decrease of $1.4 million in income based on the seasonality of insurance activities  Mortgage loan originations declined to $86 million as compared to $125 million in 4Q’22 leading to a decline of $491 thousand in mortgage banking activities revenue  1Q’23 includes a $2.0 million reduction in the fair value of mortgage servicing rights as mortgage rates had declined at the end of the quarter  Noninterest income expected to stabilize as the mortgage market moderates to the current interest rate environment   Source: Company documents  12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Diversified Revenue Stream  Three Months Ended March 31, 2023  Total Revenues  $45 million  Noninterest Income  $10.7 million  Source: Company documents  13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Net Interest Income and Margin  Net Interest Income &amp; Margin  $ in Millions  1Q'23 Highlights  Net interest income (“NII”) of $34.3 million, compared to $36.3 million in 4Q'22  1Q'23 NIM of 3.75%, a decrease of 13 bps compared to 4Q'22:  NIM compression was a result of a 39 bps increase in cost of deposits as compared to 4Q’22, prompted by the current banking sector turmoil and related actions to retain liquidity amid the rising interest rate environment  4Q’22 included 9 bps for a purchased loan recovery on one credit  Average noninterest-bearing deposits decreased $125.2 million during 1Q’23  The average yield on loans was 5.78% for 1Q’23, compared to 5.59% for 4Q’22  Source: Company documents  14  3.54%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Deposit Portfolio  Total Deposits  $ in Millions  1Q'23 Highlights  Total deposits of $3.51 billion at 1Q'23, an increase of $101 million from 4Q'22  Growth in deposits was driven by our strategic focus on liquidity and occurred predominately in public fund deposits  Estimated 17% of total deposits are uninsured  Cost of interest-bearing deposits increased to 2.03% in 1Q'23 from 1.52% in 4Q'22  Average cost of deposits was 136 bps as compared to 97 bps in 4Q'22  Time deposits only represent 8% of total deposits, unchanged during the quarter; represented 10% at 12/31/21  Noninterest-bearing deposits to total deposits was 31.7% in 1Q'23, compared to 33.8% in 4Q'22  Source: Company documents  15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Credit Quality  1Q'23 Highlights  Credit Quality Ratios  Net Charge-Offs to Average Loans  ACL to Total Loans HFI  Source: Company documents  16  The Company recorded a provision for credit losses of $1.0 million in 1Q’23, compared to $248 thousand in 4Q’22, and a negative provision of $2.1 million for 1Q’22  Continued to largely experience stable credit metrics in the loan portfolio during the first quarter of 2023  Ratio of Allowance for Credit Losses (“ACL”) to loans HFI was 1.42% at 3/31/2023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Investment Securities  1Q'23 Highlights  Investment securities totaled $698.6 million at 3/31/2023, a decrease of $3.1 million from 12/31/2022  All municipal bonds are in Texas  All MBS, CMO, and Asset Backed securities are U.S. Government or GSE  Duration of the securities portfolio was 5.98 years at quarter end   Total unrealized loss was $94.1 million at 3/31/23, due to significant increases in market interest rates since March 2022  1Q'23 Securities Composition  $698.6  million  Securities &amp; Cash  $ in Millions  Source: Company documents  17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Noninterest Expense and Efficiency  Noninterest Expense  $ in Millions  1Q'23 Highlights  Noninterest expense for 1Q'23 decreased 1.1% from 4Q'22 primarily due to:  Declines in professional services, marketing, and occupancy expense, partially offset by an increase in personnel expense  Included approximately $500 thousand in expenses related to the sale of Windmark  Anticipate noninterest expense to increase in Q2’23 for additional Windmark related transaction costs  Will continue to aggressively manage expenses to drive profitability   Source: Company documents  18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Balance Sheet Growth and Development  Balance Sheet Highlights  $ in Millions  Tangible Book Value Per Share  Note: Tangible book value per share is a non-GAAP measure. See appendix for the   reconciliation of non-GAAP measures to GAAP   Source: Company documents  19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Strong Capital Base  Tangible Common Equity to Tangible Assets Ratio  Common Equity Tier 1 Ratio  Tier 1 Capital to Average Assets Ratio  Total Capital to Risk-Weighted Assets Ratio  Source: Company documents  Note: Tangible common equity to tangible assets ratio is a non-GAAP measure. See appendix for the reconciliation of non-GAAP measures to GAAP   20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SPFI’s Core Purpose and Values Align: Centered on Relationship-Based Business  Our Core Purpose is:   To use the power of relationships to help people succeed and live better  HELP [ALL STAKEHOLDERS] SUCCEED  Employees  great benefits and opportunities to grow and make a difference.  Customers  personalized advice and solutions to achieve their goals.  Partners  responsive, trusted win-win partnerships enabling both parties to succeed together.  Shareholders  share in the prosperity and performance of the Bank.  THE POWER OF RELATIONSHIPS  At SPFI, we build lifelong, trusted relationships so you know you always have someone in your corner that understands you, cares about you, and stands ready to help.   LIVE BETTER  We want to help everyone live better.   At the end of the day, we do what we do to help enhance lives. We create a great place to work, help people achieve their goals, and invest generously in our communities because there’s nothing more rewarding then helping people succeed and live better.   21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Appendix  22 </w:t>
      </w:r>
    </w:p>
    <w:p>
      <w:pPr>
        <w:pStyle w:val="TextBody"/>
        <w:spacing w:before="0" w:after="0"/>
        <w:jc w:val="center"/>
        <w:rPr/>
      </w:pPr>
      <w:r>
        <w:rPr/>
        <w:t> </w:t>
      </w:r>
    </w:p>
    <w:p>
      <w:pPr>
        <w:pStyle w:val="HorizontalLine"/>
        <w:pBdr>
          <w:bottom w:val="single" w:sz="20" w:space="0" w:color="808080"/>
        </w:pBdr>
        <w:spacing w:before="200" w:after="200"/>
        <w:rPr/>
      </w:pPr>
      <w:r>
        <w:rPr/>
      </w:r>
    </w:p>
    <w:p>
      <w:pPr>
        <w:pStyle w:val="TextBody"/>
        <w:spacing w:before="0" w:after="0"/>
        <w:jc w:val="center"/>
        <w:rPr/>
      </w:pPr>
      <w:r>
        <w:rPr/>
        <w:drawing>
          <wp:inline distT="0" distB="0" distL="0" distR="0">
            <wp:extent cx="7543800" cy="58293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543800" cy="5829300"/>
                    </a:xfrm>
                    <a:prstGeom prst="rect">
                      <a:avLst/>
                    </a:prstGeom>
                  </pic:spPr>
                </pic:pic>
              </a:graphicData>
            </a:graphic>
          </wp:inline>
        </w:drawing>
      </w:r>
    </w:p>
    <w:p>
      <w:pPr>
        <w:pStyle w:val="TextBody"/>
        <w:spacing w:before="0" w:after="0"/>
        <w:jc w:val="left"/>
        <w:rPr>
          <w:color w:val="FFFFFF"/>
        </w:rPr>
      </w:pPr>
      <w:r>
        <w:rPr>
          <w:color w:val="FFFFFF"/>
        </w:rPr>
        <w:t> </w:t>
      </w:r>
      <w:r>
        <w:rPr>
          <w:rFonts w:ascii="\;Times New Roman;Times;serif', 'font-size: 1pt'" w:hAnsi="\;Times New Roman;Times;serif', 'font-size: 1pt'"/>
          <w:color w:val="FFFFFF"/>
        </w:rPr>
        <w:t>Non-GAAP Financial Measures  Source: Company documents  23  For the quarter ended     March 31,  2023     December 31,  2022     September 30,  2022     June 30,  2022     March 31,  2022  Pre-tax, pre-provision income  Net income  $  9,244  $  12,621  $  15,458  $  15,883  $  14,278  Income tax expense  2,391  3,421  3,962  4,001  3,527  Provision for credit losses  1,010  248  (782)  -  (2,085)  Pre-tax, pre-provision income  $  12,645  $  16,290  $  18,638  $  19,884  $  15,720  As of      March 31,  2023     December 31,  2022     September 30,  2022     June 30,  2022     March 31,  2022  Tangible common equity                                            Total common stockholders’ equity  $  367,964     $  357,014     $  $ 341,799     $  $ 364,222     $  $ 387,068  Less:  goodwill and other intangibles     (23,496)        (23,857)        (24,228)        (24,620)        (25,011)                                               Tangible common equity  $  344,468     $  333,157     $  $ 317,571     $  $ 339,602     $  $ 362,057                                               Tangible assets                                            Total assets  $  4,058,049     $  3,944,063     $  $ 3,992,690     $  $ 3,974,724     $  $ 3,999,744  Less:  goodwill and other intangibles     (23,496)        (23,857)        (24,228)        (24,620)        (25,011)                                               Tangible assets  $  4,034,553     $  3,920,206     $  $ 3,968,462     $  $ 3,950,104     $  $ 3,974,733                                               Shares outstanding     17,062,572        17,027,197        17,064,640        17,417,094        17,673,407                                   Total stockholders’ equity to total assets     9.07%     9.05%     8.56%     9.16%     9.68%  Tangible common equity to tangible assets     8.54%     8.50%     8.00%     8.60%     9.11%  Book value per share  $  21.57  $  20.97  $  20.03  $  20.91  $  21.90  Tangible book value per share  $  20.19  $  19.57  $  18.61  $  19.50  $  20.49 </w:t>
      </w:r>
    </w:p>
    <w:p>
      <w:pPr>
        <w:pStyle w:val="TextBody"/>
        <w:spacing w:before="0" w:after="0"/>
        <w:jc w:val="center"/>
        <w:rPr/>
      </w:pPr>
      <w:r>
        <w:rPr/>
        <w:t> </w:t>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8225</Words>
  <CharactersWithSpaces>55053</CharactersWithSpaces>
  <Paragraphs>3373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