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178435</wp:posOffset>
            </wp:positionV>
            <wp:extent cx="13119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 of</w:t>
      </w:r>
    </w:p>
    <w:p>
      <w:pPr>
        <w:ind w:left="410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165735</wp:posOffset>
            </wp:positionV>
            <wp:extent cx="13119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tbl>
      <w:tblPr>
        <w:tblLayout w:type="fixed"/>
        <w:tblInd w:w="340" w:type="dxa"/>
        <w:tblCellMar>
          <w:top w:w="0" w:type="dxa"/>
          <w:left w:w="0" w:type="dxa"/>
          <w:bottom w:w="0" w:type="dxa"/>
          <w:right w:w="0" w:type="dxa"/>
        </w:tblCellMar>
      </w:tblPr>
      <w:tr>
        <w:trPr>
          <w:trHeight w:val="220"/>
        </w:trPr>
        <w:tc>
          <w:tcPr>
            <w:tcW w:w="3780" w:type="dxa"/>
            <w:vAlign w:val="bottom"/>
          </w:tcPr>
          <w:p>
            <w:pPr>
              <w:jc w:val="center"/>
              <w:ind w:right="550"/>
              <w:spacing w:after="0"/>
              <w:rPr>
                <w:sz w:val="20"/>
                <w:szCs w:val="20"/>
                <w:color w:val="auto"/>
              </w:rPr>
            </w:pPr>
            <w:r>
              <w:rPr>
                <w:rFonts w:ascii="Arial" w:cs="Arial" w:eastAsia="Arial" w:hAnsi="Arial"/>
                <w:sz w:val="18"/>
                <w:szCs w:val="18"/>
                <w:b w:val="1"/>
                <w:bCs w:val="1"/>
                <w:color w:val="auto"/>
                <w:w w:val="82"/>
              </w:rPr>
              <w:t>Texas</w:t>
            </w:r>
          </w:p>
        </w:tc>
        <w:tc>
          <w:tcPr>
            <w:tcW w:w="3420" w:type="dxa"/>
            <w:vAlign w:val="bottom"/>
          </w:tcPr>
          <w:p>
            <w:pPr>
              <w:jc w:val="right"/>
              <w:ind w:right="1310"/>
              <w:spacing w:after="0"/>
              <w:rPr>
                <w:sz w:val="20"/>
                <w:szCs w:val="20"/>
                <w:color w:val="auto"/>
              </w:rPr>
            </w:pPr>
            <w:r>
              <w:rPr>
                <w:rFonts w:ascii="Arial" w:cs="Arial" w:eastAsia="Arial" w:hAnsi="Arial"/>
                <w:sz w:val="18"/>
                <w:szCs w:val="18"/>
                <w:b w:val="1"/>
                <w:bCs w:val="1"/>
                <w:color w:val="auto"/>
              </w:rPr>
              <w:t>001-38895</w:t>
            </w:r>
          </w:p>
        </w:tc>
        <w:tc>
          <w:tcPr>
            <w:tcW w:w="326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75-2453320</w:t>
            </w:r>
          </w:p>
        </w:tc>
      </w:tr>
      <w:tr>
        <w:trPr>
          <w:trHeight w:val="230"/>
        </w:trPr>
        <w:tc>
          <w:tcPr>
            <w:tcW w:w="3780" w:type="dxa"/>
            <w:vAlign w:val="bottom"/>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420" w:type="dxa"/>
            <w:vAlign w:val="bottom"/>
          </w:tcPr>
          <w:p>
            <w:pPr>
              <w:jc w:val="center"/>
              <w:ind w:right="70"/>
              <w:spacing w:after="0"/>
              <w:rPr>
                <w:sz w:val="20"/>
                <w:szCs w:val="20"/>
                <w:color w:val="auto"/>
              </w:rPr>
            </w:pPr>
            <w:r>
              <w:rPr>
                <w:rFonts w:ascii="Arial" w:cs="Arial" w:eastAsia="Arial" w:hAnsi="Arial"/>
                <w:sz w:val="18"/>
                <w:szCs w:val="18"/>
                <w:color w:val="auto"/>
                <w:w w:val="92"/>
              </w:rPr>
              <w:t>(Commission File Number)</w:t>
            </w: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3780" w:type="dxa"/>
            <w:vAlign w:val="bottom"/>
          </w:tcPr>
          <w:p>
            <w:pPr>
              <w:jc w:val="center"/>
              <w:ind w:right="590"/>
              <w:spacing w:after="0"/>
              <w:rPr>
                <w:sz w:val="20"/>
                <w:szCs w:val="20"/>
                <w:color w:val="auto"/>
              </w:rPr>
            </w:pPr>
            <w:r>
              <w:rPr>
                <w:rFonts w:ascii="Arial" w:cs="Arial" w:eastAsia="Arial" w:hAnsi="Arial"/>
                <w:sz w:val="18"/>
                <w:szCs w:val="18"/>
                <w:b w:val="1"/>
                <w:bCs w:val="1"/>
                <w:color w:val="auto"/>
                <w:w w:val="94"/>
              </w:rPr>
              <w:t>5219 City Bank Parkway</w:t>
            </w:r>
          </w:p>
        </w:tc>
        <w:tc>
          <w:tcPr>
            <w:tcW w:w="34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20"/>
        </w:trPr>
        <w:tc>
          <w:tcPr>
            <w:tcW w:w="3780" w:type="dxa"/>
            <w:vAlign w:val="bottom"/>
          </w:tcPr>
          <w:p>
            <w:pPr>
              <w:jc w:val="center"/>
              <w:ind w:right="590"/>
              <w:spacing w:after="0"/>
              <w:rPr>
                <w:sz w:val="20"/>
                <w:szCs w:val="20"/>
                <w:color w:val="auto"/>
              </w:rPr>
            </w:pPr>
            <w:r>
              <w:rPr>
                <w:rFonts w:ascii="Arial" w:cs="Arial" w:eastAsia="Arial" w:hAnsi="Arial"/>
                <w:sz w:val="18"/>
                <w:szCs w:val="18"/>
                <w:b w:val="1"/>
                <w:bCs w:val="1"/>
                <w:color w:val="auto"/>
                <w:w w:val="89"/>
              </w:rPr>
              <w:t>Lubbock, Texas</w:t>
            </w:r>
          </w:p>
        </w:tc>
        <w:tc>
          <w:tcPr>
            <w:tcW w:w="3420" w:type="dxa"/>
            <w:vAlign w:val="bottom"/>
          </w:tcPr>
          <w:p>
            <w:pPr>
              <w:spacing w:after="0"/>
              <w:rPr>
                <w:sz w:val="19"/>
                <w:szCs w:val="19"/>
                <w:color w:val="auto"/>
              </w:rPr>
            </w:pPr>
          </w:p>
        </w:tc>
        <w:tc>
          <w:tcPr>
            <w:tcW w:w="326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79407</w:t>
            </w:r>
          </w:p>
        </w:tc>
      </w:tr>
      <w:tr>
        <w:trPr>
          <w:trHeight w:val="230"/>
        </w:trPr>
        <w:tc>
          <w:tcPr>
            <w:tcW w:w="378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spacing w:after="0"/>
              <w:rPr>
                <w:sz w:val="20"/>
                <w:szCs w:val="20"/>
                <w:color w:val="auto"/>
              </w:rPr>
            </w:pPr>
          </w:p>
        </w:tc>
        <w:tc>
          <w:tcPr>
            <w:tcW w:w="3260" w:type="dxa"/>
            <w:vAlign w:val="bottom"/>
          </w:tcPr>
          <w:p>
            <w:pPr>
              <w:jc w:val="center"/>
              <w:ind w:left="650"/>
              <w:spacing w:after="0"/>
              <w:rPr>
                <w:sz w:val="20"/>
                <w:szCs w:val="20"/>
                <w:color w:val="auto"/>
              </w:rPr>
            </w:pPr>
            <w:r>
              <w:rPr>
                <w:rFonts w:ascii="Arial" w:cs="Arial" w:eastAsia="Arial" w:hAnsi="Arial"/>
                <w:sz w:val="18"/>
                <w:szCs w:val="18"/>
                <w:color w:val="auto"/>
                <w:w w:val="94"/>
              </w:rPr>
              <w:t>(Zip Code)</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80"/>
        <w:spacing w:after="0" w:line="253"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2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4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November 12, 2019, pursuant to the previously announced Agreement and Plan of Merger, dated as of July 25, 2019 (the “Merger Agreement”), by and between South Plains Financial, Inc., a Texas corporation (the “Company”), SPFI Merger Sub, Inc., a Texas corporation (“Merger Sub”), City Bank, a Texas banking association (“City Bank”) and West Texas State Bank, a Texas banking association (“WTSB”), Merger Sub merged with and into WTSB, with WTSB continuing as the surviving entity (the “Merger”). Immediately after the Merger, WTSB merged with and into City Bank, with City Bank continuing as the surviving entity.</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Pursuant to the terms and conditions set forth in the Merger Agreement, WTSB shareholders were paid an aggregate of $76.1 million in cash merger consideration. Each outstanding share of WTSB common stock, par value $5.00 per share, held immediately prior to the effective time of the Merger was converted into the right to receive $566.73 in cash.</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foregoing description of the Merger Agreement does not purport to be complete and is subject to, and qualified in its entirety by, the full text of the Merger Agreement, which is incorporated by reference in this Current Report on Form 8-K as Exhibit 2.1.</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November 12, 2019, the Company issued a press release announcing the completion of the Merger. A copy of the press release announcing the closing of the Merger is attached to this Current Report on Form 8-K as Exhibit 99.1 and incorporated herein by reference.</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of Businesses Acquired.</w:t>
      </w:r>
    </w:p>
    <w:p>
      <w:pPr>
        <w:spacing w:after="0" w:line="24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financial statements required by this item will be filed by amendment to this Current Report on Form 8-K no later than 71 days after the date on which this Current Report on Form 8-K is required to be filed.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24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pro forma financial information required by this item will be filed by amendment to this Current Report on Form 8-K no later than 71 days after the date on which this Current Report on Form 8-K is required to be filed.</w:t>
      </w:r>
    </w:p>
    <w:p>
      <w:pPr>
        <w:spacing w:after="0" w:line="20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Agreement and Plan of Merger, by and between South Plains Financial, Inc., SPFI Merger Sub, Inc., City Bank and West Texas State Bank, dated as of July 25, 2019 (incorporated by reference to Exhibit 2.1 to the Current Report on Form 8-K filed with the Securities and Exchange Commission on July 25, 2019) (schedules and exhibits have been omitted pursuant to Item 601(b)(2) of Regulation S-K; the registrant agrees to furnish copies of any such omitted schedules or exhibits to the Securities and Exchange Commission upon request).</w:t>
      </w:r>
    </w:p>
    <w:p>
      <w:pPr>
        <w:spacing w:after="0" w:line="198" w:lineRule="exact"/>
        <w:rPr>
          <w:sz w:val="20"/>
          <w:szCs w:val="20"/>
          <w:color w:val="auto"/>
        </w:rPr>
      </w:pPr>
    </w:p>
    <w:p>
      <w:pPr>
        <w:spacing w:after="0"/>
        <w:tabs>
          <w:tab w:leader="none" w:pos="64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issued by South Plains Financial, Inc. announcing the completion of the acquisition of West Texas State Bank, dated November 12,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360" w:val="left"/>
          <w:tab w:leader="none" w:pos="5940" w:val="left"/>
        </w:tabs>
        <w:rPr>
          <w:sz w:val="20"/>
          <w:szCs w:val="20"/>
          <w:color w:val="auto"/>
        </w:rPr>
      </w:pPr>
      <w:r>
        <w:rPr>
          <w:rFonts w:ascii="Arial" w:cs="Arial" w:eastAsia="Arial" w:hAnsi="Arial"/>
          <w:sz w:val="18"/>
          <w:szCs w:val="18"/>
          <w:color w:val="auto"/>
        </w:rPr>
        <w:t>Dated: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343916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916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Completes Acquisition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 Texas State Bank, Odessa, Texas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LUBBOCK, Texas, November 12, 2019 (GLOBE NEWSWIRE) – South Plains Financial, Inc. (NASDAQ:SPFI) (“South Plains” or the “Company”), the parent company of City Bank, completed its acquisition of West Texas State Bank (“WTSB”) on November 12, 2019. Under the terms of the definitive agreement, WTSB shareholders were paid an aggregate of $76.1 million in cash merger consideration.</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September 30, 2019, South Plains reported, on a consolidated basis, total assets of $2.8 billion, total deposits of $2.3 billion and total loans of $2.0 billion and WTSB reported total assets of $430 million, total deposits of $375 million and total loans of $200 million. Based on financial information as of September 30, 2019, the combined company will have approximately $3.2 billion in total assets, 26 branch offices and 13 mortgage production offices across Texas and New Mexico.</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Curtis Griffith, Chairman and Chief Executive Officer of South Plains, commented, “We are extremely excited to welcome WTSB’s employees, loyal customers, and communities to the South Plains family. WTSB has accomplished a great deal over the last 80 years, while providing a real commitment to the communities that they serve. Together, we will carry the same values, outstanding service and similar cultures, while offering WTSB’s customers an exciting array of new banking, mortgage, wealth management and trust products. Together, we intend to expand our position as a premier bank in West Texas as we work to build value for all of our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South Plains Financial, Inc.</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South Plains is the bank holding company for City Bank, a Texas state-chartered bank headquartered in Lubbock, Texas. City Bank is one of the largest independent banks in West Texas and has additional banking operations in the Dallas and El Paso markets, as well as in the Greater Houston, the Permian Basin,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19"/>
          <w:szCs w:val="19"/>
          <w:u w:val="single" w:color="auto"/>
          <w:color w:val="auto"/>
        </w:rPr>
        <w:t>https://www.spfi.bank</w:t>
      </w:r>
      <w:r>
        <w:rPr>
          <w:rFonts w:ascii="Arial" w:cs="Arial" w:eastAsia="Arial" w:hAnsi="Arial"/>
          <w:sz w:val="19"/>
          <w:szCs w:val="19"/>
          <w:color w:val="auto"/>
        </w:rPr>
        <w:t xml:space="preser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Forward Looking Statements</w:t>
      </w:r>
    </w:p>
    <w:p>
      <w:pPr>
        <w:spacing w:after="0" w:line="24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press release contains forward-looking statements. These forward-looking statements reflect South Plains’ current views with respect to, among other things, the completion of its acquisition of WTSB and other future events.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Additional information regarding these risks and uncertainties to which South Plains’ business and future financial performance are subject is contained in South Plains’ Prospectus filed with the U.S. Securities and Exchange Commission (“SEC”), dated May 8, 2019 (“Prospectus”), and other documents South Plains files with the SEC from time to time. South Plains urges readers of this press release to review the Risk Factors section of that Prospectus and the Risk Factors section of other documents South Plains files with the SEC from time to time.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Contact:</w:t>
            </w:r>
          </w:p>
        </w:tc>
        <w:tc>
          <w:tcPr>
            <w:tcW w:w="3700" w:type="dxa"/>
            <w:vAlign w:val="bottom"/>
            <w:gridSpan w:val="2"/>
          </w:tcPr>
          <w:p>
            <w:pPr>
              <w:spacing w:after="0"/>
              <w:rPr>
                <w:sz w:val="20"/>
                <w:szCs w:val="20"/>
                <w:color w:val="auto"/>
              </w:rPr>
            </w:pPr>
            <w:r>
              <w:rPr>
                <w:rFonts w:ascii="Arial" w:cs="Arial" w:eastAsia="Arial" w:hAnsi="Arial"/>
                <w:sz w:val="18"/>
                <w:szCs w:val="18"/>
                <w:color w:val="auto"/>
                <w:w w:val="92"/>
              </w:rPr>
              <w:t>Mikella Newsom, Chief Risk Officer and Secretary</w:t>
            </w:r>
          </w:p>
        </w:tc>
      </w:tr>
      <w:tr>
        <w:trPr>
          <w:trHeight w:val="190"/>
        </w:trPr>
        <w:tc>
          <w:tcPr>
            <w:tcW w:w="920" w:type="dxa"/>
            <w:vAlign w:val="bottom"/>
          </w:tcPr>
          <w:p>
            <w:pPr>
              <w:spacing w:after="0"/>
              <w:rPr>
                <w:sz w:val="16"/>
                <w:szCs w:val="16"/>
                <w:color w:val="auto"/>
              </w:rPr>
            </w:pPr>
          </w:p>
        </w:tc>
        <w:tc>
          <w:tcPr>
            <w:tcW w:w="3700" w:type="dxa"/>
            <w:vAlign w:val="bottom"/>
            <w:gridSpan w:val="2"/>
          </w:tcPr>
          <w:p>
            <w:pPr>
              <w:spacing w:after="0" w:line="190" w:lineRule="exact"/>
              <w:rPr>
                <w:sz w:val="20"/>
                <w:szCs w:val="20"/>
                <w:color w:val="auto"/>
              </w:rPr>
            </w:pPr>
            <w:r>
              <w:rPr>
                <w:rFonts w:ascii="Arial" w:cs="Arial" w:eastAsia="Arial" w:hAnsi="Arial"/>
                <w:sz w:val="18"/>
                <w:szCs w:val="18"/>
                <w:color w:val="auto"/>
              </w:rPr>
              <w:t>investors@city.bank</w:t>
            </w:r>
          </w:p>
        </w:tc>
      </w:tr>
      <w:tr>
        <w:trPr>
          <w:trHeight w:val="237"/>
        </w:trPr>
        <w:tc>
          <w:tcPr>
            <w:tcW w:w="9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(866) 771-3347</w:t>
            </w:r>
          </w:p>
        </w:tc>
        <w:tc>
          <w:tcPr>
            <w:tcW w:w="2220" w:type="dxa"/>
            <w:vAlign w:val="bottom"/>
          </w:tcPr>
          <w:p>
            <w:pPr>
              <w:spacing w:after="0"/>
              <w:rPr>
                <w:sz w:val="20"/>
                <w:szCs w:val="20"/>
                <w:color w:val="auto"/>
              </w:rPr>
            </w:pPr>
          </w:p>
        </w:tc>
      </w:tr>
    </w:tbl>
    <w:p>
      <w:pPr>
        <w:spacing w:after="0" w:line="2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2019-12-28T01:33:04Z</dcterms:created>
  <dcterms:modified xsi:type="dcterms:W3CDTF">2019-12-28T01:33:04Z</dcterms:modified>
</cp:coreProperties>
</file>