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vMerge w:val="restart"/>
          </w:tcPr>
          <w:p>
            <w:pPr>
              <w:spacing w:after="0"/>
              <w:rPr>
                <w:rFonts w:ascii="Arial" w:cs="Arial" w:eastAsia="Arial" w:hAnsi="Arial"/>
                <w:sz w:val="22"/>
                <w:szCs w:val="22"/>
                <w:color w:val="0000EE"/>
                <w:w w:val="91"/>
              </w:rPr>
            </w:pPr>
            <w:hyperlink r:id="rId12">
              <w:r>
                <w:rPr>
                  <w:rFonts w:ascii="Arial" w:cs="Arial" w:eastAsia="Arial" w:hAnsi="Arial"/>
                  <w:sz w:val="22"/>
                  <w:szCs w:val="22"/>
                  <w:color w:val="0000EE"/>
                  <w:w w:val="91"/>
                </w:rPr>
                <w:t>Wargo Kyle R</w:t>
              </w:r>
            </w:hyperlink>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9"/>
          </w:tcPr>
          <w:p>
            <w:pPr>
              <w:spacing w:after="0" w:line="175" w:lineRule="exact"/>
              <w:rPr>
                <w:rFonts w:ascii="Arial" w:cs="Arial" w:eastAsia="Arial" w:hAnsi="Arial"/>
                <w:sz w:val="19"/>
                <w:szCs w:val="19"/>
                <w:color w:val="0000EE"/>
              </w:rPr>
            </w:pPr>
            <w:hyperlink r:id="rId13">
              <w:r>
                <w:rPr>
                  <w:rFonts w:ascii="Arial" w:cs="Arial" w:eastAsia="Arial" w:hAnsi="Arial"/>
                  <w:sz w:val="19"/>
                  <w:szCs w:val="19"/>
                  <w:color w:val="0000EE"/>
                </w:rPr>
                <w:t xml:space="preserve">SOUTH PLAINS FINANCIAL,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SPFI</w:t>
            </w:r>
          </w:p>
        </w:tc>
        <w:tc>
          <w:tcPr>
            <w:tcW w:w="80" w:type="dxa"/>
            <w:vAlign w:val="bottom"/>
          </w:tcPr>
          <w:p>
            <w:pPr>
              <w:spacing w:after="0"/>
              <w:rPr>
                <w:sz w:val="15"/>
                <w:szCs w:val="15"/>
                <w:color w:val="auto"/>
              </w:rPr>
            </w:pPr>
          </w:p>
        </w:tc>
        <w:tc>
          <w:tcPr>
            <w:tcW w:w="1720" w:type="dxa"/>
            <w:vAlign w:val="bottom"/>
            <w:gridSpan w:val="4"/>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line="148" w:lineRule="exact"/>
              <w:rPr>
                <w:sz w:val="20"/>
                <w:szCs w:val="20"/>
                <w:color w:val="auto"/>
              </w:rPr>
            </w:pPr>
            <w:r>
              <w:rPr>
                <w:rFonts w:ascii="Arial" w:cs="Arial" w:eastAsia="Arial" w:hAnsi="Arial"/>
                <w:sz w:val="16"/>
                <w:szCs w:val="16"/>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3"/>
            <w:vMerge w:val="restart"/>
          </w:tcPr>
          <w:p>
            <w:pPr>
              <w:ind w:left="160"/>
              <w:spacing w:after="0" w:line="12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7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304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24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60"/>
              <w:spacing w:after="0" w:line="115" w:lineRule="exact"/>
              <w:rPr>
                <w:sz w:val="20"/>
                <w:szCs w:val="20"/>
                <w:color w:val="auto"/>
              </w:rPr>
            </w:pPr>
            <w:r>
              <w:rPr>
                <w:rFonts w:ascii="Arial" w:cs="Arial" w:eastAsia="Arial" w:hAnsi="Arial"/>
                <w:sz w:val="12"/>
                <w:szCs w:val="12"/>
                <w:color w:val="auto"/>
              </w:rPr>
              <w:t>below)</w:t>
            </w:r>
          </w:p>
        </w:tc>
        <w:tc>
          <w:tcPr>
            <w:tcW w:w="960" w:type="dxa"/>
            <w:vAlign w:val="bottom"/>
          </w:tcPr>
          <w:p>
            <w:pPr>
              <w:ind w:left="5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6"/>
            <w:vMerge w:val="continue"/>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5219 CITY BANK PARKWAY</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05/13/2019</w:t>
            </w: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gridSpan w:val="4"/>
          </w:tcPr>
          <w:p>
            <w:pPr>
              <w:spacing w:after="0"/>
              <w:rPr>
                <w:sz w:val="9"/>
                <w:szCs w:val="9"/>
                <w:color w:val="auto"/>
              </w:rPr>
            </w:pPr>
          </w:p>
        </w:tc>
        <w:tc>
          <w:tcPr>
            <w:tcW w:w="1740" w:type="dxa"/>
            <w:vAlign w:val="bottom"/>
            <w:tcBorders>
              <w:bottom w:val="single" w:sz="8" w:color="2C2C2C"/>
            </w:tcBorders>
            <w:gridSpan w:val="3"/>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3"/>
          </w:tcPr>
          <w:p>
            <w:pPr>
              <w:spacing w:after="0"/>
              <w:rPr>
                <w:sz w:val="20"/>
                <w:szCs w:val="20"/>
                <w:color w:val="auto"/>
              </w:rPr>
            </w:pPr>
            <w:r>
              <w:rPr>
                <w:rFonts w:ascii="Arial" w:cs="Arial" w:eastAsia="Arial" w:hAnsi="Arial"/>
                <w:sz w:val="18"/>
                <w:szCs w:val="18"/>
                <w:color w:val="0000FF"/>
              </w:rPr>
              <w:t>LUBBOCK</w:t>
            </w:r>
          </w:p>
        </w:tc>
        <w:tc>
          <w:tcPr>
            <w:tcW w:w="260" w:type="dxa"/>
            <w:vAlign w:val="bottom"/>
          </w:tcPr>
          <w:p>
            <w:pPr>
              <w:ind w:left="2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79407-3544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80" w:type="dxa"/>
            <w:vAlign w:val="bottom"/>
            <w:gridSpan w:val="5"/>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9"/>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7"/>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4"/>
            <w:vMerge w:val="restart"/>
          </w:tcPr>
          <w:p>
            <w:pPr>
              <w:jc w:val="right"/>
              <w:ind w:right="211"/>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4"/>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2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05/13/2019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5,700</w:t>
            </w:r>
            <w:r>
              <w:rPr>
                <w:rFonts w:ascii="Arial" w:cs="Arial" w:eastAsia="Arial" w:hAnsi="Arial"/>
                <w:sz w:val="22"/>
                <w:szCs w:val="22"/>
                <w:color w:val="008000"/>
                <w:w w:val="79"/>
                <w:vertAlign w:val="superscript"/>
              </w:rPr>
              <w:t>(1)</w:t>
            </w:r>
          </w:p>
        </w:tc>
        <w:tc>
          <w:tcPr>
            <w:tcW w:w="2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51"/>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17.5</w:t>
            </w: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6,872</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8"/>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6"/>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4"/>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5"/>
          </w:tcPr>
          <w:p>
            <w:pPr>
              <w:ind w:left="2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5"/>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240" w:type="dxa"/>
            <w:vAlign w:val="bottom"/>
          </w:tcPr>
          <w:p>
            <w:pPr>
              <w:spacing w:after="0"/>
              <w:rPr>
                <w:sz w:val="11"/>
                <w:szCs w:val="11"/>
                <w:color w:val="auto"/>
              </w:rPr>
            </w:pPr>
          </w:p>
        </w:tc>
        <w:tc>
          <w:tcPr>
            <w:tcW w:w="4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6"/>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5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purchased through a directed share program in connection with the initial public offering (the "IPO") of the Issuer's Common Stock which closed on May 13, 2019. These shares of common stock were purchased at the public offering price of $17.50 per share.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1,172 of the shares reported represent restricted stock units that may be settled only by delivery of an equal number of shares of common stock and which are subject to vesting and forfeiture.</w:t>
      </w:r>
    </w:p>
    <w:p>
      <w:pPr>
        <w:spacing w:after="0" w:line="94"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00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04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Kyle R.</w:t>
      </w:r>
      <w:r>
        <w:rPr>
          <w:sz w:val="20"/>
          <w:szCs w:val="20"/>
          <w:color w:val="auto"/>
        </w:rPr>
        <w:tab/>
      </w:r>
      <w:r>
        <w:rPr>
          <w:rFonts w:ascii="Arial" w:cs="Arial" w:eastAsia="Arial" w:hAnsi="Arial"/>
          <w:sz w:val="15"/>
          <w:szCs w:val="15"/>
          <w:color w:val="0000FF"/>
        </w:rPr>
        <w:t>05/15/2019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Wargo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2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210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5291"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2019-12-24T09:25:27Z</dcterms:created>
  <dcterms:modified xsi:type="dcterms:W3CDTF">2019-12-24T09:25:27Z</dcterms:modified>
</cp:coreProperties>
</file>