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8622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86220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Griffith Curtis C</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220"/>
              <w:spacing w:after="0"/>
              <w:rPr>
                <w:sz w:val="20"/>
                <w:szCs w:val="20"/>
                <w:color w:val="auto"/>
              </w:rPr>
            </w:pPr>
            <w:r>
              <w:rPr>
                <w:rFonts w:ascii="Arial" w:cs="Arial" w:eastAsia="Arial" w:hAnsi="Arial"/>
                <w:sz w:val="13"/>
                <w:szCs w:val="13"/>
                <w:color w:val="auto"/>
              </w:rPr>
              <w:t>(First)</w:t>
            </w:r>
          </w:p>
        </w:tc>
        <w:tc>
          <w:tcPr>
            <w:tcW w:w="134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40" w:type="dxa"/>
            <w:vAlign w:val="bottom"/>
          </w:tcPr>
          <w:p>
            <w:pPr>
              <w:spacing w:after="0"/>
              <w:rPr>
                <w:sz w:val="23"/>
                <w:szCs w:val="23"/>
                <w:color w:val="auto"/>
              </w:rPr>
            </w:pPr>
          </w:p>
        </w:tc>
      </w:tr>
      <w:tr>
        <w:trPr>
          <w:trHeight w:val="198"/>
        </w:trPr>
        <w:tc>
          <w:tcPr>
            <w:tcW w:w="20" w:type="dxa"/>
            <w:vAlign w:val="bottom"/>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5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7"/>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LUBBOCK</w:t>
            </w:r>
          </w:p>
        </w:tc>
        <w:tc>
          <w:tcPr>
            <w:tcW w:w="12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79407-3544</w:t>
            </w:r>
          </w:p>
        </w:tc>
      </w:tr>
      <w:tr>
        <w:trPr>
          <w:trHeight w:val="147"/>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280" w:type="dxa"/>
            <w:vAlign w:val="bottom"/>
          </w:tcPr>
          <w:p>
            <w:pPr>
              <w:ind w:left="220"/>
              <w:spacing w:after="0"/>
              <w:rPr>
                <w:sz w:val="20"/>
                <w:szCs w:val="20"/>
                <w:color w:val="auto"/>
              </w:rPr>
            </w:pPr>
            <w:r>
              <w:rPr>
                <w:rFonts w:ascii="Arial" w:cs="Arial" w:eastAsia="Arial" w:hAnsi="Arial"/>
                <w:sz w:val="13"/>
                <w:szCs w:val="13"/>
                <w:color w:val="auto"/>
              </w:rPr>
              <w:t>(State)</w:t>
            </w:r>
          </w:p>
        </w:tc>
        <w:tc>
          <w:tcPr>
            <w:tcW w:w="134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SPFI</w:t>
            </w:r>
          </w:p>
        </w:tc>
        <w:tc>
          <w:tcPr>
            <w:tcW w:w="16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180" w:type="dxa"/>
            <w:vAlign w:val="bottom"/>
            <w:gridSpan w:val="2"/>
          </w:tcPr>
          <w:p>
            <w:pPr>
              <w:spacing w:after="0"/>
              <w:rPr>
                <w:sz w:val="3"/>
                <w:szCs w:val="3"/>
                <w:color w:val="auto"/>
              </w:rPr>
            </w:pPr>
          </w:p>
        </w:tc>
        <w:tc>
          <w:tcPr>
            <w:tcW w:w="2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vMerge w:val="restart"/>
          </w:tcPr>
          <w:p>
            <w:pPr>
              <w:ind w:left="260"/>
              <w:spacing w:after="0" w:line="50" w:lineRule="exact"/>
              <w:rPr>
                <w:sz w:val="20"/>
                <w:szCs w:val="20"/>
                <w:color w:val="auto"/>
              </w:rPr>
            </w:pPr>
            <w:r>
              <w:rPr>
                <w:rFonts w:ascii="Times New Roman" w:cs="Times New Roman" w:eastAsia="Times New Roman" w:hAnsi="Times New Roman"/>
                <w:sz w:val="5"/>
                <w:szCs w:val="5"/>
                <w:color w:val="0000FF"/>
              </w:rPr>
              <w:t>X</w:t>
            </w: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380" w:type="dxa"/>
            <w:vAlign w:val="bottom"/>
            <w:vMerge w:val="restart"/>
          </w:tcPr>
          <w:p>
            <w:pPr>
              <w:ind w:left="160"/>
              <w:spacing w:after="0" w:line="50" w:lineRule="exact"/>
              <w:rPr>
                <w:sz w:val="20"/>
                <w:szCs w:val="20"/>
                <w:color w:val="auto"/>
              </w:rPr>
            </w:pPr>
            <w:r>
              <w:rPr>
                <w:rFonts w:ascii="Times New Roman" w:cs="Times New Roman" w:eastAsia="Times New Roman" w:hAnsi="Times New Roman"/>
                <w:sz w:val="5"/>
                <w:szCs w:val="5"/>
                <w:color w:val="0000FF"/>
              </w:rPr>
              <w:t>X</w:t>
            </w: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rPr>
                <w:rFonts w:ascii="Times New Roman" w:cs="Times New Roman" w:eastAsia="Times New Roman" w:hAnsi="Times New Roman"/>
                <w:sz w:val="1"/>
                <w:szCs w:val="1"/>
                <w:color w:val="auto"/>
              </w:rPr>
            </w:pPr>
            <w:hyperlink r:id="rId13">
              <w:r>
                <w:rPr>
                  <w:rFonts w:ascii="Times New Roman" w:cs="Times New Roman" w:eastAsia="Times New Roman" w:hAnsi="Times New Roman"/>
                  <w:sz w:val="1"/>
                  <w:szCs w:val="1"/>
                  <w:color w:val="auto"/>
                </w:rPr>
                <w:t>]</w:t>
              </w:r>
            </w:hyperlink>
          </w:p>
        </w:tc>
        <w:tc>
          <w:tcPr>
            <w:tcW w:w="29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9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380" w:type="dxa"/>
            <w:vAlign w:val="bottom"/>
          </w:tcPr>
          <w:p>
            <w:pPr>
              <w:spacing w:after="0"/>
              <w:rPr>
                <w:sz w:val="16"/>
                <w:szCs w:val="16"/>
                <w:color w:val="auto"/>
              </w:rPr>
            </w:pPr>
          </w:p>
        </w:tc>
        <w:tc>
          <w:tcPr>
            <w:tcW w:w="1240" w:type="dxa"/>
            <w:vAlign w:val="bottom"/>
          </w:tcPr>
          <w:p>
            <w:pPr>
              <w:ind w:left="1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380" w:type="dxa"/>
            <w:vAlign w:val="bottom"/>
          </w:tcPr>
          <w:p>
            <w:pPr>
              <w:spacing w:after="0"/>
              <w:rPr>
                <w:sz w:val="8"/>
                <w:szCs w:val="8"/>
                <w:color w:val="auto"/>
              </w:rPr>
            </w:pP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8"/>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1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12/29/2023</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Chairman and CEO</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0"/>
          <w:szCs w:val="20"/>
          <w:color w:val="auto"/>
        </w:rPr>
      </w:pPr>
    </w:p>
    <w:p>
      <w:pPr>
        <w:ind w:left="320" w:right="38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0"/>
          <w:szCs w:val="20"/>
          <w:color w:val="auto"/>
        </w:rPr>
      </w:pPr>
    </w:p>
    <w:p>
      <w:pPr>
        <w:sectPr>
          <w:pgSz w:w="11900" w:h="16838"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71"/>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1"/>
              <w:spacing w:after="0"/>
              <w:rPr>
                <w:sz w:val="20"/>
                <w:szCs w:val="20"/>
                <w:color w:val="auto"/>
              </w:rPr>
            </w:pPr>
            <w:r>
              <w:rPr>
                <w:rFonts w:ascii="Times New Roman" w:cs="Times New Roman" w:eastAsia="Times New Roman" w:hAnsi="Times New Roman"/>
                <w:sz w:val="17"/>
                <w:szCs w:val="17"/>
                <w:color w:val="0000FF"/>
                <w:w w:val="98"/>
              </w:rPr>
              <w:t>12/29/2023</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9,000</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10.33</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1,337,075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line="306"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jc w:val="center"/>
              <w:ind w:left="691"/>
              <w:spacing w:after="0"/>
              <w:rPr>
                <w:sz w:val="20"/>
                <w:szCs w:val="20"/>
                <w:color w:val="auto"/>
              </w:rPr>
            </w:pPr>
            <w:r>
              <w:rPr>
                <w:rFonts w:ascii="Times New Roman" w:cs="Times New Roman" w:eastAsia="Times New Roman" w:hAnsi="Times New Roman"/>
                <w:sz w:val="17"/>
                <w:szCs w:val="17"/>
                <w:color w:val="0000FF"/>
                <w:w w:val="98"/>
              </w:rPr>
              <w:t>12/29/2023</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4,570</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29.58</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1,332,505</w:t>
            </w:r>
          </w:p>
        </w:tc>
        <w:tc>
          <w:tcPr>
            <w:tcW w:w="24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jc w:val="center"/>
              <w:ind w:left="691"/>
              <w:spacing w:after="0"/>
              <w:rPr>
                <w:sz w:val="20"/>
                <w:szCs w:val="20"/>
                <w:color w:val="auto"/>
              </w:rPr>
            </w:pPr>
            <w:r>
              <w:rPr>
                <w:rFonts w:ascii="Times New Roman" w:cs="Times New Roman" w:eastAsia="Times New Roman" w:hAnsi="Times New Roman"/>
                <w:sz w:val="17"/>
                <w:szCs w:val="17"/>
                <w:color w:val="0000FF"/>
                <w:w w:val="98"/>
              </w:rPr>
              <w:t>01/02/2024</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3"/>
                <w:szCs w:val="13"/>
                <w:color w:val="0000FF"/>
                <w:w w:val="84"/>
              </w:rPr>
              <w:t>A</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4,263</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29.32</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1,336,768</w:t>
            </w:r>
          </w:p>
        </w:tc>
        <w:tc>
          <w:tcPr>
            <w:tcW w:w="24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jc w:val="center"/>
              <w:ind w:left="691"/>
              <w:spacing w:after="0"/>
              <w:rPr>
                <w:sz w:val="20"/>
                <w:szCs w:val="20"/>
                <w:color w:val="auto"/>
              </w:rPr>
            </w:pPr>
            <w:r>
              <w:rPr>
                <w:rFonts w:ascii="Times New Roman" w:cs="Times New Roman" w:eastAsia="Times New Roman" w:hAnsi="Times New Roman"/>
                <w:sz w:val="17"/>
                <w:szCs w:val="17"/>
                <w:color w:val="0000FF"/>
                <w:w w:val="98"/>
              </w:rPr>
              <w:t>01/02/2024</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1,371</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28.96</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1,335,397</w:t>
            </w:r>
          </w:p>
        </w:tc>
        <w:tc>
          <w:tcPr>
            <w:tcW w:w="24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45,360</w:t>
            </w:r>
          </w:p>
        </w:tc>
        <w:tc>
          <w:tcPr>
            <w:tcW w:w="240" w:type="dxa"/>
            <w:vAlign w:val="bottom"/>
          </w:tcPr>
          <w:p>
            <w:pPr>
              <w:spacing w:after="0"/>
              <w:rPr>
                <w:sz w:val="21"/>
                <w:szCs w:val="21"/>
                <w:color w:val="auto"/>
              </w:rPr>
            </w:pPr>
          </w:p>
        </w:tc>
        <w:tc>
          <w:tcPr>
            <w:tcW w:w="680" w:type="dxa"/>
            <w:vAlign w:val="bottom"/>
            <w:vMerge w:val="restart"/>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435,000</w:t>
            </w:r>
          </w:p>
        </w:tc>
        <w:tc>
          <w:tcPr>
            <w:tcW w:w="240" w:type="dxa"/>
            <w:vAlign w:val="bottom"/>
          </w:tcPr>
          <w:p>
            <w:pPr>
              <w:spacing w:after="0"/>
              <w:rPr>
                <w:sz w:val="21"/>
                <w:szCs w:val="21"/>
                <w:color w:val="auto"/>
              </w:rPr>
            </w:pPr>
          </w:p>
        </w:tc>
        <w:tc>
          <w:tcPr>
            <w:tcW w:w="680" w:type="dxa"/>
            <w:vAlign w:val="bottom"/>
            <w:vMerge w:val="restart"/>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CCG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64,000</w:t>
            </w:r>
          </w:p>
        </w:tc>
        <w:tc>
          <w:tcPr>
            <w:tcW w:w="240" w:type="dxa"/>
            <w:vAlign w:val="bottom"/>
          </w:tcPr>
          <w:p>
            <w:pPr>
              <w:spacing w:after="0"/>
              <w:rPr>
                <w:sz w:val="21"/>
                <w:szCs w:val="21"/>
                <w:color w:val="auto"/>
              </w:rPr>
            </w:pPr>
          </w:p>
        </w:tc>
        <w:tc>
          <w:tcPr>
            <w:tcW w:w="680" w:type="dxa"/>
            <w:vAlign w:val="bottom"/>
            <w:vMerge w:val="restart"/>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RTW</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87,000</w:t>
            </w:r>
          </w:p>
        </w:tc>
        <w:tc>
          <w:tcPr>
            <w:tcW w:w="240" w:type="dxa"/>
            <w:vAlign w:val="bottom"/>
          </w:tcPr>
          <w:p>
            <w:pPr>
              <w:spacing w:after="0"/>
              <w:rPr>
                <w:sz w:val="21"/>
                <w:szCs w:val="21"/>
                <w:color w:val="auto"/>
              </w:rPr>
            </w:pPr>
          </w:p>
        </w:tc>
        <w:tc>
          <w:tcPr>
            <w:tcW w:w="680" w:type="dxa"/>
            <w:vAlign w:val="bottom"/>
            <w:vMerge w:val="restart"/>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BLW</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87,000</w:t>
            </w:r>
          </w:p>
        </w:tc>
        <w:tc>
          <w:tcPr>
            <w:tcW w:w="240" w:type="dxa"/>
            <w:vAlign w:val="bottom"/>
          </w:tcPr>
          <w:p>
            <w:pPr>
              <w:spacing w:after="0"/>
              <w:rPr>
                <w:sz w:val="17"/>
                <w:szCs w:val="17"/>
                <w:color w:val="auto"/>
              </w:rPr>
            </w:pPr>
          </w:p>
        </w:tc>
        <w:tc>
          <w:tcPr>
            <w:tcW w:w="68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WHW</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(6)</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87,000</w:t>
            </w:r>
          </w:p>
        </w:tc>
        <w:tc>
          <w:tcPr>
            <w:tcW w:w="240" w:type="dxa"/>
            <w:vAlign w:val="bottom"/>
          </w:tcPr>
          <w:p>
            <w:pPr>
              <w:spacing w:after="0"/>
              <w:rPr>
                <w:sz w:val="21"/>
                <w:szCs w:val="21"/>
                <w:color w:val="auto"/>
              </w:rPr>
            </w:pPr>
          </w:p>
        </w:tc>
        <w:tc>
          <w:tcPr>
            <w:tcW w:w="680" w:type="dxa"/>
            <w:vAlign w:val="bottom"/>
            <w:vMerge w:val="restart"/>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SSG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87,000</w:t>
            </w:r>
          </w:p>
        </w:tc>
        <w:tc>
          <w:tcPr>
            <w:tcW w:w="240" w:type="dxa"/>
            <w:vAlign w:val="bottom"/>
          </w:tcPr>
          <w:p>
            <w:pPr>
              <w:spacing w:after="0"/>
              <w:rPr>
                <w:sz w:val="21"/>
                <w:szCs w:val="21"/>
                <w:color w:val="auto"/>
              </w:rPr>
            </w:pPr>
          </w:p>
        </w:tc>
        <w:tc>
          <w:tcPr>
            <w:tcW w:w="680" w:type="dxa"/>
            <w:vAlign w:val="bottom"/>
            <w:vMerge w:val="restart"/>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JBG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(8)</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1"/>
                <w:szCs w:val="11"/>
                <w:color w:val="auto"/>
              </w:rPr>
            </w:pPr>
          </w:p>
        </w:tc>
        <w:tc>
          <w:tcPr>
            <w:tcW w:w="1500" w:type="dxa"/>
            <w:vAlign w:val="bottom"/>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4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10.33</w:t>
            </w:r>
          </w:p>
        </w:tc>
        <w:tc>
          <w:tcPr>
            <w:tcW w:w="106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12/29/2023</w:t>
            </w:r>
          </w:p>
        </w:tc>
        <w:tc>
          <w:tcPr>
            <w:tcW w:w="1080" w:type="dxa"/>
            <w:vAlign w:val="bottom"/>
          </w:tcPr>
          <w:p>
            <w:pPr>
              <w:spacing w:after="0"/>
              <w:rPr>
                <w:sz w:val="12"/>
                <w:szCs w:val="12"/>
                <w:color w:val="auto"/>
              </w:rPr>
            </w:pPr>
          </w:p>
        </w:tc>
        <w:tc>
          <w:tcPr>
            <w:tcW w:w="760" w:type="dxa"/>
            <w:vAlign w:val="bottom"/>
            <w:vMerge w:val="restart"/>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9,000</w:t>
            </w:r>
          </w:p>
        </w:tc>
        <w:tc>
          <w:tcPr>
            <w:tcW w:w="780" w:type="dxa"/>
            <w:vAlign w:val="bottom"/>
            <w:gridSpan w:val="2"/>
            <w:vMerge w:val="restart"/>
          </w:tcPr>
          <w:p>
            <w:pPr>
              <w:jc w:val="right"/>
              <w:ind w:right="319"/>
              <w:spacing w:after="0"/>
              <w:rPr>
                <w:sz w:val="20"/>
                <w:szCs w:val="20"/>
                <w:color w:val="auto"/>
              </w:rPr>
            </w:pPr>
            <w:r>
              <w:rPr>
                <w:rFonts w:ascii="Times New Roman" w:cs="Times New Roman" w:eastAsia="Times New Roman" w:hAnsi="Times New Roman"/>
                <w:sz w:val="11"/>
                <w:szCs w:val="11"/>
                <w:color w:val="008000"/>
              </w:rPr>
              <w:t>(9)</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12/31/2023</w:t>
            </w: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9,000</w:t>
            </w:r>
          </w:p>
        </w:tc>
        <w:tc>
          <w:tcPr>
            <w:tcW w:w="60" w:type="dxa"/>
            <w:vAlign w:val="bottom"/>
          </w:tcPr>
          <w:p>
            <w:pPr>
              <w:spacing w:after="0"/>
              <w:rPr>
                <w:sz w:val="12"/>
                <w:szCs w:val="12"/>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0</w:t>
            </w:r>
          </w:p>
        </w:tc>
        <w:tc>
          <w:tcPr>
            <w:tcW w:w="240" w:type="dxa"/>
            <w:vAlign w:val="bottom"/>
          </w:tcPr>
          <w:p>
            <w:pPr>
              <w:spacing w:after="0"/>
              <w:rPr>
                <w:sz w:val="12"/>
                <w:szCs w:val="12"/>
                <w:color w:val="auto"/>
              </w:rPr>
            </w:pP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29.32</w:t>
            </w: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3"/>
                <w:szCs w:val="13"/>
                <w:color w:val="0000FF"/>
              </w:rPr>
              <w:t>01/02/2024</w:t>
            </w:r>
          </w:p>
        </w:tc>
        <w:tc>
          <w:tcPr>
            <w:tcW w:w="1080" w:type="dxa"/>
            <w:vAlign w:val="bottom"/>
          </w:tcPr>
          <w:p>
            <w:pPr>
              <w:spacing w:after="0"/>
              <w:rPr>
                <w:sz w:val="16"/>
                <w:szCs w:val="16"/>
                <w:color w:val="auto"/>
              </w:rPr>
            </w:pPr>
          </w:p>
        </w:tc>
        <w:tc>
          <w:tcPr>
            <w:tcW w:w="760" w:type="dxa"/>
            <w:vAlign w:val="bottom"/>
          </w:tcPr>
          <w:p>
            <w:pPr>
              <w:jc w:val="center"/>
              <w:ind w:right="261"/>
              <w:spacing w:after="0"/>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12,608</w:t>
            </w:r>
          </w:p>
        </w:tc>
        <w:tc>
          <w:tcPr>
            <w:tcW w:w="420" w:type="dxa"/>
            <w:vAlign w:val="bottom"/>
          </w:tcPr>
          <w:p>
            <w:pPr>
              <w:spacing w:after="0"/>
              <w:rPr>
                <w:sz w:val="16"/>
                <w:szCs w:val="16"/>
                <w:color w:val="auto"/>
              </w:rPr>
            </w:pPr>
          </w:p>
        </w:tc>
        <w:tc>
          <w:tcPr>
            <w:tcW w:w="780" w:type="dxa"/>
            <w:vAlign w:val="bottom"/>
            <w:gridSpan w:val="2"/>
          </w:tcPr>
          <w:p>
            <w:pPr>
              <w:jc w:val="right"/>
              <w:ind w:right="279"/>
              <w:spacing w:after="0"/>
              <w:rPr>
                <w:sz w:val="20"/>
                <w:szCs w:val="20"/>
                <w:color w:val="auto"/>
              </w:rPr>
            </w:pPr>
            <w:r>
              <w:rPr>
                <w:rFonts w:ascii="Times New Roman" w:cs="Times New Roman" w:eastAsia="Times New Roman" w:hAnsi="Times New Roman"/>
                <w:sz w:val="11"/>
                <w:szCs w:val="11"/>
                <w:color w:val="008000"/>
              </w:rPr>
              <w:t>(10)</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01/02/2034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0000FF"/>
                <w:w w:val="94"/>
              </w:rPr>
              <w:t>12,608</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12,608</w:t>
            </w:r>
          </w:p>
        </w:tc>
        <w:tc>
          <w:tcPr>
            <w:tcW w:w="240" w:type="dxa"/>
            <w:vAlign w:val="bottom"/>
          </w:tcPr>
          <w:p>
            <w:pPr>
              <w:spacing w:after="0"/>
              <w:rPr>
                <w:sz w:val="16"/>
                <w:szCs w:val="16"/>
                <w:color w:val="auto"/>
              </w:rPr>
            </w:pPr>
          </w:p>
        </w:tc>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ind w:left="16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41" w:lineRule="exact"/>
        <w:rPr>
          <w:rFonts w:ascii="Times New Roman" w:cs="Times New Roman" w:eastAsia="Times New Roman" w:hAnsi="Times New Roman"/>
          <w:sz w:val="13"/>
          <w:szCs w:val="13"/>
          <w:color w:val="008000"/>
        </w:rPr>
      </w:pPr>
    </w:p>
    <w:p>
      <w:pPr>
        <w:ind w:left="40" w:right="18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left="40" w:right="180"/>
        <w:spacing w:after="0" w:line="238"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Curtis C. Griffith 2021 Irrevocable Trust ("CCG Trust"), over which the Reporting Person's spouse, who shares the Reporting Person's household, serves as trustee. The members of the Reporting Person's immediate family are the beneficiaries of this trust.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20" w:hanging="120"/>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in the Richard Thomas White 2021 Trust ("RTW Trust"), over which the Reporting Person serves as trustee. A member of the Reporting Person's immediate family is the beneficiary of this trust.</w:t>
      </w:r>
    </w:p>
    <w:p>
      <w:pPr>
        <w:spacing w:after="0" w:line="53" w:lineRule="exact"/>
        <w:rPr>
          <w:rFonts w:ascii="Times New Roman" w:cs="Times New Roman" w:eastAsia="Times New Roman" w:hAnsi="Times New Roman"/>
          <w:sz w:val="12"/>
          <w:szCs w:val="12"/>
          <w:color w:val="008000"/>
        </w:rPr>
      </w:pPr>
    </w:p>
    <w:p>
      <w:pPr>
        <w:ind w:left="120" w:hanging="120"/>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in the Birdie Lucille White 2021 Trust ("BLW Trust"), over which the Reporting Person serves as trustee. A member of the Reporting Person's immediate family is the beneficiary of this trust.</w:t>
      </w:r>
    </w:p>
    <w:p>
      <w:pPr>
        <w:spacing w:after="0" w:line="53" w:lineRule="exact"/>
        <w:rPr>
          <w:rFonts w:ascii="Times New Roman" w:cs="Times New Roman" w:eastAsia="Times New Roman" w:hAnsi="Times New Roman"/>
          <w:sz w:val="12"/>
          <w:szCs w:val="12"/>
          <w:color w:val="008000"/>
        </w:rPr>
      </w:pPr>
    </w:p>
    <w:p>
      <w:pPr>
        <w:ind w:left="120" w:hanging="120"/>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in the William Hogan White 2021 Trust ("WHW Trust"), over which the Reporting Person serves as trustee. A member of the Reporting Person's immediate family is the beneficiary of this trust.</w:t>
      </w:r>
    </w:p>
    <w:p>
      <w:pPr>
        <w:spacing w:after="0" w:line="53" w:lineRule="exact"/>
        <w:rPr>
          <w:rFonts w:ascii="Times New Roman" w:cs="Times New Roman" w:eastAsia="Times New Roman" w:hAnsi="Times New Roman"/>
          <w:sz w:val="12"/>
          <w:szCs w:val="12"/>
          <w:color w:val="008000"/>
        </w:rPr>
      </w:pPr>
    </w:p>
    <w:p>
      <w:pPr>
        <w:ind w:left="120" w:hanging="120"/>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in the Sydney Suzanne Griffith 2021 Trust ("SSG Trust"), over which the Reporting Person serves as trustee. A member of the Reporting Person's immediate family is the beneficiary of this trust.</w:t>
      </w:r>
    </w:p>
    <w:p>
      <w:pPr>
        <w:spacing w:after="0" w:line="53" w:lineRule="exact"/>
        <w:rPr>
          <w:rFonts w:ascii="Times New Roman" w:cs="Times New Roman" w:eastAsia="Times New Roman" w:hAnsi="Times New Roman"/>
          <w:sz w:val="12"/>
          <w:szCs w:val="12"/>
          <w:color w:val="008000"/>
        </w:rPr>
      </w:pPr>
    </w:p>
    <w:p>
      <w:pPr>
        <w:ind w:right="60"/>
        <w:spacing w:after="0" w:line="250"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Johnathan Brockway Griffith 2021 Trust ("JBG Trust"), over which the Reporting Person serves as trustee. A member of the Reporting Person's immediate family is the beneficiary of this trust.</w:t>
      </w:r>
    </w:p>
    <w:p>
      <w:pPr>
        <w:spacing w:after="0" w:line="20"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were fully vested and exercisable on the date of grant to the Reporting Person.</w:t>
      </w:r>
    </w:p>
    <w:p>
      <w:pPr>
        <w:spacing w:after="0" w:line="41" w:lineRule="exact"/>
        <w:rPr>
          <w:rFonts w:ascii="Times New Roman" w:cs="Times New Roman" w:eastAsia="Times New Roman" w:hAnsi="Times New Roman"/>
          <w:sz w:val="13"/>
          <w:szCs w:val="13"/>
          <w:color w:val="008000"/>
        </w:rPr>
      </w:pPr>
    </w:p>
    <w:p>
      <w:pPr>
        <w:spacing w:after="0" w:line="250"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stock options vest on the first anniversary of January 1, 2024; thereafter, the remaining vest pro rata on a monthly basis over the next 36 months. Notwithstanding the foregoing, the stock options will automatically become fully vested upon the earlier of: (i) the Reporting Person's disability, (ii) the Reporting Person's death, and (iii) immediately prior to a change in control of the Issuer.</w:t>
      </w: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-10160</wp:posOffset>
            </wp:positionV>
            <wp:extent cx="1245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Attorney-in-Fact for Curtis C.</w:t>
      </w:r>
      <w:r>
        <w:rPr>
          <w:sz w:val="20"/>
          <w:szCs w:val="20"/>
          <w:color w:val="auto"/>
        </w:rPr>
        <w:tab/>
      </w:r>
      <w:r>
        <w:rPr>
          <w:rFonts w:ascii="Times New Roman" w:cs="Times New Roman" w:eastAsia="Times New Roman" w:hAnsi="Times New Roman"/>
          <w:sz w:val="16"/>
          <w:szCs w:val="16"/>
          <w:color w:val="0000FF"/>
        </w:rPr>
        <w:t>01/03/2024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-17780</wp:posOffset>
            </wp:positionV>
            <wp:extent cx="1879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-17780</wp:posOffset>
            </wp:positionV>
            <wp:extent cx="319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9405" cy="8255"/>
                    </a:xfrm>
                    <a:prstGeom prst="rect">
                      <a:avLst/>
                    </a:prstGeom>
                    <a:noFill/>
                  </pic:spPr>
                </pic:pic>
              </a:graphicData>
            </a:graphic>
          </wp:anchor>
        </w:drawing>
      </w:r>
    </w:p>
    <w:p>
      <w:pPr>
        <w:spacing w:after="0" w:line="28"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320"/>
        <w:spacing w:after="0" w:line="33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80"/>
      </w:cols>
      <w:pgMar w:left="500" w:top="127"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5195"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2024-01-03T17:10:20Z</dcterms:created>
  <dcterms:modified xsi:type="dcterms:W3CDTF">2024-01-03T17:10:20Z</dcterms:modified>
</cp:coreProperties>
</file>