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149860</wp:posOffset>
            </wp:positionV>
            <wp:extent cx="565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178435</wp:posOffset>
            </wp:positionV>
            <wp:extent cx="565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 cy="1714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23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March 31, 2020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For the transition period from ______ to 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165100</wp:posOffset>
            </wp:positionV>
            <wp:extent cx="565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1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86"/>
              </w:rPr>
              <w:t>Texas</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75-2453320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88"/>
              </w:rPr>
              <w:t>Lubbock, Texas</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79407</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216" w:lineRule="exact"/>
        <w:rPr>
          <w:sz w:val="24"/>
          <w:szCs w:val="24"/>
          <w:color w:val="auto"/>
        </w:rPr>
      </w:pPr>
    </w:p>
    <w:p>
      <w:pPr>
        <w:ind w:left="2520"/>
        <w:spacing w:after="0"/>
        <w:rPr>
          <w:sz w:val="20"/>
          <w:szCs w:val="20"/>
          <w:color w:val="auto"/>
        </w:rPr>
      </w:pPr>
      <w:r>
        <w:rPr>
          <w:rFonts w:ascii="Arial" w:cs="Arial" w:eastAsia="Arial" w:hAnsi="Arial"/>
          <w:sz w:val="22"/>
          <w:szCs w:val="22"/>
          <w:b w:val="1"/>
          <w:bCs w:val="1"/>
          <w:color w:val="auto"/>
        </w:rPr>
        <w:t>Registrant’s telephone number, including area code: (806) 792-7101</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22" w:lineRule="exact"/>
        <w:rPr>
          <w:sz w:val="24"/>
          <w:szCs w:val="24"/>
          <w:color w:val="auto"/>
        </w:rPr>
      </w:pPr>
    </w:p>
    <w:p>
      <w:pPr>
        <w:jc w:val="both"/>
        <w:ind w:right="2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2"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21"/>
          <w:szCs w:val="21"/>
          <w:color w:val="auto"/>
        </w:rPr>
        <w:t>As of May 13, 2020, the registrant had 18,059,174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35" w:right="339" w:bottom="32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Borders>
              <w:bottom w:val="single" w:sz="8" w:color="CCEEFF"/>
            </w:tcBorders>
          </w:tcPr>
          <w:p>
            <w:pPr>
              <w:spacing w:after="0"/>
              <w:rPr>
                <w:sz w:val="20"/>
                <w:szCs w:val="20"/>
                <w:color w:val="auto"/>
              </w:rPr>
            </w:pPr>
          </w:p>
        </w:tc>
        <w:tc>
          <w:tcPr>
            <w:tcW w:w="95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Financial Statements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60" w:type="dxa"/>
            <w:vAlign w:val="bottom"/>
            <w:shd w:val="clear" w:color="auto" w:fill="CCEEFF"/>
          </w:tcPr>
          <w:p>
            <w:pPr>
              <w:spacing w:after="0"/>
              <w:rPr>
                <w:sz w:val="18"/>
                <w:szCs w:val="18"/>
                <w:color w:val="auto"/>
              </w:rPr>
            </w:pP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(Unaudited)</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60" w:type="dxa"/>
            <w:vAlign w:val="bottom"/>
          </w:tcPr>
          <w:p>
            <w:pPr>
              <w:spacing w:after="0"/>
              <w:rPr>
                <w:sz w:val="18"/>
                <w:szCs w:val="18"/>
                <w:color w:val="auto"/>
              </w:rPr>
            </w:pPr>
          </w:p>
        </w:tc>
        <w:tc>
          <w:tcPr>
            <w:tcW w:w="958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 (Unaudited)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960" w:type="dxa"/>
            <w:vAlign w:val="bottom"/>
            <w:shd w:val="clear" w:color="auto" w:fill="CCEEFF"/>
          </w:tcPr>
          <w:p>
            <w:pPr>
              <w:spacing w:after="0"/>
              <w:rPr>
                <w:sz w:val="18"/>
                <w:szCs w:val="18"/>
                <w:color w:val="auto"/>
              </w:rPr>
            </w:pP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Changes in Stockholders’ Equity (Unaudited)</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960" w:type="dxa"/>
            <w:vAlign w:val="bottom"/>
          </w:tcPr>
          <w:p>
            <w:pPr>
              <w:spacing w:after="0"/>
              <w:rPr>
                <w:sz w:val="18"/>
                <w:szCs w:val="18"/>
                <w:color w:val="auto"/>
              </w:rPr>
            </w:pPr>
          </w:p>
        </w:tc>
        <w:tc>
          <w:tcPr>
            <w:tcW w:w="958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(Unaudited)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60" w:type="dxa"/>
            <w:vAlign w:val="bottom"/>
            <w:shd w:val="clear" w:color="auto" w:fill="CCEEFF"/>
          </w:tcPr>
          <w:p>
            <w:pPr>
              <w:spacing w:after="0"/>
              <w:rPr>
                <w:sz w:val="18"/>
                <w:szCs w:val="18"/>
                <w:color w:val="auto"/>
              </w:rPr>
            </w:pP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tcPr>
          <w:p>
            <w:pPr>
              <w:ind w:left="1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Quantitative and Qualitative Disclosures About Market Risk</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tcPr>
          <w:p>
            <w:pPr>
              <w:ind w:left="1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Controls and Procedures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OTHER INFORMATION</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tcPr>
          <w:p>
            <w:pPr>
              <w:ind w:left="1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Proceedings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Risk Factors</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tcPr>
          <w:p>
            <w:pPr>
              <w:ind w:left="1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Unregistered Sales of Equity Securities and Use of Proceeds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Defaults Upon Senior Securities</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tcPr>
          <w:p>
            <w:pPr>
              <w:ind w:left="1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Mine Safety Disclosures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580" w:type="dxa"/>
            <w:vAlign w:val="bottom"/>
            <w:shd w:val="clear" w:color="auto" w:fill="CCEEFF"/>
          </w:tcPr>
          <w:p>
            <w:pPr>
              <w:ind w:left="1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Other Information</w:t>
              </w:r>
            </w:hyperlink>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tcPr>
          <w:p>
            <w:pPr>
              <w:ind w:left="1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Exhibits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960" w:type="dxa"/>
            <w:vAlign w:val="bottom"/>
            <w:shd w:val="clear" w:color="auto" w:fill="CCEEFF"/>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Signatures</w:t>
              </w:r>
            </w:hyperlink>
          </w:p>
        </w:tc>
        <w:tc>
          <w:tcPr>
            <w:tcW w:w="95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582"/>
        </w:trPr>
        <w:tc>
          <w:tcPr>
            <w:tcW w:w="960" w:type="dxa"/>
            <w:vAlign w:val="bottom"/>
          </w:tcPr>
          <w:p>
            <w:pPr>
              <w:spacing w:after="0"/>
              <w:rPr>
                <w:sz w:val="24"/>
                <w:szCs w:val="24"/>
                <w:color w:val="auto"/>
              </w:rPr>
            </w:pPr>
          </w:p>
        </w:tc>
        <w:tc>
          <w:tcPr>
            <w:tcW w:w="9580" w:type="dxa"/>
            <w:vAlign w:val="bottom"/>
          </w:tcPr>
          <w:p>
            <w:pPr>
              <w:ind w:left="4620"/>
              <w:spacing w:after="0"/>
              <w:rPr>
                <w:sz w:val="20"/>
                <w:szCs w:val="20"/>
                <w:color w:val="auto"/>
              </w:rPr>
            </w:pPr>
            <w:r>
              <w:rPr>
                <w:rFonts w:ascii="Arial" w:cs="Arial" w:eastAsia="Arial" w:hAnsi="Arial"/>
                <w:sz w:val="14"/>
                <w:szCs w:val="14"/>
                <w:color w:val="auto"/>
              </w:rPr>
              <w:t>2</w:t>
            </w:r>
          </w:p>
        </w:tc>
        <w:tc>
          <w:tcPr>
            <w:tcW w:w="700" w:type="dxa"/>
            <w:vAlign w:val="bottom"/>
          </w:tcPr>
          <w:p>
            <w:pPr>
              <w:spacing w:after="0"/>
              <w:rPr>
                <w:sz w:val="24"/>
                <w:szCs w:val="24"/>
                <w:color w:val="auto"/>
              </w:rPr>
            </w:pPr>
          </w:p>
        </w:tc>
      </w:tr>
      <w:tr>
        <w:trPr>
          <w:trHeight w:val="46"/>
        </w:trPr>
        <w:tc>
          <w:tcPr>
            <w:tcW w:w="960" w:type="dxa"/>
            <w:vAlign w:val="bottom"/>
            <w:tcBorders>
              <w:bottom w:val="single" w:sz="8" w:color="auto"/>
            </w:tcBorders>
          </w:tcPr>
          <w:p>
            <w:pPr>
              <w:spacing w:after="0"/>
              <w:rPr>
                <w:sz w:val="4"/>
                <w:szCs w:val="4"/>
                <w:color w:val="auto"/>
              </w:rPr>
            </w:pPr>
          </w:p>
        </w:tc>
        <w:tc>
          <w:tcPr>
            <w:tcW w:w="9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87"/>
              </w:rPr>
              <w:t>46,883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56,246</w:t>
            </w:r>
          </w:p>
        </w:tc>
        <w:tc>
          <w:tcPr>
            <w:tcW w:w="0" w:type="dxa"/>
            <w:vAlign w:val="bottom"/>
          </w:tcPr>
          <w:p>
            <w:pPr>
              <w:spacing w:after="0"/>
              <w:rPr>
                <w:sz w:val="1"/>
                <w:szCs w:val="1"/>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Interest-bearing deposits in banks</w:t>
            </w:r>
          </w:p>
        </w:tc>
        <w:tc>
          <w:tcPr>
            <w:tcW w:w="100" w:type="dxa"/>
            <w:vAlign w:val="bottom"/>
          </w:tcPr>
          <w:p>
            <w:pPr>
              <w:spacing w:after="0"/>
              <w:rPr>
                <w:sz w:val="19"/>
                <w:szCs w:val="19"/>
                <w:color w:val="auto"/>
              </w:rPr>
            </w:pPr>
          </w:p>
        </w:tc>
        <w:tc>
          <w:tcPr>
            <w:tcW w:w="1240" w:type="dxa"/>
            <w:vAlign w:val="bottom"/>
            <w:gridSpan w:val="3"/>
          </w:tcPr>
          <w:p>
            <w:pPr>
              <w:jc w:val="center"/>
              <w:ind w:left="230"/>
              <w:spacing w:after="0"/>
              <w:rPr>
                <w:sz w:val="20"/>
                <w:szCs w:val="20"/>
                <w:color w:val="auto"/>
              </w:rPr>
            </w:pPr>
            <w:r>
              <w:rPr>
                <w:rFonts w:ascii="Arial" w:cs="Arial" w:eastAsia="Arial" w:hAnsi="Arial"/>
                <w:sz w:val="18"/>
                <w:szCs w:val="18"/>
                <w:color w:val="auto"/>
                <w:w w:val="87"/>
              </w:rPr>
              <w:t>89,179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101,853</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136,062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734,791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707,650</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87"/>
              </w:rPr>
              <w:t>62,636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49,035</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2,108,805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2,143,623</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89"/>
              </w:rPr>
              <w:t>(29,074)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(24,197)</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8"/>
                <w:szCs w:val="18"/>
                <w:color w:val="auto"/>
              </w:rPr>
            </w:pPr>
          </w:p>
        </w:tc>
        <w:tc>
          <w:tcPr>
            <w:tcW w:w="1040" w:type="dxa"/>
            <w:vAlign w:val="bottom"/>
            <w:gridSpan w:val="2"/>
          </w:tcPr>
          <w:p>
            <w:pPr>
              <w:jc w:val="center"/>
              <w:ind w:left="430"/>
              <w:spacing w:after="0"/>
              <w:rPr>
                <w:sz w:val="20"/>
                <w:szCs w:val="20"/>
                <w:color w:val="auto"/>
              </w:rPr>
            </w:pPr>
            <w:r>
              <w:rPr>
                <w:rFonts w:ascii="Arial" w:cs="Arial" w:eastAsia="Arial" w:hAnsi="Arial"/>
                <w:sz w:val="18"/>
                <w:szCs w:val="18"/>
                <w:color w:val="auto"/>
                <w:w w:val="87"/>
              </w:rPr>
              <w:t>11,015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13,924</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87"/>
              </w:rPr>
              <w:t>61,829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61,873</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Bank-owned life insurance</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Arial" w:cs="Arial" w:eastAsia="Arial" w:hAnsi="Arial"/>
                <w:sz w:val="18"/>
                <w:szCs w:val="18"/>
                <w:color w:val="auto"/>
                <w:w w:val="87"/>
              </w:rPr>
              <w:t>69,756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69,397</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87"/>
              </w:rPr>
              <w:t>19,968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18,757</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8,213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87"/>
              </w:rPr>
              <w:t>32,562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3,216,563</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3,237,167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740,946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790,921</w:t>
            </w:r>
          </w:p>
        </w:tc>
        <w:tc>
          <w:tcPr>
            <w:tcW w:w="0" w:type="dxa"/>
            <w:vAlign w:val="bottom"/>
          </w:tcPr>
          <w:p>
            <w:pPr>
              <w:spacing w:after="0"/>
              <w:rPr>
                <w:sz w:val="1"/>
                <w:szCs w:val="1"/>
                <w:color w:val="auto"/>
              </w:rPr>
            </w:pPr>
          </w:p>
        </w:tc>
      </w:tr>
      <w:tr>
        <w:trPr>
          <w:trHeight w:val="223"/>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Interest-bearing</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1,924,902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1,905,936</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2,665,848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Arial" w:cs="Arial" w:eastAsia="Arial" w:hAnsi="Arial"/>
                <w:sz w:val="18"/>
                <w:szCs w:val="18"/>
                <w:color w:val="auto"/>
                <w:w w:val="87"/>
              </w:rPr>
              <w:t>17,400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37,165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87"/>
              </w:rPr>
              <w:t>38,560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29,098</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Notes payable &amp; other borrowings</w:t>
            </w:r>
          </w:p>
        </w:tc>
        <w:tc>
          <w:tcPr>
            <w:tcW w:w="100" w:type="dxa"/>
            <w:vAlign w:val="bottom"/>
          </w:tcPr>
          <w:p>
            <w:pPr>
              <w:spacing w:after="0"/>
              <w:rPr>
                <w:sz w:val="18"/>
                <w:szCs w:val="18"/>
                <w:color w:val="auto"/>
              </w:rPr>
            </w:pPr>
          </w:p>
        </w:tc>
        <w:tc>
          <w:tcPr>
            <w:tcW w:w="1240" w:type="dxa"/>
            <w:vAlign w:val="bottom"/>
            <w:gridSpan w:val="3"/>
          </w:tcPr>
          <w:p>
            <w:pPr>
              <w:jc w:val="center"/>
              <w:ind w:left="230"/>
              <w:spacing w:after="0"/>
              <w:rPr>
                <w:sz w:val="20"/>
                <w:szCs w:val="20"/>
                <w:color w:val="auto"/>
              </w:rPr>
            </w:pPr>
            <w:r>
              <w:rPr>
                <w:rFonts w:ascii="Arial" w:cs="Arial" w:eastAsia="Arial" w:hAnsi="Arial"/>
                <w:sz w:val="18"/>
                <w:szCs w:val="18"/>
                <w:color w:val="auto"/>
                <w:w w:val="87"/>
              </w:rPr>
              <w:t>95,000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87"/>
              </w:rPr>
              <w:t>26,472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c>
          <w:tcPr>
            <w:tcW w:w="0" w:type="dxa"/>
            <w:vAlign w:val="bottom"/>
          </w:tcPr>
          <w:p>
            <w:pPr>
              <w:spacing w:after="0"/>
              <w:rPr>
                <w:sz w:val="1"/>
                <w:szCs w:val="1"/>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Junior subordinated deferrable interest debentures</w:t>
            </w:r>
          </w:p>
        </w:tc>
        <w:tc>
          <w:tcPr>
            <w:tcW w:w="100" w:type="dxa"/>
            <w:vAlign w:val="bottom"/>
          </w:tcPr>
          <w:p>
            <w:pPr>
              <w:spacing w:after="0"/>
              <w:rPr>
                <w:sz w:val="19"/>
                <w:szCs w:val="19"/>
                <w:color w:val="auto"/>
              </w:rPr>
            </w:pPr>
          </w:p>
        </w:tc>
        <w:tc>
          <w:tcPr>
            <w:tcW w:w="1240" w:type="dxa"/>
            <w:vAlign w:val="bottom"/>
            <w:gridSpan w:val="3"/>
          </w:tcPr>
          <w:p>
            <w:pPr>
              <w:jc w:val="center"/>
              <w:ind w:left="230"/>
              <w:spacing w:after="0"/>
              <w:rPr>
                <w:sz w:val="20"/>
                <w:szCs w:val="20"/>
                <w:color w:val="auto"/>
              </w:rPr>
            </w:pPr>
            <w:r>
              <w:rPr>
                <w:rFonts w:ascii="Arial" w:cs="Arial" w:eastAsia="Arial" w:hAnsi="Arial"/>
                <w:sz w:val="18"/>
                <w:szCs w:val="18"/>
                <w:color w:val="auto"/>
                <w:w w:val="87"/>
              </w:rPr>
              <w:t>46,393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2,889,673</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2,930,985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3"/>
              </w:rPr>
              <w:t>Common stock, $1.00 par value per share, 30,000,000 shares authorized; 18,056,014 and 18,036,115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outstanding at March 31, 2020 and December 31, 2019, respectively</w:t>
            </w:r>
          </w:p>
        </w:tc>
        <w:tc>
          <w:tcPr>
            <w:tcW w:w="100" w:type="dxa"/>
            <w:vAlign w:val="bottom"/>
          </w:tcPr>
          <w:p>
            <w:pPr>
              <w:spacing w:after="0"/>
              <w:rPr>
                <w:sz w:val="20"/>
                <w:szCs w:val="20"/>
                <w:color w:val="auto"/>
              </w:rPr>
            </w:pPr>
          </w:p>
        </w:tc>
        <w:tc>
          <w:tcPr>
            <w:tcW w:w="1240" w:type="dxa"/>
            <w:vAlign w:val="bottom"/>
            <w:gridSpan w:val="3"/>
          </w:tcPr>
          <w:p>
            <w:pPr>
              <w:jc w:val="center"/>
              <w:ind w:left="230"/>
              <w:spacing w:after="0"/>
              <w:rPr>
                <w:sz w:val="20"/>
                <w:szCs w:val="20"/>
                <w:color w:val="auto"/>
              </w:rPr>
            </w:pPr>
            <w:r>
              <w:rPr>
                <w:rFonts w:ascii="Arial" w:cs="Arial" w:eastAsia="Arial" w:hAnsi="Arial"/>
                <w:sz w:val="18"/>
                <w:szCs w:val="18"/>
                <w:color w:val="auto"/>
                <w:w w:val="87"/>
              </w:rPr>
              <w:t>18,056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18,036</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140,492</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153,238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146,696</w:t>
            </w:r>
          </w:p>
        </w:tc>
        <w:tc>
          <w:tcPr>
            <w:tcW w:w="0" w:type="dxa"/>
            <w:vAlign w:val="bottom"/>
          </w:tcPr>
          <w:p>
            <w:pPr>
              <w:spacing w:after="0"/>
              <w:rPr>
                <w:sz w:val="1"/>
                <w:szCs w:val="1"/>
                <w:color w:val="auto"/>
              </w:rPr>
            </w:pPr>
          </w:p>
        </w:tc>
      </w:tr>
      <w:tr>
        <w:trPr>
          <w:trHeight w:val="223"/>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87"/>
              </w:rPr>
              <w:t>14,897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326,890</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306,182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3,216,563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3,237,167</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including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Non taxable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35,737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32,004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5,889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r>
      <w:tr>
        <w:trPr>
          <w:trHeight w:val="223"/>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gain on sale of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Fiduciary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Occupancy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3,407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Bank 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3,341</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5,977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7,083</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4,773</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 (CONTINUED)</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7,083</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net unrealized loss on securities available for 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2,907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net losses on cash flow hedges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Reclassification adjustment for (gain) included in net income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(2,318)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(3,705)</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w:t>
            </w:r>
          </w:p>
        </w:tc>
      </w:tr>
      <w:tr>
        <w:trPr>
          <w:trHeight w:val="223"/>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13,939</w:t>
            </w: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4"/>
              </w:rPr>
              <w:t>Less: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240" w:type="dxa"/>
            <w:vAlign w:val="bottom"/>
            <w:gridSpan w:val="5"/>
            <w:vMerge w:val="restart"/>
          </w:tcPr>
          <w:p>
            <w:pPr>
              <w:jc w:val="right"/>
              <w:ind w:right="640"/>
              <w:spacing w:after="0"/>
              <w:rPr>
                <w:sz w:val="20"/>
                <w:szCs w:val="20"/>
                <w:color w:val="auto"/>
              </w:rPr>
            </w:pPr>
            <w:r>
              <w:rPr>
                <w:rFonts w:ascii="Arial" w:cs="Arial" w:eastAsia="Arial" w:hAnsi="Arial"/>
                <w:sz w:val="18"/>
                <w:szCs w:val="18"/>
                <w:b w:val="1"/>
                <w:bCs w:val="1"/>
                <w:color w:val="auto"/>
              </w:rPr>
              <w:t>Common Stock</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1"/>
              </w:rPr>
              <w:t>ESOP</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224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Retained</w:t>
            </w: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Treasury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9"/>
              </w:rPr>
              <w:t>Owned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Earnings</w:t>
            </w:r>
          </w:p>
        </w:tc>
        <w:tc>
          <w:tcPr>
            <w:tcW w:w="80" w:type="dxa"/>
            <w:vAlign w:val="bottom"/>
          </w:tcPr>
          <w:p>
            <w:pPr>
              <w:spacing w:after="0"/>
              <w:rPr>
                <w:sz w:val="19"/>
                <w:szCs w:val="19"/>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Income (Loss)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Arial" w:cs="Arial" w:eastAsia="Arial" w:hAnsi="Arial"/>
                <w:sz w:val="18"/>
                <w:szCs w:val="18"/>
                <w:b w:val="1"/>
                <w:bCs w:val="1"/>
                <w:color w:val="auto"/>
              </w:rPr>
              <w:t>Three Months Ended</w:t>
            </w: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at January 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14,771,520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119,834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(58,195)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154,580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4,773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change in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accounting principle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(loss),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0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57"/>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14,771,520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123,328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at January 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18,036,115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146,696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306,182</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7,083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80"/>
              <w:spacing w:after="0"/>
              <w:rPr>
                <w:sz w:val="20"/>
                <w:szCs w:val="20"/>
                <w:color w:val="auto"/>
              </w:rPr>
            </w:pPr>
            <w:r>
              <w:rPr>
                <w:rFonts w:ascii="Arial" w:cs="Arial" w:eastAsia="Arial" w:hAnsi="Arial"/>
                <w:sz w:val="18"/>
                <w:szCs w:val="18"/>
                <w:color w:val="auto"/>
                <w:w w:val="92"/>
              </w:rPr>
              <w:t>Common - $0.03 per share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(net of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13,939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13,939</w:t>
            </w: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w w:val="99"/>
              </w:rPr>
              <w:t>Exercise of employee stock</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80"/>
              <w:spacing w:after="0"/>
              <w:rPr>
                <w:sz w:val="20"/>
                <w:szCs w:val="20"/>
                <w:color w:val="auto"/>
              </w:rPr>
            </w:pPr>
            <w:r>
              <w:rPr>
                <w:rFonts w:ascii="Arial" w:cs="Arial" w:eastAsia="Arial" w:hAnsi="Arial"/>
                <w:sz w:val="18"/>
                <w:szCs w:val="18"/>
                <w:color w:val="auto"/>
              </w:rPr>
              <w:t>options and vesting of</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restricted stock units, net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660 shares for cashless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exercise and net of 4,986</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80"/>
              <w:spacing w:after="0"/>
              <w:rPr>
                <w:sz w:val="20"/>
                <w:szCs w:val="20"/>
                <w:color w:val="auto"/>
              </w:rPr>
            </w:pPr>
            <w:r>
              <w:rPr>
                <w:rFonts w:ascii="Arial" w:cs="Arial" w:eastAsia="Arial" w:hAnsi="Arial"/>
                <w:sz w:val="18"/>
                <w:szCs w:val="18"/>
                <w:color w:val="auto"/>
              </w:rPr>
              <w:t>shares for taxes</w:t>
            </w:r>
          </w:p>
        </w:tc>
        <w:tc>
          <w:tcPr>
            <w:tcW w:w="920" w:type="dxa"/>
            <w:vAlign w:val="bottom"/>
          </w:tcPr>
          <w:p>
            <w:pPr>
              <w:jc w:val="right"/>
              <w:spacing w:after="0"/>
              <w:rPr>
                <w:sz w:val="20"/>
                <w:szCs w:val="20"/>
                <w:color w:val="auto"/>
              </w:rPr>
            </w:pPr>
            <w:r>
              <w:rPr>
                <w:rFonts w:ascii="Arial" w:cs="Arial" w:eastAsia="Arial" w:hAnsi="Arial"/>
                <w:sz w:val="18"/>
                <w:szCs w:val="18"/>
                <w:color w:val="auto"/>
              </w:rPr>
              <w:t>19,899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18,056,014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18,056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140,699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153,238</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14,897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326,890</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gains,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(2,383)</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sales of loans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sales of loans held for sale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210,963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142,435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originated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(216,024)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(120,840)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Earnings on bank-owned life insurance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change in: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 and 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8,032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5,028</w:t>
            </w:r>
          </w:p>
        </w:tc>
      </w:tr>
      <w:tr>
        <w:trPr>
          <w:trHeight w:val="223"/>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29,329</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Activity in securities available for sale: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(112,358)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94,514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Maturities, prepayments, and calls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31,937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41,201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premises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sales of premises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foreclosed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Net cash from investing activities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25,046</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42,937</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deposits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27,475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change in short-term borrowings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(19,765)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to tax authorities for stock-based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made on notes payable and other borrowings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(7,530)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(51,398)</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21,155</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(22,037)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93,421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136,062</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339,410</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 on deposits and borrowed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Loans transferred to foreclosed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 measurement period adjustment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340" w:right="2780"/>
        <w:spacing w:after="0" w:line="238" w:lineRule="auto"/>
        <w:rPr>
          <w:sz w:val="20"/>
          <w:szCs w:val="20"/>
          <w:color w:val="auto"/>
        </w:rPr>
      </w:pPr>
      <w:r>
        <w:rPr>
          <w:rFonts w:ascii="Arial" w:cs="Arial" w:eastAsia="Arial" w:hAnsi="Arial"/>
          <w:sz w:val="22"/>
          <w:szCs w:val="22"/>
          <w:b w:val="1"/>
          <w:bCs w:val="1"/>
          <w:color w:val="auto"/>
        </w:rPr>
        <w:t>SOUTH PLAINS FINANCIAL, INC. AND SUBSIDIARIES NOTES TO CONSOLIDATED FINANCIAL STATEMENTS (Unaudited)</w:t>
      </w:r>
    </w:p>
    <w:p>
      <w:pPr>
        <w:ind w:left="360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SUMMARY OF SIGNIFICANT ACCOUNTING POLICIES</w:t>
      </w:r>
    </w:p>
    <w:p>
      <w:pPr>
        <w:spacing w:after="0" w:line="239" w:lineRule="exact"/>
        <w:rPr>
          <w:sz w:val="20"/>
          <w:szCs w:val="20"/>
          <w:color w:val="auto"/>
        </w:rPr>
      </w:pPr>
    </w:p>
    <w:p>
      <w:pPr>
        <w:jc w:val="both"/>
        <w:ind w:firstLine="1"/>
        <w:spacing w:after="0" w:line="238" w:lineRule="auto"/>
        <w:rPr>
          <w:sz w:val="20"/>
          <w:szCs w:val="20"/>
          <w:color w:val="auto"/>
        </w:rPr>
      </w:pPr>
      <w:r>
        <w:rPr>
          <w:rFonts w:ascii="Arial" w:cs="Arial" w:eastAsia="Arial" w:hAnsi="Arial"/>
          <w:sz w:val="22"/>
          <w:szCs w:val="22"/>
          <w:i w:val="1"/>
          <w:iCs w:val="1"/>
          <w:u w:val="single" w:color="auto"/>
          <w:color w:val="auto"/>
        </w:rPr>
        <w:t>Nature of Operations</w:t>
      </w:r>
      <w:r>
        <w:rPr>
          <w:rFonts w:ascii="Arial" w:cs="Arial" w:eastAsia="Arial" w:hAnsi="Arial"/>
          <w:sz w:val="22"/>
          <w:szCs w:val="22"/>
          <w:i w:val="1"/>
          <w:iCs w:val="1"/>
          <w:color w:val="auto"/>
        </w:rPr>
        <w:t xml:space="preserve"> </w:t>
      </w:r>
      <w:r>
        <w:rPr>
          <w:rFonts w:ascii="Arial" w:cs="Arial" w:eastAsia="Arial" w:hAnsi="Arial"/>
          <w:sz w:val="22"/>
          <w:szCs w:val="22"/>
          <w:color w:val="auto"/>
        </w:rPr>
        <w:t>– South Plains Financial, Inc. (“SPFI”) is a Texas corporation and registered bank holding company that</w:t>
      </w:r>
      <w:r>
        <w:rPr>
          <w:rFonts w:ascii="Arial" w:cs="Arial" w:eastAsia="Arial" w:hAnsi="Arial"/>
          <w:sz w:val="22"/>
          <w:szCs w:val="22"/>
          <w:i w:val="1"/>
          <w:iCs w:val="1"/>
          <w:color w:val="auto"/>
        </w:rPr>
        <w:t xml:space="preserve"> </w:t>
      </w:r>
      <w:r>
        <w:rPr>
          <w:rFonts w:ascii="Arial" w:cs="Arial" w:eastAsia="Arial" w:hAnsi="Arial"/>
          <w:sz w:val="22"/>
          <w:szCs w:val="22"/>
          <w:color w:val="auto"/>
        </w:rPr>
        <w:t>conducts its principal 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Wholly Owned, Consolidated Subsidiaries:</w:t>
            </w:r>
          </w:p>
        </w:tc>
        <w:tc>
          <w:tcPr>
            <w:tcW w:w="6160" w:type="dxa"/>
            <w:vAlign w:val="bottom"/>
          </w:tcPr>
          <w:p>
            <w:pPr>
              <w:spacing w:after="0"/>
              <w:rPr>
                <w:sz w:val="20"/>
                <w:szCs w:val="20"/>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City Bank</w:t>
            </w:r>
          </w:p>
        </w:tc>
        <w:tc>
          <w:tcPr>
            <w:tcW w:w="6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Bank subsidiary</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Windmark Insurance Agency, Inc. (“Windmark”)</w:t>
            </w:r>
          </w:p>
        </w:tc>
        <w:tc>
          <w:tcPr>
            <w:tcW w:w="6160" w:type="dxa"/>
            <w:vAlign w:val="bottom"/>
          </w:tcPr>
          <w:p>
            <w:pPr>
              <w:ind w:left="1120"/>
              <w:spacing w:after="0"/>
              <w:rPr>
                <w:sz w:val="20"/>
                <w:szCs w:val="20"/>
                <w:color w:val="auto"/>
              </w:rPr>
            </w:pPr>
            <w:r>
              <w:rPr>
                <w:rFonts w:ascii="Arial" w:cs="Arial" w:eastAsia="Arial" w:hAnsi="Arial"/>
                <w:sz w:val="18"/>
                <w:szCs w:val="18"/>
                <w:color w:val="auto"/>
              </w:rPr>
              <w:t>Non-bank subsidiary</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Ruidoso Retail, Inc.</w:t>
            </w:r>
          </w:p>
        </w:tc>
        <w:tc>
          <w:tcPr>
            <w:tcW w:w="6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Non-bank subsidiary</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CB Provence, LLC</w:t>
            </w:r>
          </w:p>
        </w:tc>
        <w:tc>
          <w:tcPr>
            <w:tcW w:w="6160" w:type="dxa"/>
            <w:vAlign w:val="bottom"/>
          </w:tcPr>
          <w:p>
            <w:pPr>
              <w:ind w:left="1120"/>
              <w:spacing w:after="0"/>
              <w:rPr>
                <w:sz w:val="20"/>
                <w:szCs w:val="20"/>
                <w:color w:val="auto"/>
              </w:rPr>
            </w:pPr>
            <w:r>
              <w:rPr>
                <w:rFonts w:ascii="Arial" w:cs="Arial" w:eastAsia="Arial" w:hAnsi="Arial"/>
                <w:sz w:val="18"/>
                <w:szCs w:val="18"/>
                <w:color w:val="auto"/>
              </w:rPr>
              <w:t>Non-bank subsidiary</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CBT Brushy Creek, LLC</w:t>
            </w:r>
          </w:p>
        </w:tc>
        <w:tc>
          <w:tcPr>
            <w:tcW w:w="6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Non-bank subsidiary</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CBT Properties, LLC</w:t>
            </w:r>
          </w:p>
        </w:tc>
        <w:tc>
          <w:tcPr>
            <w:tcW w:w="6160" w:type="dxa"/>
            <w:vAlign w:val="bottom"/>
          </w:tcPr>
          <w:p>
            <w:pPr>
              <w:ind w:left="1120"/>
              <w:spacing w:after="0"/>
              <w:rPr>
                <w:sz w:val="20"/>
                <w:szCs w:val="20"/>
                <w:color w:val="auto"/>
              </w:rPr>
            </w:pPr>
            <w:r>
              <w:rPr>
                <w:rFonts w:ascii="Arial" w:cs="Arial" w:eastAsia="Arial" w:hAnsi="Arial"/>
                <w:sz w:val="18"/>
                <w:szCs w:val="18"/>
                <w:color w:val="auto"/>
              </w:rPr>
              <w:t>Non-bank subsidiary</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Wholly Owned, Equity Method Subsidiaries:</w:t>
            </w:r>
          </w:p>
        </w:tc>
        <w:tc>
          <w:tcPr>
            <w:tcW w:w="6160" w:type="dxa"/>
            <w:vAlign w:val="bottom"/>
            <w:shd w:val="clear" w:color="auto" w:fill="CCEEFF"/>
          </w:tcPr>
          <w:p>
            <w:pPr>
              <w:spacing w:after="0"/>
              <w:rPr>
                <w:sz w:val="18"/>
                <w:szCs w:val="18"/>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South Plains Financial Capital Trusts (SPFCT) III-V</w:t>
            </w:r>
          </w:p>
        </w:tc>
        <w:tc>
          <w:tcPr>
            <w:tcW w:w="6160" w:type="dxa"/>
            <w:vAlign w:val="bottom"/>
          </w:tcPr>
          <w:p>
            <w:pPr>
              <w:ind w:left="1120"/>
              <w:spacing w:after="0"/>
              <w:rPr>
                <w:sz w:val="20"/>
                <w:szCs w:val="20"/>
                <w:color w:val="auto"/>
              </w:rPr>
            </w:pPr>
            <w:r>
              <w:rPr>
                <w:rFonts w:ascii="Arial" w:cs="Arial" w:eastAsia="Arial" w:hAnsi="Arial"/>
                <w:sz w:val="18"/>
                <w:szCs w:val="18"/>
                <w:color w:val="auto"/>
              </w:rPr>
              <w:t>Non-bank subsidiaries</w:t>
            </w:r>
          </w:p>
        </w:tc>
      </w:tr>
    </w:tbl>
    <w:p>
      <w:pPr>
        <w:spacing w:after="0" w:line="20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u w:val="single" w:color="auto"/>
          <w:color w:val="auto"/>
        </w:rPr>
        <w:t>Basis of Presentation and Consolidation</w:t>
      </w:r>
      <w:r>
        <w:rPr>
          <w:rFonts w:ascii="Arial" w:cs="Arial" w:eastAsia="Arial" w:hAnsi="Arial"/>
          <w:sz w:val="19"/>
          <w:szCs w:val="19"/>
          <w:i w:val="1"/>
          <w:iCs w:val="1"/>
          <w:color w:val="auto"/>
        </w:rPr>
        <w:t xml:space="preserve"> </w:t>
      </w:r>
      <w:r>
        <w:rPr>
          <w:rFonts w:ascii="Arial" w:cs="Arial" w:eastAsia="Arial" w:hAnsi="Arial"/>
          <w:sz w:val="19"/>
          <w:szCs w:val="19"/>
          <w:color w:val="auto"/>
        </w:rPr>
        <w:t>– The consolidated financial statements in this Quarterly Report on Form 10-Q (this</w:t>
      </w:r>
      <w:r>
        <w:rPr>
          <w:rFonts w:ascii="Arial" w:cs="Arial" w:eastAsia="Arial" w:hAnsi="Arial"/>
          <w:sz w:val="19"/>
          <w:szCs w:val="19"/>
          <w:i w:val="1"/>
          <w:iCs w:val="1"/>
          <w:color w:val="auto"/>
        </w:rPr>
        <w:t xml:space="preserve"> </w:t>
      </w:r>
      <w:r>
        <w:rPr>
          <w:rFonts w:ascii="Arial" w:cs="Arial" w:eastAsia="Arial" w:hAnsi="Arial"/>
          <w:sz w:val="19"/>
          <w:szCs w:val="19"/>
          <w:color w:val="auto"/>
        </w:rPr>
        <w:t>“Form 10-Q”) include the accounts of SPFI and its wholly owned consolidated subsidiaries (collectively referred to as the “Company”) identified above. All significant intercompany balances and transactions have been eliminated in consolidation.</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and results of operations.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footnotes required by GAAP for complete financial statements and should be read in conjunction with the Company’s audited consolidated financial statements, and notes thereto in the Company’s Annual Report on Form 10-K, for the year ended December 31, 2019. Operating results for the interim periods disclosed herein are not necessarily indicative of the results that may be expected for a full year or any future period.</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u w:val="single" w:color="auto"/>
          <w:color w:val="auto"/>
        </w:rPr>
        <w:t>Use of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 The preparation of financial statements in conformity with GAAP requires management to make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the valuation of foreclosed assets, and fair values of financial instruments can also involve significant management estimates.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Change in Capital Structure</w:t>
      </w:r>
    </w:p>
    <w:p>
      <w:pPr>
        <w:spacing w:after="0" w:line="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On March 11, 2019, the Company amended and restated its Certificate of Formation. The Amended and Restated Certificate of Formation increased the number of authorized shares of common stock, par value $1.00 per share, from 1,000,000 to 30,000,000.</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completed a 29-to-1 stock split of the Company’s outstanding shares of common stock for shareholders of record as of March 11, 2019. The stock split was payable in the form of a dividend on or about March 11, 2019. Shareholders received 29 additional shares for each share held as of the record date. All share and per share amounts in the consolidated financial statements have been retroactively adjusted to reflect this stock split for all periods presented.</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Loans</w:t>
      </w:r>
      <w:r>
        <w:rPr>
          <w:rFonts w:ascii="Arial" w:cs="Arial" w:eastAsia="Arial" w:hAnsi="Arial"/>
          <w:sz w:val="19"/>
          <w:szCs w:val="19"/>
          <w:i w:val="1"/>
          <w:iCs w:val="1"/>
          <w:color w:val="auto"/>
        </w:rPr>
        <w:t xml:space="preserve"> </w:t>
      </w:r>
      <w:r>
        <w:rPr>
          <w:rFonts w:ascii="Arial" w:cs="Arial" w:eastAsia="Arial" w:hAnsi="Arial"/>
          <w:sz w:val="19"/>
          <w:szCs w:val="19"/>
          <w:color w:val="auto"/>
        </w:rPr>
        <w:t>– Loans that management has the intent and ability to hold for the foreseeable future or until maturity or payoff are</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ectPr>
          <w:pgSz w:w="11900" w:h="16838" w:orient="portrait"/>
          <w:cols w:equalWidth="0" w:num="1">
            <w:col w:w="11240"/>
          </w:cols>
          <w:pgMar w:left="320" w:top="121" w:right="339" w:bottom="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u w:val="single" w:color="auto"/>
          <w:color w:val="auto"/>
        </w:rPr>
        <w:t>Allowance for Loan Losses</w:t>
      </w:r>
      <w:r>
        <w:rPr>
          <w:rFonts w:ascii="Arial" w:cs="Arial" w:eastAsia="Arial" w:hAnsi="Arial"/>
          <w:sz w:val="19"/>
          <w:szCs w:val="19"/>
          <w:i w:val="1"/>
          <w:iCs w:val="1"/>
          <w:color w:val="auto"/>
        </w:rPr>
        <w:t xml:space="preserve"> </w:t>
      </w:r>
      <w:r>
        <w:rPr>
          <w:rFonts w:ascii="Arial" w:cs="Arial" w:eastAsia="Arial" w:hAnsi="Arial"/>
          <w:sz w:val="19"/>
          <w:szCs w:val="19"/>
          <w:color w:val="auto"/>
        </w:rPr>
        <w:t>– The allowance for loan losses is established as losses are estimated to have occurred through a</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allowance for loan losses is evaluated on a quarterly basis by management and is based upon management’s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 subsidiary’s loans are generally secured by specific items of collateral including real property, crops, livestock, consumer assets, and other business assets.</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may modify its loan agreement with a borrower. The modification will be considered a troubled debt restructuring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Acquired Loans</w:t>
      </w:r>
      <w:r>
        <w:rPr>
          <w:rFonts w:ascii="Arial" w:cs="Arial" w:eastAsia="Arial" w:hAnsi="Arial"/>
          <w:sz w:val="22"/>
          <w:szCs w:val="22"/>
          <w:i w:val="1"/>
          <w:iCs w:val="1"/>
          <w:color w:val="auto"/>
        </w:rPr>
        <w:t xml:space="preserve"> </w:t>
      </w:r>
      <w:r>
        <w:rPr>
          <w:rFonts w:ascii="Arial" w:cs="Arial" w:eastAsia="Arial" w:hAnsi="Arial"/>
          <w:sz w:val="22"/>
          <w:szCs w:val="22"/>
          <w:color w:val="auto"/>
        </w:rPr>
        <w:t>– Loans that the Company acquires in connection with business combinations are recorded at fair value with no</w:t>
      </w:r>
      <w:r>
        <w:rPr>
          <w:rFonts w:ascii="Arial" w:cs="Arial" w:eastAsia="Arial" w:hAnsi="Arial"/>
          <w:sz w:val="22"/>
          <w:szCs w:val="22"/>
          <w:i w:val="1"/>
          <w:iCs w:val="1"/>
          <w:color w:val="auto"/>
        </w:rPr>
        <w:t xml:space="preserve"> </w:t>
      </w:r>
      <w:r>
        <w:rPr>
          <w:rFonts w:ascii="Arial" w:cs="Arial" w:eastAsia="Arial" w:hAnsi="Arial"/>
          <w:sz w:val="22"/>
          <w:szCs w:val="22"/>
          <w:color w:val="auto"/>
        </w:rPr>
        <w:t>carryover of the acquired 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ASC 310-30, </w:t>
      </w:r>
      <w:r>
        <w:rPr>
          <w:rFonts w:ascii="Arial" w:cs="Arial" w:eastAsia="Arial" w:hAnsi="Arial"/>
          <w:sz w:val="19"/>
          <w:szCs w:val="19"/>
          <w:i w:val="1"/>
          <w:iCs w:val="1"/>
          <w:color w:val="auto"/>
        </w:rPr>
        <w:t>Loans and Debt Securities Acquired with Deteriorated Credit Quality.</w:t>
      </w:r>
      <w:r>
        <w:rPr>
          <w:rFonts w:ascii="Arial" w:cs="Arial" w:eastAsia="Arial" w:hAnsi="Arial"/>
          <w:sz w:val="19"/>
          <w:szCs w:val="19"/>
          <w:color w:val="auto"/>
        </w:rPr>
        <w:t xml:space="preserve"> The nonaccretable discount includes estimated future credit losses expected to be 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ectPr>
          <w:pgSz w:w="11900" w:h="16838" w:orient="portrait"/>
          <w:cols w:equalWidth="0" w:num="1">
            <w:col w:w="11240"/>
          </w:cols>
          <w:pgMar w:left="320" w:top="121" w:right="339" w:bottom="413"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13"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Loans acquired through business combinations that meet the specific criteria of ASC 310-30 are individually evaluated each period to analyze expected cash flows. To the extent that the expected cash flows of a loan have decreased due to credit deterioration, the Company then establishes an allowance.</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Loans acquired through business combinations that do not meet the specific criteria of ASC 310-30 are accounted for under ASC 310-20. These loans are initially recorded at fair value, and include credit and interest rate marks associated with acquisition 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Goodwill and Other Intangible Assets</w:t>
      </w:r>
      <w:r>
        <w:rPr>
          <w:rFonts w:ascii="Arial" w:cs="Arial" w:eastAsia="Arial" w:hAnsi="Arial"/>
          <w:sz w:val="22"/>
          <w:szCs w:val="22"/>
          <w:i w:val="1"/>
          <w:iCs w:val="1"/>
          <w:color w:val="auto"/>
        </w:rPr>
        <w:t xml:space="preserve"> </w:t>
      </w:r>
      <w:r>
        <w:rPr>
          <w:rFonts w:ascii="Arial" w:cs="Arial" w:eastAsia="Arial" w:hAnsi="Arial"/>
          <w:sz w:val="22"/>
          <w:szCs w:val="22"/>
          <w:color w:val="auto"/>
        </w:rPr>
        <w:t>– Goodwill resulting from business combinations is generally determined as the excess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Significantly all CDI is amortized using the sum of the years digits method.</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remaining other intangible assets consist of customer relationship and employment agreement intangible assets and are amortized over their estimated useful lives of 5 years.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u w:val="single" w:color="auto"/>
          <w:color w:val="auto"/>
        </w:rPr>
        <w:t>Stock-based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sponsors an equity incentive plan under which options to acquire shares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common stock may be granted periodically to all full-time employees and directors of the Company or its affiliates at a specific exercise price to acquire shares of the Company’s common stock.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the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Recent Accounting Pronouncements</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 xml:space="preserve"> Financial Accounting Standards Board (“FASB”) Accounting Standards Codification (“ASC”) </w:t>
      </w:r>
      <w:r>
        <w:rPr>
          <w:rFonts w:ascii="Arial" w:cs="Arial" w:eastAsia="Arial" w:hAnsi="Arial"/>
          <w:sz w:val="22"/>
          <w:szCs w:val="22"/>
          <w:color w:val="auto"/>
        </w:rPr>
        <w:t>constitutes GAAP for nongovernmental entities. Updates to ASC are prescribed in Accounting Standards Updates</w:t>
      </w:r>
      <w:r>
        <w:rPr>
          <w:rFonts w:ascii="Arial" w:cs="Arial" w:eastAsia="Arial" w:hAnsi="Arial"/>
          <w:sz w:val="22"/>
          <w:szCs w:val="22"/>
          <w:i w:val="1"/>
          <w:iCs w:val="1"/>
          <w:color w:val="auto"/>
        </w:rPr>
        <w:t xml:space="preserve"> </w:t>
      </w:r>
      <w:r>
        <w:rPr>
          <w:rFonts w:ascii="Arial" w:cs="Arial" w:eastAsia="Arial" w:hAnsi="Arial"/>
          <w:sz w:val="22"/>
          <w:szCs w:val="22"/>
          <w:color w:val="auto"/>
        </w:rPr>
        <w:t>(“ASU”), which are not authoritative until incorporated into ASC.</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ASU 2016-02 Leases (Topic 842). </w:t>
      </w:r>
      <w:r>
        <w:rPr>
          <w:rFonts w:ascii="Arial" w:cs="Arial" w:eastAsia="Arial" w:hAnsi="Arial"/>
          <w:sz w:val="22"/>
          <w:szCs w:val="22"/>
          <w:color w:val="auto"/>
        </w:rPr>
        <w:t>The FASB amended existing guidance that requires that lessees recognize lease assets and</w:t>
      </w:r>
      <w:r>
        <w:rPr>
          <w:rFonts w:ascii="Arial" w:cs="Arial" w:eastAsia="Arial" w:hAnsi="Arial"/>
          <w:sz w:val="22"/>
          <w:szCs w:val="22"/>
          <w:i w:val="1"/>
          <w:iCs w:val="1"/>
          <w:color w:val="auto"/>
        </w:rPr>
        <w:t xml:space="preserve"> </w:t>
      </w:r>
      <w:r>
        <w:rPr>
          <w:rFonts w:ascii="Arial" w:cs="Arial" w:eastAsia="Arial" w:hAnsi="Arial"/>
          <w:sz w:val="22"/>
          <w:szCs w:val="22"/>
          <w:color w:val="auto"/>
        </w:rPr>
        <w:t>lease liabilities on the balance sheet and disclose key information about leasing arrangements. The Company is in the process of determining the effect of the standard on its consolidated operating results and financial condition. These amendments are effective for the Company for annual periods beginning after December 15, 2021 and interim periods beginning after December 15, 2022.</w:t>
      </w:r>
    </w:p>
    <w:p>
      <w:pPr>
        <w:spacing w:after="0" w:line="2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 xml:space="preserve">ASU 2016-13 Financial Instruments - Credit Losses (Topic 326). </w:t>
      </w:r>
      <w:r>
        <w:rPr>
          <w:rFonts w:ascii="Arial" w:cs="Arial" w:eastAsia="Arial" w:hAnsi="Arial"/>
          <w:sz w:val="22"/>
          <w:szCs w:val="22"/>
          <w:color w:val="auto"/>
        </w:rPr>
        <w:t>The FASB issued guidance to replace the incurred loss model</w:t>
      </w:r>
      <w:r>
        <w:rPr>
          <w:rFonts w:ascii="Arial" w:cs="Arial" w:eastAsia="Arial" w:hAnsi="Arial"/>
          <w:sz w:val="22"/>
          <w:szCs w:val="22"/>
          <w:i w:val="1"/>
          <w:iCs w:val="1"/>
          <w:color w:val="auto"/>
        </w:rPr>
        <w:t xml:space="preserve"> </w:t>
      </w:r>
      <w:r>
        <w:rPr>
          <w:rFonts w:ascii="Arial" w:cs="Arial" w:eastAsia="Arial" w:hAnsi="Arial"/>
          <w:sz w:val="22"/>
          <w:szCs w:val="22"/>
          <w:color w:val="auto"/>
        </w:rPr>
        <w:t>with 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ectPr>
          <w:pgSz w:w="11900" w:h="16838" w:orient="portrait"/>
          <w:cols w:equalWidth="0" w:num="1">
            <w:col w:w="11240"/>
          </w:cols>
          <w:pgMar w:left="320" w:top="122" w:right="339" w:bottom="679"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79"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ASU 2017-04, Intangibles - Goodwill and Other (Topic 350). </w:t>
      </w:r>
      <w:r>
        <w:rPr>
          <w:rFonts w:ascii="Arial" w:cs="Arial" w:eastAsia="Arial" w:hAnsi="Arial"/>
          <w:sz w:val="19"/>
          <w:szCs w:val="19"/>
          <w:color w:val="auto"/>
        </w:rPr>
        <w:t>This ASU simplifies the accounting for goodwill impairment for all</w:t>
      </w:r>
      <w:r>
        <w:rPr>
          <w:rFonts w:ascii="Arial" w:cs="Arial" w:eastAsia="Arial" w:hAnsi="Arial"/>
          <w:sz w:val="19"/>
          <w:szCs w:val="19"/>
          <w:i w:val="1"/>
          <w:iCs w:val="1"/>
          <w:color w:val="auto"/>
        </w:rPr>
        <w:t xml:space="preserve"> </w:t>
      </w:r>
      <w:r>
        <w:rPr>
          <w:rFonts w:ascii="Arial" w:cs="Arial" w:eastAsia="Arial" w:hAnsi="Arial"/>
          <w:sz w:val="19"/>
          <w:szCs w:val="19"/>
          <w:color w:val="auto"/>
        </w:rPr>
        <w:t>entities by eliminating Step 2 from the current provisions. Under the new guidance, an entity should perform the goodwill impairment test by comparing the fair value of a reporting unit with its carrying value and recognize an impairment charge for the amount by which the carrying amount exceeds the reporting unit’s fair value. The Company elected to early adopt ASU 2017-04 on January 1, 2020, and it did not have a significant impact on its financial statements. The Company’s policy is to test goodwill for impairment annually or on an interim basis if an event triggering impairment may have occurred. During the period ended March 31, 2020, the economic disruption and uncertainty surrounding the ongoing COVID-19 pandemic and the recent volatility in the market price of crude oil resulted in a decrease in the Company’s stock price. The Company believed this resulted in a triggering event requiring an interim goodwill impairment quantitative analysis. Under the new simplified guidance, the Company’s estimated fair value as of March 31, 2020, exceeded its carrying amount resulting in no impairment charge for the period. Management will continue to evaluate the economic conditions at future reporting periods for applicable changes.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u w:val="single" w:color="auto"/>
          <w:color w:val="auto"/>
        </w:rPr>
        <w:t>Subsequent Events</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has evaluated subsequent events and transactions from March 31, 2020 through the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this Form 10-Q was filed with the SEC for potential recognition or disclosure as required by GAAP and determined that outside of the items noted below there were no material subsequent events requiring recognition or disclosure.</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Paycheck Protection Program (the “PPP”) was created by the CARES Act and administered by the U.S. Small Business Administration (the “SBA”). The Company had closed and funded $210 million in PPP loans as of May 5, 2020. These PPP loans are fully guaranteed by the SBA and have no impact on our risk-based capital ratios. The Company also has access to the</w:t>
      </w:r>
    </w:p>
    <w:p>
      <w:pPr>
        <w:spacing w:after="0" w:line="1" w:lineRule="exact"/>
        <w:rPr>
          <w:sz w:val="20"/>
          <w:szCs w:val="20"/>
          <w:color w:val="auto"/>
        </w:rPr>
      </w:pPr>
    </w:p>
    <w:p>
      <w:pPr>
        <w:ind w:firstLine="8"/>
        <w:spacing w:after="0" w:line="236" w:lineRule="auto"/>
        <w:tabs>
          <w:tab w:leader="none" w:pos="456" w:val="left"/>
        </w:tabs>
        <w:numPr>
          <w:ilvl w:val="0"/>
          <w:numId w:val="3"/>
        </w:numPr>
        <w:rPr>
          <w:rFonts w:ascii="Arial" w:cs="Arial" w:eastAsia="Arial" w:hAnsi="Arial"/>
          <w:sz w:val="22"/>
          <w:szCs w:val="22"/>
          <w:color w:val="auto"/>
        </w:rPr>
      </w:pPr>
      <w:r>
        <w:rPr>
          <w:rFonts w:ascii="Arial" w:cs="Arial" w:eastAsia="Arial" w:hAnsi="Arial"/>
          <w:sz w:val="22"/>
          <w:szCs w:val="22"/>
          <w:color w:val="auto"/>
        </w:rPr>
        <w:t>Liquidity Facility (the “PPPLF”) established by the Board of Governors of the Federal Reserve System (the “Federal Reserve”) at a borrowing rate of 0.35%. The Company has not utilized the PPPLF.</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amortized cost and fair value of securities, with gross unrealized gains and losses, at period-end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1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11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1"/>
              </w:rPr>
              <w:t>March 31, 2020</w:t>
            </w:r>
          </w:p>
        </w:tc>
        <w:tc>
          <w:tcPr>
            <w:tcW w:w="48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206,206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3,537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209,654</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376,081</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107,410</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34,524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36,811</w:t>
            </w:r>
          </w:p>
        </w:tc>
      </w:tr>
      <w:tr>
        <w:trPr>
          <w:trHeight w:val="27"/>
        </w:trPr>
        <w:tc>
          <w:tcPr>
            <w:tcW w:w="116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714,707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20,380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734,791</w:t>
            </w:r>
          </w:p>
        </w:tc>
      </w:tr>
      <w:tr>
        <w:trPr>
          <w:trHeight w:val="20"/>
        </w:trPr>
        <w:tc>
          <w:tcPr>
            <w:tcW w:w="1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14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5"/>
        </w:trPr>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2019</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Available for sale:</w:t>
            </w: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94,512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94,692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464,516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107,289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35,833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36,346</w:t>
            </w:r>
          </w:p>
        </w:tc>
      </w:tr>
      <w:tr>
        <w:trPr>
          <w:trHeight w:val="27"/>
        </w:trPr>
        <w:tc>
          <w:tcPr>
            <w:tcW w:w="14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706,437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707,650</w:t>
            </w:r>
          </w:p>
        </w:tc>
      </w:tr>
      <w:tr>
        <w:trPr>
          <w:trHeight w:val="21"/>
        </w:trPr>
        <w:tc>
          <w:tcPr>
            <w:tcW w:w="1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amortized cost and fair value of securities at March 31, 2020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Available for Sale</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5"/>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189,454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192,477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503,751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714,707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734,791</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436"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36"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At both March 31, 2020 and December 31, 2019, there were no holdings of securities of any one issuer, other than the 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government and its agencies, in an amount greater than 10% of stockholders’ equity.</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Securities with a carrying value of approximately $260.5 million and $211.0 million at March 31, 2020 and December 31, 2019, respectively, were pledged to collateralize public deposits and for other purposes as required or permitted by law.</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segregates securities with unrealized losses at the periods indicated, by the duration they have been in a loss position: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March 31, 2020</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21,741</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22,125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10,071</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02"/>
        </w:trPr>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31,812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32,196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58,389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58,776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02"/>
        </w:trPr>
        <w:tc>
          <w:tcPr>
            <w:tcW w:w="3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7"/>
        </w:trPr>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405,209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4,158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410,257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4,199</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There were 12 securities with an unrealized loss at March 31, 2020.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March 31, 2020, management believes the impairments detailed in the table above are temporary and no impairment loss has been realized in the Company’s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LOANS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Loans are summarized by category as of the periods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658,195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303,116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212,912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97,586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2,108,805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(29,074)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(24,197)</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2,079,731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2,119,426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u w:val="single" w:color="auto"/>
          <w:color w:val="auto"/>
        </w:rPr>
        <w:t>Commercial – General and Specialized</w:t>
      </w:r>
      <w:r>
        <w:rPr>
          <w:rFonts w:ascii="Arial" w:cs="Arial" w:eastAsia="Arial" w:hAnsi="Arial"/>
          <w:sz w:val="19"/>
          <w:szCs w:val="19"/>
          <w:i w:val="1"/>
          <w:iCs w:val="1"/>
          <w:color w:val="auto"/>
        </w:rPr>
        <w:t xml:space="preserve"> </w:t>
      </w:r>
      <w:r>
        <w:rPr>
          <w:rFonts w:ascii="Arial" w:cs="Arial" w:eastAsia="Arial" w:hAnsi="Arial"/>
          <w:sz w:val="19"/>
          <w:szCs w:val="19"/>
          <w:color w:val="auto"/>
        </w:rPr>
        <w:t>– Commercial loans are underwritten after evaluating and understanding the borrower’s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200" w:lineRule="exact"/>
        <w:rPr>
          <w:sz w:val="20"/>
          <w:szCs w:val="20"/>
          <w:color w:val="auto"/>
        </w:rPr>
      </w:pP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u w:val="single" w:color="auto"/>
          <w:color w:val="auto"/>
        </w:rPr>
        <w:t>Commercial Real Estate</w:t>
      </w:r>
      <w:r>
        <w:rPr>
          <w:rFonts w:ascii="Arial" w:cs="Arial" w:eastAsia="Arial" w:hAnsi="Arial"/>
          <w:sz w:val="21"/>
          <w:szCs w:val="21"/>
          <w:i w:val="1"/>
          <w:iCs w:val="1"/>
          <w:color w:val="auto"/>
        </w:rPr>
        <w:t xml:space="preserve"> </w:t>
      </w:r>
      <w:r>
        <w:rPr>
          <w:rFonts w:ascii="Arial" w:cs="Arial" w:eastAsia="Arial" w:hAnsi="Arial"/>
          <w:sz w:val="21"/>
          <w:szCs w:val="21"/>
          <w:color w:val="auto"/>
        </w:rPr>
        <w:t>– Commercial real estate loans are also subject to underwriting standards and processes similar to</w:t>
      </w:r>
      <w:r>
        <w:rPr>
          <w:rFonts w:ascii="Arial" w:cs="Arial" w:eastAsia="Arial" w:hAnsi="Arial"/>
          <w:sz w:val="21"/>
          <w:szCs w:val="21"/>
          <w:i w:val="1"/>
          <w:iCs w:val="1"/>
          <w:color w:val="auto"/>
        </w:rPr>
        <w:t xml:space="preserve"> </w:t>
      </w:r>
      <w:r>
        <w:rPr>
          <w:rFonts w:ascii="Arial" w:cs="Arial" w:eastAsia="Arial" w:hAnsi="Arial"/>
          <w:sz w:val="21"/>
          <w:szCs w:val="21"/>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Construction</w:t>
      </w:r>
      <w:r>
        <w:rPr>
          <w:rFonts w:ascii="Arial" w:cs="Arial" w:eastAsia="Arial" w:hAnsi="Arial"/>
          <w:sz w:val="22"/>
          <w:szCs w:val="22"/>
          <w:i w:val="1"/>
          <w:iCs w:val="1"/>
          <w:color w:val="auto"/>
        </w:rPr>
        <w:t xml:space="preserve"> </w:t>
      </w:r>
      <w:r>
        <w:rPr>
          <w:rFonts w:ascii="Arial" w:cs="Arial" w:eastAsia="Arial" w:hAnsi="Arial"/>
          <w:sz w:val="22"/>
          <w:szCs w:val="22"/>
          <w:color w:val="auto"/>
        </w:rPr>
        <w:t>– Loans for residential construction are for single-family properties to developers, builders, or end-users. These</w:t>
      </w:r>
      <w:r>
        <w:rPr>
          <w:rFonts w:ascii="Arial" w:cs="Arial" w:eastAsia="Arial" w:hAnsi="Arial"/>
          <w:sz w:val="22"/>
          <w:szCs w:val="22"/>
          <w:i w:val="1"/>
          <w:iCs w:val="1"/>
          <w:color w:val="auto"/>
        </w:rPr>
        <w:t xml:space="preserve"> </w:t>
      </w:r>
      <w:r>
        <w:rPr>
          <w:rFonts w:ascii="Arial" w:cs="Arial" w:eastAsia="Arial" w:hAnsi="Arial"/>
          <w:sz w:val="22"/>
          <w:szCs w:val="22"/>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u w:val="single" w:color="auto"/>
          <w:color w:val="auto"/>
        </w:rPr>
        <w:t>Consumer</w:t>
      </w:r>
      <w:r>
        <w:rPr>
          <w:rFonts w:ascii="Arial" w:cs="Arial" w:eastAsia="Arial" w:hAnsi="Arial"/>
          <w:sz w:val="21"/>
          <w:szCs w:val="21"/>
          <w:i w:val="1"/>
          <w:iCs w:val="1"/>
          <w:color w:val="auto"/>
        </w:rPr>
        <w:t xml:space="preserve"> </w:t>
      </w:r>
      <w:r>
        <w:rPr>
          <w:rFonts w:ascii="Arial" w:cs="Arial" w:eastAsia="Arial" w:hAnsi="Arial"/>
          <w:sz w:val="21"/>
          <w:szCs w:val="21"/>
          <w:color w:val="auto"/>
        </w:rPr>
        <w:t>– Loans to consumers include 1-4 family residential loans, auto loans, and other loans for recreational vehicles or</w:t>
      </w:r>
      <w:r>
        <w:rPr>
          <w:rFonts w:ascii="Arial" w:cs="Arial" w:eastAsia="Arial" w:hAnsi="Arial"/>
          <w:sz w:val="21"/>
          <w:szCs w:val="21"/>
          <w:i w:val="1"/>
          <w:iCs w:val="1"/>
          <w:color w:val="auto"/>
        </w:rPr>
        <w:t xml:space="preserve"> </w:t>
      </w:r>
      <w:r>
        <w:rPr>
          <w:rFonts w:ascii="Arial" w:cs="Arial" w:eastAsia="Arial" w:hAnsi="Arial"/>
          <w:sz w:val="21"/>
          <w:szCs w:val="21"/>
          <w:color w:val="auto"/>
        </w:rPr>
        <w:t>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allowance for loan losses was $29.1 million at March 31, 2020, compared to $24.2 million at December 31, 2019. The allowance for loan losses to loans held for investment was 1.38% at March 31, 2020 and 1.13% at December 31, 2019. The increase in the allowance for loan losses from December 31, 2019 to March 31, 2020 is a result of economic effects from the COVID-19 pandemic as well as the decline in oil and gas prices. The full extent of the impact on the economy and the Company’s customers is unknown at this time. Accordingly, additional provisions for loan losses may be necessary in future periods.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details the activity in the allowance for loan losses. Allocation of a portion of the allowance to one category of loans does not preclude its availability to absorb losses in other categories.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6"/>
        </w:trPr>
        <w:tc>
          <w:tcPr>
            <w:tcW w:w="4620" w:type="dxa"/>
            <w:vAlign w:val="bottom"/>
            <w:gridSpan w:val="2"/>
          </w:tcPr>
          <w:p>
            <w:pPr>
              <w:spacing w:after="0" w:line="176" w:lineRule="exact"/>
              <w:rPr>
                <w:sz w:val="20"/>
                <w:szCs w:val="20"/>
                <w:color w:val="auto"/>
              </w:rPr>
            </w:pPr>
            <w:r>
              <w:rPr>
                <w:rFonts w:ascii="Arial" w:cs="Arial" w:eastAsia="Arial" w:hAnsi="Arial"/>
                <w:sz w:val="18"/>
                <w:szCs w:val="18"/>
                <w:color w:val="auto"/>
              </w:rPr>
              <w:t>For the three months ended March 31, 2020</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1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4,312</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 the three months ended March 31, 2019</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Commercial real estate</w:t>
            </w:r>
          </w:p>
        </w:tc>
        <w:tc>
          <w:tcPr>
            <w:tcW w:w="1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5,579</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108</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5,335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8,504</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22"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1-4 family residential</w:t>
            </w:r>
          </w:p>
        </w:tc>
        <w:tc>
          <w:tcPr>
            <w:tcW w:w="3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2,249</w:t>
            </w:r>
          </w:p>
        </w:tc>
        <w:tc>
          <w:tcPr>
            <w:tcW w:w="4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4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2,416</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 consumer</w:t>
            </w: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1,192</w:t>
            </w: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r>
      <w:tr>
        <w:trPr>
          <w:trHeight w:val="27"/>
        </w:trPr>
        <w:tc>
          <w:tcPr>
            <w:tcW w:w="46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23,126</w:t>
            </w:r>
          </w:p>
        </w:tc>
        <w:tc>
          <w:tcPr>
            <w:tcW w:w="2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23,381</w:t>
            </w:r>
          </w:p>
        </w:tc>
      </w:tr>
      <w:tr>
        <w:trPr>
          <w:trHeight w:val="20"/>
        </w:trPr>
        <w:tc>
          <w:tcPr>
            <w:tcW w:w="4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shows the Company’s investment in loans disaggregated based on the method of evaluating impairment: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Recorded Investment</w:t>
            </w:r>
          </w:p>
        </w:tc>
        <w:tc>
          <w:tcPr>
            <w:tcW w:w="1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Allowance for Loan Losses</w:t>
            </w:r>
          </w:p>
        </w:tc>
      </w:tr>
      <w:tr>
        <w:trPr>
          <w:trHeight w:val="198"/>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Collectively</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Evaluated</w:t>
            </w: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Evaluated</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Evaluated</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Evaluated</w:t>
            </w:r>
          </w:p>
        </w:tc>
      </w:tr>
      <w:tr>
        <w:trPr>
          <w:trHeight w:val="175"/>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March 31, 2020</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640,460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300,927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3,879</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423,659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7,854</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354,672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212,912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4,312</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97,586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6,427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2,102,378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28,272</w:t>
            </w:r>
          </w:p>
        </w:tc>
      </w:tr>
      <w:tr>
        <w:trPr>
          <w:trHeight w:val="21"/>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657,896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308,932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9,084</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215,209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82,520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2,139,456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23,672</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Impaired loan information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With No</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Allowance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March 31, 2020</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1,767</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w:t>
            </w: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7,289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4,309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6,596</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w:t>
            </w: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5,484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6,764</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All impaired loans $250,000 and greater were specifically evaluated for impairment. Interest income recognized using a cash-basis method on impaired loans for the three-month period ended March 31, 2020 and the year ended December 31, 2019 was not significant. Additional funds committed to be advanced on impaired loans are not significant.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provides an age analysis on accruing past-due loans and nonaccrual loans: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30-89 Days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Past Due</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More Past Due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Nonaccrual</w:t>
            </w: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March 31, 2020</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8,872</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r>
      <w:tr>
        <w:trPr>
          <w:trHeight w:val="21"/>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7,179</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4,693</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internal classifications of loans: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Substandard</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Doubtful</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6"/>
        </w:trPr>
        <w:tc>
          <w:tcPr>
            <w:tcW w:w="4620" w:type="dxa"/>
            <w:vAlign w:val="bottom"/>
            <w:gridSpan w:val="3"/>
          </w:tcPr>
          <w:p>
            <w:pPr>
              <w:spacing w:after="0" w:line="176" w:lineRule="exact"/>
              <w:rPr>
                <w:sz w:val="20"/>
                <w:szCs w:val="20"/>
                <w:color w:val="auto"/>
              </w:rPr>
            </w:pPr>
            <w:r>
              <w:rPr>
                <w:rFonts w:ascii="Arial" w:cs="Arial" w:eastAsia="Arial" w:hAnsi="Arial"/>
                <w:sz w:val="18"/>
                <w:szCs w:val="18"/>
                <w:color w:val="auto"/>
              </w:rPr>
              <w:t>March 31, 2020</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20,926</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641,739</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283,187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19,929</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303,116</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424,750</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356,540</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212,094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212,912</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71,878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72,162</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97,586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97,586</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2,048,764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20,926</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39,115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2,108,805</w:t>
            </w: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46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22,313</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307,239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2,266</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214,363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2,095,056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22,313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26,254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2,143,623</w:t>
            </w:r>
          </w:p>
        </w:tc>
      </w:tr>
      <w:tr>
        <w:trPr>
          <w:trHeight w:val="21"/>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Under section 4013 of the CARES Act, banks may elect to deem that loan modifications do not result in a TDR if they are (1) related to the COVID-19 pandemic; (2) executed on a loan that was not more than 30 days past due as of December 31, 2019; and (3) executed between March 1, 2020, and the earlier of (A) 60 days after the date of termination of the national emergency or (B) December 31, 2020. The Company had not made an election as of March, 31, 2020.</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Additionally, other short-term modifications made on a good faith basis in response to the COVID-19 pandemic to borrowers who were current prior to any relief are not TDRs under ASC Subtopic 310-40 and the Joint Interagency Regulatory Guidance. This includes short-term (e.g., up to six months) modifications such as payment deferrals, fee waivers, extensions of repayment terms, or delays in payment that are insignificant. Borrowers considered current are those that are less than 30 days past due on their contractual payments at the time a modification program is implemented.</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response to the COVID-19 pandemic, the Company has implemented a short-term deferral modification program that complies with ASC Subtopic 310-40 and the Joint Interagency Regulatory Guidance. As such, there were no loans modified as troubled debt restructurings during the three-month period ended March 31, 2020 and the year ended December 31, 2019.</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GOODWILL AND INTANGIBLES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Goodwill and other intangible assets are summarized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goodwill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Arising from business combinations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Measurement period acquisition adjustment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goodwill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19,968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Customer relationship intangibles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6,679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6,679</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intangibles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23"/>
        </w:trPr>
        <w:tc>
          <w:tcPr>
            <w:tcW w:w="86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841"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41"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BORROWING ARRANGEMENTS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Subordinated debt securities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expiration of the fixed rate periods, all securities will float at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STOCK-BASED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Equity Incentive Plan</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fair value of each option award is estimated on the date of grant using a closed form option valuation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Options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summary of activity in the Plan during the three months ended March 31, 2020 is presented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Weighted-Average</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Remaining Contractual</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2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2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Life in 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175"/>
        </w:trPr>
        <w:tc>
          <w:tcPr>
            <w:tcW w:w="5080" w:type="dxa"/>
            <w:vAlign w:val="bottom"/>
            <w:gridSpan w:val="2"/>
          </w:tcPr>
          <w:p>
            <w:pPr>
              <w:spacing w:after="0" w:line="176" w:lineRule="exact"/>
              <w:rPr>
                <w:sz w:val="20"/>
                <w:szCs w:val="20"/>
                <w:color w:val="auto"/>
              </w:rPr>
            </w:pPr>
            <w:r>
              <w:rPr>
                <w:rFonts w:ascii="Arial" w:cs="Arial" w:eastAsia="Arial" w:hAnsi="Arial"/>
                <w:sz w:val="18"/>
                <w:szCs w:val="18"/>
                <w:color w:val="auto"/>
              </w:rPr>
              <w:t>Three Months Ended March 31, 2020</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7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1,462,997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248,966</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20.93</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1,711,112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4,097</w:t>
            </w:r>
          </w:p>
        </w:tc>
      </w:tr>
      <w:tr>
        <w:trPr>
          <w:trHeight w:val="209"/>
        </w:trPr>
        <w:tc>
          <w:tcPr>
            <w:tcW w:w="272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1,094,992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4,097</w:t>
            </w:r>
          </w:p>
        </w:tc>
      </w:tr>
      <w:tr>
        <w:trPr>
          <w:trHeight w:val="210"/>
        </w:trPr>
        <w:tc>
          <w:tcPr>
            <w:tcW w:w="272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1,091,586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4,097</w:t>
            </w:r>
          </w:p>
        </w:tc>
      </w:tr>
      <w:tr>
        <w:trPr>
          <w:trHeight w:val="589"/>
        </w:trPr>
        <w:tc>
          <w:tcPr>
            <w:tcW w:w="272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17</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72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A summary of assumptions used to calculate the fair values of the awards granted during the periods noted is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0.70%</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 years</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w:t>
            </w:r>
          </w:p>
        </w:tc>
      </w:tr>
    </w:tbl>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total intrinsic value of options exercised during the three months ended March 31, 2020 was $4,000. There were no options exercised during the three months ended March 31, 2019.</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January 16, 2019, the Company approved the conversion of its previously issued stock appreciation rights (“SARs”) to stock options. There were 1,401,000 outstanding SARs that were converted effective as of May 6, 2019. The fair value of the SARs was $11.5 million at the conversion date. During the modification of these awards from liabilities to equity, the Company accelerated the expiration date, between two and four years, on 750,000 of the stock options. As a result, the fair value of the stock options after modification was $11.2 million. However, since the fair value of the new equity awards was less than the fair value of the liability awards, no adjustment was made to the Company’s income statement. The $11.5 million was reclassified from liabilities to equity upon conversion on May 6, 2019.</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Units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summary of activity in the Plan during the three months ended March 31, 2020 is presented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2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27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175"/>
        </w:trPr>
        <w:tc>
          <w:tcPr>
            <w:tcW w:w="8400" w:type="dxa"/>
            <w:vAlign w:val="bottom"/>
            <w:gridSpan w:val="2"/>
          </w:tcPr>
          <w:p>
            <w:pPr>
              <w:spacing w:after="0" w:line="176" w:lineRule="exact"/>
              <w:rPr>
                <w:sz w:val="20"/>
                <w:szCs w:val="20"/>
                <w:color w:val="auto"/>
              </w:rPr>
            </w:pPr>
            <w:r>
              <w:rPr>
                <w:rFonts w:ascii="Arial" w:cs="Arial" w:eastAsia="Arial" w:hAnsi="Arial"/>
                <w:sz w:val="18"/>
                <w:szCs w:val="18"/>
                <w:color w:val="auto"/>
              </w:rPr>
              <w:t>Three Months Ended March 31, 2020</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72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r>
      <w:tr>
        <w:trPr>
          <w:trHeight w:val="216"/>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5,970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(24,694)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w:t>
            </w:r>
          </w:p>
        </w:tc>
      </w:tr>
      <w:tr>
        <w:trPr>
          <w:trHeight w:val="22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72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Balance, March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62,476</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r>
      <w:tr>
        <w:trPr>
          <w:trHeight w:val="21"/>
        </w:trPr>
        <w:tc>
          <w:tcPr>
            <w:tcW w:w="2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Restricted stock units granted under the Plan typically vest over five years, but vesting periods may vary. Compensation expense for these grants will be recognized over the vesting period of the awards based on the fair value of the stock at the issue date.</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total unrecognized compensation cost for the awards outstanding under the Plan at March 31, 2020 was $3.9 million and will be recognized over a weighted average remaining period of 2.05 years. The total fair value of restricted stock units vested during the three months ended March 31, 2019 was $489,000. There was no vesting of restricted stock units during the three months ended March 31,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COMMITMENTS AND CONTINGENCIES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u w:val="single" w:color="auto"/>
          <w:color w:val="auto"/>
        </w:rPr>
        <w:t>Financial instruments with off-balance-sheet risk</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is a party to financial instruments with off-balance-sheet risk in</w:t>
      </w:r>
      <w:r>
        <w:rPr>
          <w:rFonts w:ascii="Arial" w:cs="Arial" w:eastAsia="Arial" w:hAnsi="Arial"/>
          <w:sz w:val="21"/>
          <w:szCs w:val="21"/>
          <w:i w:val="1"/>
          <w:iCs w:val="1"/>
          <w:color w:val="auto"/>
        </w:rPr>
        <w:t xml:space="preserve"> </w:t>
      </w:r>
      <w:r>
        <w:rPr>
          <w:rFonts w:ascii="Arial" w:cs="Arial" w:eastAsia="Arial" w:hAnsi="Arial"/>
          <w:sz w:val="21"/>
          <w:szCs w:val="21"/>
          <w:color w:val="auto"/>
        </w:rPr>
        <w:t>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Financial instruments whose contract amounts represent credit risk outstanding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409,969</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12,036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10,748</w:t>
            </w:r>
          </w:p>
        </w:tc>
      </w:tr>
    </w:tbl>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ectPr>
          <w:pgSz w:w="11900" w:h="16838" w:orient="portrait"/>
          <w:cols w:equalWidth="0" w:num="1">
            <w:col w:w="11240"/>
          </w:cols>
          <w:pgMar w:left="320" w:top="121" w:right="339" w:bottom="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Litigation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is a defendant in legal actions arising from time to time in the ordinary course of business.</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believes that the aggregate ultimate liability, if any, arising from these matters will not materially affect the Company’s consolidated financial statements.</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u w:val="single" w:color="auto"/>
          <w:color w:val="auto"/>
        </w:rPr>
        <w:t>Federal Home Loan Bank (“FHLB”) Letters of Credit</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uses FHLB letters of credit to pledge to certain public</w:t>
      </w:r>
      <w:r>
        <w:rPr>
          <w:rFonts w:ascii="Arial" w:cs="Arial" w:eastAsia="Arial" w:hAnsi="Arial"/>
          <w:sz w:val="19"/>
          <w:szCs w:val="19"/>
          <w:i w:val="1"/>
          <w:iCs w:val="1"/>
          <w:color w:val="auto"/>
        </w:rPr>
        <w:t xml:space="preserve"> </w:t>
      </w:r>
      <w:r>
        <w:rPr>
          <w:rFonts w:ascii="Arial" w:cs="Arial" w:eastAsia="Arial" w:hAnsi="Arial"/>
          <w:sz w:val="19"/>
          <w:szCs w:val="19"/>
          <w:color w:val="auto"/>
        </w:rPr>
        <w:t>deposits. The balance of these FHLB letters of credit was $199.0 million at March 31, 2020 and December 31,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CAPITAL AND REGULATORY MATTERS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July 2013, the Board of Governors of the Federal Reserve System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Common Equity Tier 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Quantitative measures established by regulation to ensure capital adequacy require the Company and its bank subsidiary to maintain minimum amounts and ratios (set forth in the following table) of total, Tier 1 and CET1 capital (as defined in the regulations) to risk-weighted assets (as defined) and of Tier 1 capital (as defined) to average assets (as defined). Management believes, as of March 31, 2020 and December 31, 2019, that the Company and its bank subsidiary met all capital adequacy requirements to which they are subject.</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March 31, 2020, the bank subsidiary was well capitalized under the regulatory framework for prompt corrective action. To be categorized as well capitalized, an institution must maintain minimum total risk-based, Tier 1 risk-based, CET1 and Tier 1 leverage ratios as set forth in the following tables. There are no conditions or events since March 31, 2020 that management believes have changed the bank subsidiary’s category.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its bank subsidiary’s actual capital amounts and ratios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To Be Well Capitalized</w:t>
            </w:r>
          </w:p>
        </w:tc>
      </w:tr>
      <w:tr>
        <w:trPr>
          <w:trHeight w:val="216"/>
        </w:trPr>
        <w:tc>
          <w:tcPr>
            <w:tcW w:w="1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Under Prompt Corrective</w:t>
            </w:r>
          </w:p>
        </w:tc>
      </w:tr>
      <w:tr>
        <w:trPr>
          <w:trHeight w:val="241"/>
        </w:trPr>
        <w:tc>
          <w:tcPr>
            <w:tcW w:w="1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Fully Phased-In</w:t>
            </w:r>
          </w:p>
        </w:tc>
        <w:tc>
          <w:tcPr>
            <w:tcW w:w="160" w:type="dxa"/>
            <w:vAlign w:val="bottom"/>
          </w:tcPr>
          <w:p>
            <w:pPr>
              <w:spacing w:after="0"/>
              <w:rPr>
                <w:sz w:val="20"/>
                <w:szCs w:val="20"/>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Action Provisions</w:t>
            </w:r>
          </w:p>
        </w:tc>
      </w:tr>
      <w:tr>
        <w:trPr>
          <w:trHeight w:val="223"/>
        </w:trPr>
        <w:tc>
          <w:tcPr>
            <w:tcW w:w="11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175"/>
        </w:trPr>
        <w:tc>
          <w:tcPr>
            <w:tcW w:w="11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1"/>
              </w:rPr>
              <w:t>March 31, 2020</w:t>
            </w:r>
          </w:p>
        </w:tc>
        <w:tc>
          <w:tcPr>
            <w:tcW w:w="20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3240" w:type="dxa"/>
            <w:vAlign w:val="bottom"/>
            <w:gridSpan w:val="2"/>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384,538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265,086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375,390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265,042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252,421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328,812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214,594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346,136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214,558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201,937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gridSpan w:val="2"/>
          </w:tcPr>
          <w:p>
            <w:pPr>
              <w:spacing w:after="0" w:line="201" w:lineRule="exact"/>
              <w:rPr>
                <w:sz w:val="20"/>
                <w:szCs w:val="20"/>
                <w:color w:val="auto"/>
              </w:rPr>
            </w:pPr>
            <w:r>
              <w:rPr>
                <w:rFonts w:ascii="Arial" w:cs="Arial" w:eastAsia="Arial" w:hAnsi="Arial"/>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283,812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176,724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346,136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176,695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164,074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328,812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127,209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346,136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10.89%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128,260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158,916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1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u w:val="single" w:color="auto"/>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Capital to Risk Weighted Assets:</w:t>
      </w:r>
    </w:p>
    <w:p>
      <w:pPr>
        <w:sectPr>
          <w:pgSz w:w="11900" w:h="16838" w:orient="portrait"/>
          <w:cols w:equalWidth="0" w:num="1">
            <w:col w:w="11240"/>
          </w:cols>
          <w:pgMar w:left="320" w:top="121" w:right="3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Consolidated</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373,684</w:t>
            </w:r>
          </w:p>
        </w:tc>
        <w:tc>
          <w:tcPr>
            <w:tcW w:w="1060" w:type="dxa"/>
            <w:vAlign w:val="bottom"/>
          </w:tcPr>
          <w:p>
            <w:pPr>
              <w:jc w:val="right"/>
              <w:spacing w:after="0"/>
              <w:rPr>
                <w:sz w:val="20"/>
                <w:szCs w:val="20"/>
                <w:color w:val="auto"/>
              </w:rPr>
            </w:pPr>
            <w:r>
              <w:rPr>
                <w:rFonts w:ascii="Arial" w:cs="Arial" w:eastAsia="Arial" w:hAnsi="Arial"/>
                <w:sz w:val="18"/>
                <w:szCs w:val="18"/>
                <w:color w:val="auto"/>
              </w:rPr>
              <w:t>14.88%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263,769</w:t>
            </w:r>
          </w:p>
        </w:tc>
        <w:tc>
          <w:tcPr>
            <w:tcW w:w="1060" w:type="dxa"/>
            <w:vAlign w:val="bottom"/>
          </w:tcPr>
          <w:p>
            <w:pPr>
              <w:jc w:val="right"/>
              <w:spacing w:after="0"/>
              <w:rPr>
                <w:sz w:val="20"/>
                <w:szCs w:val="20"/>
                <w:color w:val="auto"/>
              </w:rPr>
            </w:pPr>
            <w:r>
              <w:rPr>
                <w:rFonts w:ascii="Arial" w:cs="Arial" w:eastAsia="Arial" w:hAnsi="Arial"/>
                <w:sz w:val="18"/>
                <w:szCs w:val="18"/>
                <w:color w:val="auto"/>
              </w:rPr>
              <w:t>10.50%</w:t>
            </w:r>
          </w:p>
        </w:tc>
        <w:tc>
          <w:tcPr>
            <w:tcW w:w="38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368,322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263,702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251,145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Consolidated</w:t>
            </w:r>
          </w:p>
        </w:tc>
        <w:tc>
          <w:tcPr>
            <w:tcW w:w="4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322,835</w:t>
            </w:r>
          </w:p>
        </w:tc>
        <w:tc>
          <w:tcPr>
            <w:tcW w:w="1060" w:type="dxa"/>
            <w:vAlign w:val="bottom"/>
          </w:tcPr>
          <w:p>
            <w:pPr>
              <w:jc w:val="right"/>
              <w:spacing w:after="0"/>
              <w:rPr>
                <w:sz w:val="20"/>
                <w:szCs w:val="20"/>
                <w:color w:val="auto"/>
              </w:rPr>
            </w:pPr>
            <w:r>
              <w:rPr>
                <w:rFonts w:ascii="Arial" w:cs="Arial" w:eastAsia="Arial" w:hAnsi="Arial"/>
                <w:sz w:val="18"/>
                <w:szCs w:val="18"/>
                <w:color w:val="auto"/>
              </w:rPr>
              <w:t>12.85%</w:t>
            </w:r>
          </w:p>
        </w:tc>
        <w:tc>
          <w:tcPr>
            <w:tcW w:w="3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213,527</w:t>
            </w:r>
          </w:p>
        </w:tc>
        <w:tc>
          <w:tcPr>
            <w:tcW w:w="1060" w:type="dxa"/>
            <w:vAlign w:val="bottom"/>
          </w:tcPr>
          <w:p>
            <w:pPr>
              <w:jc w:val="right"/>
              <w:spacing w:after="0"/>
              <w:rPr>
                <w:sz w:val="20"/>
                <w:szCs w:val="20"/>
                <w:color w:val="auto"/>
              </w:rPr>
            </w:pPr>
            <w:r>
              <w:rPr>
                <w:rFonts w:ascii="Arial" w:cs="Arial" w:eastAsia="Arial" w:hAnsi="Arial"/>
                <w:sz w:val="18"/>
                <w:szCs w:val="18"/>
                <w:color w:val="auto"/>
              </w:rPr>
              <w:t>8.50%</w:t>
            </w:r>
          </w:p>
        </w:tc>
        <w:tc>
          <w:tcPr>
            <w:tcW w:w="3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343,945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213,473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200,916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Equity Tier 1 to Risk Weighted</w:t>
            </w: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Consolidated</w:t>
            </w:r>
          </w:p>
        </w:tc>
        <w:tc>
          <w:tcPr>
            <w:tcW w:w="4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277,835</w:t>
            </w:r>
          </w:p>
        </w:tc>
        <w:tc>
          <w:tcPr>
            <w:tcW w:w="1060" w:type="dxa"/>
            <w:vAlign w:val="bottom"/>
          </w:tcPr>
          <w:p>
            <w:pPr>
              <w:jc w:val="right"/>
              <w:spacing w:after="0"/>
              <w:rPr>
                <w:sz w:val="20"/>
                <w:szCs w:val="20"/>
                <w:color w:val="auto"/>
              </w:rPr>
            </w:pPr>
            <w:r>
              <w:rPr>
                <w:rFonts w:ascii="Arial" w:cs="Arial" w:eastAsia="Arial" w:hAnsi="Arial"/>
                <w:sz w:val="18"/>
                <w:szCs w:val="18"/>
                <w:color w:val="auto"/>
              </w:rPr>
              <w:t>11.06%</w:t>
            </w:r>
          </w:p>
        </w:tc>
        <w:tc>
          <w:tcPr>
            <w:tcW w:w="3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175,846</w:t>
            </w: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c>
          <w:tcPr>
            <w:tcW w:w="3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343,945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175,801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163,244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16"/>
        </w:trPr>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Consolidated</w:t>
            </w:r>
          </w:p>
        </w:tc>
        <w:tc>
          <w:tcPr>
            <w:tcW w:w="4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322,835</w:t>
            </w:r>
          </w:p>
        </w:tc>
        <w:tc>
          <w:tcPr>
            <w:tcW w:w="1060" w:type="dxa"/>
            <w:vAlign w:val="bottom"/>
          </w:tcPr>
          <w:p>
            <w:pPr>
              <w:jc w:val="right"/>
              <w:spacing w:after="0"/>
              <w:rPr>
                <w:sz w:val="20"/>
                <w:szCs w:val="20"/>
                <w:color w:val="auto"/>
              </w:rPr>
            </w:pPr>
            <w:r>
              <w:rPr>
                <w:rFonts w:ascii="Arial" w:cs="Arial" w:eastAsia="Arial" w:hAnsi="Arial"/>
                <w:sz w:val="18"/>
                <w:szCs w:val="18"/>
                <w:color w:val="auto"/>
              </w:rPr>
              <w:t>10.74%</w:t>
            </w:r>
          </w:p>
        </w:tc>
        <w:tc>
          <w:tcPr>
            <w:tcW w:w="3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120,219</w:t>
            </w: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N/A</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343,945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121,235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150,175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596"/>
        </w:trPr>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19</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
        </w:trPr>
        <w:tc>
          <w:tcPr>
            <w:tcW w:w="3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DERIVATIVES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utilizes interest rate and cash flow swap agreements as part of its asset-liability management strategy to help manage its interest rate and cash flow risk position. The notional amount of the interest rate and cash flow swaps do not represent amounts exchanged by the parties. The amount exchanged is determined by reference to the notional amounts and the other terms of the individual interest rate and cash flow swap agreements.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reflects the fair value hedges included in the 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10,464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reflects the cash flow hedges included in the 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4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4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0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flow swaps related to state and municipal securities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123,760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Cash flow swaps related to state and municipal securities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581"/>
        </w:trPr>
        <w:tc>
          <w:tcPr>
            <w:tcW w:w="4920" w:type="dxa"/>
            <w:vAlign w:val="bottom"/>
          </w:tcPr>
          <w:p>
            <w:pPr>
              <w:spacing w:after="0"/>
              <w:rPr>
                <w:sz w:val="24"/>
                <w:szCs w:val="24"/>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Mortgage banking derivatives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reflects the amount and fair value of mortgage banking derivatives in the consolidated balance sheets: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4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4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Included in other assets:</w:t>
            </w:r>
          </w:p>
        </w:tc>
        <w:tc>
          <w:tcPr>
            <w:tcW w:w="10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223,919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4,470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52,875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4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340"/>
              <w:spacing w:after="0"/>
              <w:rPr>
                <w:sz w:val="20"/>
                <w:szCs w:val="20"/>
                <w:color w:val="auto"/>
              </w:rPr>
            </w:pPr>
            <w:r>
              <w:rPr>
                <w:rFonts w:ascii="Arial" w:cs="Arial" w:eastAsia="Arial" w:hAnsi="Arial"/>
                <w:sz w:val="18"/>
                <w:szCs w:val="18"/>
                <w:color w:val="auto"/>
              </w:rPr>
              <w:t>Total included in other assets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223,919</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52,875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
        </w:trPr>
        <w:tc>
          <w:tcPr>
            <w:tcW w:w="4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171,034</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58,948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23"/>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lock commitments</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included in other liabilities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171,034</w:t>
            </w: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589"/>
        </w:trPr>
        <w:tc>
          <w:tcPr>
            <w:tcW w:w="49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jc w:val="right"/>
              <w:ind w:right="194"/>
              <w:spacing w:after="0"/>
              <w:rPr>
                <w:sz w:val="20"/>
                <w:szCs w:val="20"/>
                <w:color w:val="auto"/>
              </w:rPr>
            </w:pPr>
            <w:r>
              <w:rPr>
                <w:rFonts w:ascii="Arial" w:cs="Arial" w:eastAsia="Arial" w:hAnsi="Arial"/>
                <w:sz w:val="14"/>
                <w:szCs w:val="14"/>
                <w:color w:val="auto"/>
              </w:rPr>
              <w:t>21</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EARNINGS PER SHARE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factors used in the earnings per share computation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18,043,105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14,771,520</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Stock-based compensation awards</w:t>
            </w:r>
          </w:p>
        </w:tc>
        <w:tc>
          <w:tcPr>
            <w:tcW w:w="20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418,817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18,461,922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14,771,558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496"/>
        </w:trPr>
        <w:tc>
          <w:tcPr>
            <w:tcW w:w="5320" w:type="dxa"/>
            <w:vAlign w:val="bottom"/>
            <w:gridSpan w:val="2"/>
          </w:tcPr>
          <w:p>
            <w:pPr>
              <w:spacing w:after="0"/>
              <w:rPr>
                <w:sz w:val="20"/>
                <w:szCs w:val="20"/>
                <w:color w:val="auto"/>
              </w:rPr>
            </w:pPr>
            <w:r>
              <w:rPr>
                <w:rFonts w:ascii="Arial" w:cs="Arial" w:eastAsia="Arial" w:hAnsi="Arial"/>
                <w:sz w:val="22"/>
                <w:szCs w:val="22"/>
                <w:b w:val="1"/>
                <w:bCs w:val="1"/>
                <w:color w:val="auto"/>
              </w:rPr>
              <w:t>11. SEGMENT INFORMATION</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320" w:type="dxa"/>
            <w:vAlign w:val="bottom"/>
            <w:gridSpan w:val="2"/>
          </w:tcPr>
          <w:p>
            <w:pPr>
              <w:spacing w:after="0"/>
              <w:rPr>
                <w:sz w:val="20"/>
                <w:szCs w:val="20"/>
                <w:color w:val="auto"/>
              </w:rPr>
            </w:pPr>
            <w:r>
              <w:rPr>
                <w:rFonts w:ascii="Arial" w:cs="Arial" w:eastAsia="Arial" w:hAnsi="Arial"/>
                <w:sz w:val="22"/>
                <w:szCs w:val="22"/>
                <w:color w:val="auto"/>
                <w:w w:val="92"/>
              </w:rPr>
              <w:t>Financial results by reportable segment are detailed below:</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320" w:type="dxa"/>
            <w:vAlign w:val="bottom"/>
            <w:gridSpan w:val="2"/>
          </w:tcPr>
          <w:p>
            <w:pPr>
              <w:spacing w:after="0"/>
              <w:rPr>
                <w:sz w:val="20"/>
                <w:szCs w:val="20"/>
                <w:color w:val="auto"/>
              </w:rPr>
            </w:pPr>
            <w:r>
              <w:rPr>
                <w:rFonts w:ascii="Arial" w:cs="Arial" w:eastAsia="Arial" w:hAnsi="Arial"/>
                <w:sz w:val="18"/>
                <w:szCs w:val="18"/>
                <w:color w:val="auto"/>
              </w:rPr>
              <w:t>Three Months Ended March 31, 2020</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8"/>
              </w:rPr>
              <w:t>Banking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Insurance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8"/>
        </w:trPr>
        <w:tc>
          <w:tcPr>
            <w:tcW w:w="2720" w:type="dxa"/>
            <w:vAlign w:val="bottom"/>
            <w:tcBorders>
              <w:top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(6,234)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17,761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18,875</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(32,831)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(1,180)</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(34,011)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8,895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320" w:type="dxa"/>
            <w:vAlign w:val="bottom"/>
            <w:gridSpan w:val="2"/>
          </w:tcPr>
          <w:p>
            <w:pPr>
              <w:spacing w:after="0"/>
              <w:rPr>
                <w:sz w:val="20"/>
                <w:szCs w:val="20"/>
                <w:color w:val="auto"/>
              </w:rPr>
            </w:pPr>
            <w:r>
              <w:rPr>
                <w:rFonts w:ascii="Arial" w:cs="Arial" w:eastAsia="Arial" w:hAnsi="Arial"/>
                <w:sz w:val="18"/>
                <w:szCs w:val="18"/>
                <w:color w:val="auto"/>
              </w:rPr>
              <w:t>Three Months Ended March 31, 2019</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8"/>
              </w:rPr>
              <w:t>Banking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Insurance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8"/>
        </w:trPr>
        <w:tc>
          <w:tcPr>
            <w:tcW w:w="2720" w:type="dxa"/>
            <w:vAlign w:val="bottom"/>
            <w:tcBorders>
              <w:top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24,546</w:t>
            </w:r>
          </w:p>
        </w:tc>
        <w:tc>
          <w:tcPr>
            <w:tcW w:w="2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(29,073)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(963)</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(30,036)</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4,096</w:t>
            </w:r>
          </w:p>
        </w:tc>
        <w:tc>
          <w:tcPr>
            <w:tcW w:w="2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0" w:type="dxa"/>
            <w:vAlign w:val="bottom"/>
            <w:vMerge w:val="restart"/>
          </w:tcPr>
          <w:p>
            <w:pPr>
              <w:jc w:val="right"/>
              <w:ind w:right="1539"/>
              <w:spacing w:after="0"/>
              <w:rPr>
                <w:sz w:val="20"/>
                <w:szCs w:val="20"/>
                <w:color w:val="auto"/>
              </w:rPr>
            </w:pPr>
            <w:r>
              <w:rPr>
                <w:rFonts w:ascii="Arial" w:cs="Arial" w:eastAsia="Arial" w:hAnsi="Arial"/>
                <w:sz w:val="14"/>
                <w:szCs w:val="14"/>
                <w:color w:val="auto"/>
              </w:rPr>
              <w:t>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72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FAIR VALUE DISCLOSURES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22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2"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an entity’s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assets or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fair value measurements: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5"/>
        </w:trPr>
        <w:tc>
          <w:tcPr>
            <w:tcW w:w="11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1"/>
              </w:rPr>
              <w:t>March 31, 2020</w:t>
            </w:r>
          </w:p>
        </w:tc>
        <w:tc>
          <w:tcPr>
            <w:tcW w:w="4820" w:type="dxa"/>
            <w:vAlign w:val="bottom"/>
            <w:gridSpan w:val="2"/>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3"/>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209,654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209,654</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376,081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376,081</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107,410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107,410</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36,811</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46,409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46,409</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4,470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4,470</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(5,517)</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5,625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5,625</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Loans held for sale (best efforts)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16,554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16,554</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94,692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94,692</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464,516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464,516</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107,289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107,289</w:t>
            </w: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36,346</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32,809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Impaired loans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3,642</w:t>
            </w: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w:t>
            </w: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Loans held for sale (best efforts)</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16,226</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16,226</w:t>
            </w:r>
          </w:p>
        </w:tc>
      </w:tr>
    </w:tbl>
    <w:p>
      <w:pPr>
        <w:sectPr>
          <w:pgSz w:w="11900" w:h="16838" w:orient="portrait"/>
          <w:cols w:equalWidth="0" w:num="1">
            <w:col w:w="11240"/>
          </w:cols>
          <w:pgMar w:left="320" w:top="121" w:right="339" w:bottom="0" w:gutter="0" w:footer="0" w:header="0"/>
        </w:sectPr>
      </w:pPr>
    </w:p>
    <w:bookmarkStart w:id="26" w:name="page27"/>
    <w:bookmarkEnd w:id="26"/>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w:t>
      </w:r>
      <w:r>
        <w:rPr>
          <w:rFonts w:ascii="Arial" w:cs="Arial" w:eastAsia="Arial" w:hAnsi="Arial"/>
          <w:sz w:val="22"/>
          <w:szCs w:val="22"/>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u w:val="single" w:color="auto"/>
          <w:color w:val="auto"/>
        </w:rPr>
        <w:t>Loans held for sale (mandatory)</w:t>
      </w:r>
      <w:r>
        <w:rPr>
          <w:rFonts w:ascii="Arial" w:cs="Arial" w:eastAsia="Arial" w:hAnsi="Arial"/>
          <w:sz w:val="22"/>
          <w:szCs w:val="22"/>
          <w:color w:val="auto"/>
        </w:rPr>
        <w:t xml:space="preserve"> – Loans held for sale originated for mandatory delivery are reported at fair value. Fair value is determined using quoted prices for similar assets, adjusted for specific attributes of that loan.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Mortgage servicing rights</w:t>
      </w:r>
      <w:r>
        <w:rPr>
          <w:rFonts w:ascii="Arial" w:cs="Arial" w:eastAsia="Arial" w:hAnsi="Arial"/>
          <w:sz w:val="22"/>
          <w:szCs w:val="22"/>
          <w:color w:val="auto"/>
        </w:rPr>
        <w:t xml:space="preserve"> – Mortgage servicing rights are reported at fair value. Fair value is based on market prices for comparable mortgage servicing contracts.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Derivatives</w:t>
      </w:r>
      <w:r>
        <w:rPr>
          <w:rFonts w:ascii="Arial" w:cs="Arial" w:eastAsia="Arial" w:hAnsi="Arial"/>
          <w:sz w:val="19"/>
          <w:szCs w:val="19"/>
          <w:color w:val="auto"/>
        </w:rPr>
        <w:t xml:space="preserve"> – Fair value of derivatives is based on valuation models using observable market data as of the measurement date.</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Impaired loans</w:t>
      </w:r>
      <w:r>
        <w:rPr>
          <w:rFonts w:ascii="Arial" w:cs="Arial" w:eastAsia="Arial" w:hAnsi="Arial"/>
          <w:sz w:val="22"/>
          <w:szCs w:val="22"/>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Foreclosed assets</w:t>
      </w:r>
      <w:r>
        <w:rPr>
          <w:rFonts w:ascii="Arial" w:cs="Arial" w:eastAsia="Arial" w:hAnsi="Arial"/>
          <w:sz w:val="22"/>
          <w:szCs w:val="22"/>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Loans held for sale (best efforts)</w:t>
      </w:r>
      <w:r>
        <w:rPr>
          <w:rFonts w:ascii="Arial" w:cs="Arial" w:eastAsia="Arial" w:hAnsi="Arial"/>
          <w:sz w:val="22"/>
          <w:szCs w:val="22"/>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quantitative information about non-recurring Level 3 fair value measurements: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Range of</w:t>
            </w: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4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5"/>
              </w:rPr>
              <w:t>Techniques</w:t>
            </w:r>
          </w:p>
        </w:tc>
        <w:tc>
          <w:tcPr>
            <w:tcW w:w="10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Discounts</w:t>
            </w:r>
          </w:p>
        </w:tc>
      </w:tr>
      <w:tr>
        <w:trPr>
          <w:trHeight w:val="175"/>
        </w:trPr>
        <w:tc>
          <w:tcPr>
            <w:tcW w:w="2320" w:type="dxa"/>
            <w:vAlign w:val="bottom"/>
            <w:gridSpan w:val="3"/>
          </w:tcPr>
          <w:p>
            <w:pPr>
              <w:spacing w:after="0" w:line="176" w:lineRule="exact"/>
              <w:rPr>
                <w:sz w:val="20"/>
                <w:szCs w:val="20"/>
                <w:color w:val="auto"/>
              </w:rPr>
            </w:pPr>
            <w:r>
              <w:rPr>
                <w:rFonts w:ascii="Arial" w:cs="Arial" w:eastAsia="Arial" w:hAnsi="Arial"/>
                <w:sz w:val="18"/>
                <w:szCs w:val="18"/>
                <w:color w:val="auto"/>
              </w:rPr>
              <w:t>March 31, 2020</w:t>
            </w:r>
          </w:p>
        </w:tc>
        <w:tc>
          <w:tcPr>
            <w:tcW w:w="6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5,625</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1,944</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23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2019</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3,642</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1,883</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6"/>
              </w:rPr>
              <w:t>Third party appraisals or inspections</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estimated fair values, and related carrying amounts, of the Company’s financial instruments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391"/>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March 31, 2020</w:t>
            </w:r>
          </w:p>
        </w:tc>
        <w:tc>
          <w:tcPr>
            <w:tcW w:w="3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136,062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136,062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136,062</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2,079,731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2,083,267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2,083,267</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11,015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11,015</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69,756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69,756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69,756</w:t>
            </w:r>
          </w:p>
        </w:tc>
      </w:tr>
      <w:tr>
        <w:trPr>
          <w:trHeight w:val="216"/>
        </w:trPr>
        <w:tc>
          <w:tcPr>
            <w:tcW w:w="11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2,665,848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2,481,434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184,414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2,665,848</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2,051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2,051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26,472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4620" w:type="dxa"/>
            <w:vAlign w:val="bottom"/>
            <w:gridSpan w:val="2"/>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8"/>
        </w:trPr>
        <w:tc>
          <w:tcPr>
            <w:tcW w:w="1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391"/>
        </w:trPr>
        <w:tc>
          <w:tcPr>
            <w:tcW w:w="462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Financial assets:</w:t>
            </w: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158,099</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2,119,426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2,123,289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2,123,289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13,924</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69,397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69,397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69,397</w:t>
            </w:r>
          </w:p>
        </w:tc>
      </w:tr>
      <w:tr>
        <w:trPr>
          <w:trHeight w:val="216"/>
        </w:trPr>
        <w:tc>
          <w:tcPr>
            <w:tcW w:w="14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2,696,857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2,354,999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2,701,193</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2,283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2,283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26,472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r>
    </w:tbl>
    <w:p>
      <w:pPr>
        <w:spacing w:after="0" w:line="216" w:lineRule="exact"/>
        <w:rPr>
          <w:sz w:val="20"/>
          <w:szCs w:val="20"/>
          <w:color w:val="auto"/>
        </w:rPr>
      </w:pPr>
    </w:p>
    <w:p>
      <w:pPr>
        <w:ind w:right="8040" w:firstLine="8"/>
        <w:spacing w:after="0" w:line="486" w:lineRule="auto"/>
        <w:tabs>
          <w:tab w:leader="none" w:pos="378"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BUSINESS COMBINATIONS West Texas State Bank</w:t>
      </w:r>
    </w:p>
    <w:p>
      <w:pPr>
        <w:jc w:val="both"/>
        <w:spacing w:after="0"/>
        <w:rPr>
          <w:sz w:val="20"/>
          <w:szCs w:val="20"/>
          <w:color w:val="auto"/>
        </w:rPr>
      </w:pPr>
      <w:r>
        <w:rPr>
          <w:rFonts w:ascii="Arial" w:cs="Arial" w:eastAsia="Arial" w:hAnsi="Arial"/>
          <w:sz w:val="22"/>
          <w:szCs w:val="22"/>
          <w:color w:val="auto"/>
        </w:rPr>
        <w:t>In November 2019, the Company completed its acquisition of West Texas State Bank (“WTSB”). This transaction resulted in six additional branches. The Company paid the shareholders of WTSB $76.1 million in cash, for all outstanding stock of WTSB and resulted in 100% ownership interest.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recognized total goodwill of $19.8 million which is calculated as the excess of both the consideration exchanged and liabilities assumed compared to the fair market value of identifiable assets acquired. None of the goodwill recognized is expected to be deductible for income tax purposes.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Company incurred expenses related to the acquisition of approximately $955,000 for the year ended December 31, 2019, which are included in noninterest expense in the consolidated statements of comprehensive income.</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Non-credit impaired loans had a fair value of $196.2 million at the acquisition date and contractual balance of $198.4 million. As of the acquisition date, the Company expects that an insignificant amount of the contractual balance of these loans will be uncollectible. The difference of $2.2 million will be recognized into interest income as an adjustment to yield over the life of the loans. Purchased credit impaired loans were insignificant.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Fair values of the assets acquired and liabilities assumed in this transaction as of the closing date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77,903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time deposits in banks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Federal funds purchased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26,468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195,228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Core deposit intangible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446,202</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Liabilities assumed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386,176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9"/>
                <w:szCs w:val="19"/>
                <w:color w:val="auto"/>
              </w:rPr>
            </w:pP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56,325</w:t>
            </w:r>
          </w:p>
        </w:tc>
        <w:tc>
          <w:tcPr>
            <w:tcW w:w="100" w:type="dxa"/>
            <w:vAlign w:val="bottom"/>
          </w:tcPr>
          <w:p>
            <w:pPr>
              <w:spacing w:after="0"/>
              <w:rPr>
                <w:sz w:val="18"/>
                <w:szCs w:val="18"/>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recorded in acquisition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76"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76"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the first three months of 2020, the Company made measurement period adjustments to reflect facts and circumstances in existence as of the closing date of the acquisition. These adjustments primarily included a $1.2 million increase in goodwill, a $900,000 decrease in loans, and a $300,000 increase in other liabilities. The amount of income recorded in current period earnings that would have been recorded in the previous reporting period had the adjustment been recognized as of the acquisition date is not significant. The Company is still evaluating the fair values of other assets and other liabilities, additional adjustments may be recorded during the measurement period, but no later than one year from the closing date of the transaction. The Company will reflect measurement period adjustments, if any, in the period in which the adjustments are recognized, which may result in further adjustments to the values presented in the above table. The Company expects to finalize these values by the third quarter 2020.</w:t>
      </w: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Annual Report on Form 10-K for the year ended December 31, 2019 (the “2019 Annual Report on Form 10-K”) filed with the Securities and Exchange Commission (the “SEC”) pursuant to Rule 424(b) of the Securities Act of 1933, as amended (the “Securities Act”), on March 25, 2020.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b w:val="1"/>
          <w:bCs w:val="1"/>
          <w:color w:val="auto"/>
        </w:rPr>
        <w:t>autionary Notice Regarding Forward-Looking Statements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3"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There are or will be important factors that could cause our actual results to differ materially from those indicated in these forward-looking statements, including, but not limited to, the following:</w:t>
      </w:r>
    </w:p>
    <w:p>
      <w:pPr>
        <w:spacing w:after="0" w:line="20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ongoing COVID-19 pandemic and its uncertain economic impact on the Company’s customers and communities;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uncertain economic consequences of the ongoing COVID-19 pandemic or any deterioration in value of the general business assets that secure such loans;</w:t>
      </w: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potential changes in the prices, values and sales volumes of commercial and residential real estate securing our real estate loans;</w:t>
      </w:r>
    </w:p>
    <w:p>
      <w:pPr>
        <w:spacing w:after="0" w:line="20" w:lineRule="exact"/>
        <w:rPr>
          <w:rFonts w:ascii="Arial" w:cs="Arial" w:eastAsia="Arial" w:hAnsi="Arial"/>
          <w:sz w:val="17"/>
          <w:szCs w:val="17"/>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 for loan losses;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the ongoing COVID-19 pandemic), other international or domestic calamities, and other matters beyond our control;</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Wall Street Reform and Consumer Protection Act (“Dodd-Frank Act”), Economic Growth, Regulatory Relief, and Consumer Protection Act (“EGRRCPA”), and others relating to banking, consumer protection, securities and tax matters; and</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Trump administration.</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foregoing factors should not be construed as exhaustive and should be read together with the other cautionary statements included in this Form 10-Q and the risk factors set forth in our 2019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The Company maintains an Internet web site at </w:t>
      </w:r>
      <w:r>
        <w:rPr>
          <w:rFonts w:ascii="Arial" w:cs="Arial" w:eastAsia="Arial" w:hAnsi="Arial"/>
          <w:sz w:val="21"/>
          <w:szCs w:val="21"/>
          <w:u w:val="single" w:color="auto"/>
          <w:color w:val="auto"/>
        </w:rPr>
        <w:t>www.spfi.bank</w:t>
      </w:r>
      <w:r>
        <w:rPr>
          <w:rFonts w:ascii="Arial" w:cs="Arial" w:eastAsia="Arial" w:hAnsi="Arial"/>
          <w:sz w:val="21"/>
          <w:szCs w:val="21"/>
          <w:color w:val="auto"/>
        </w:rPr>
        <w:t xml:space="preserve">. The Company makes available, free of charge, on its web site (under </w:t>
      </w:r>
      <w:r>
        <w:rPr>
          <w:rFonts w:ascii="Arial" w:cs="Arial" w:eastAsia="Arial" w:hAnsi="Arial"/>
          <w:sz w:val="21"/>
          <w:szCs w:val="21"/>
          <w:u w:val="single" w:color="auto"/>
          <w:color w:val="auto"/>
        </w:rPr>
        <w:t>www.spfi.bank/financials-filings/sec-filings</w:t>
      </w:r>
      <w:r>
        <w:rPr>
          <w:rFonts w:ascii="Arial" w:cs="Arial" w:eastAsia="Arial" w:hAnsi="Arial"/>
          <w:sz w:val="21"/>
          <w:szCs w:val="21"/>
          <w:color w:val="auto"/>
        </w:rPr>
        <w:t xml:space="preserve"> )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Arial" w:cs="Arial" w:eastAsia="Arial" w:hAnsi="Arial"/>
          <w:sz w:val="21"/>
          <w:szCs w:val="21"/>
          <w:u w:val="single" w:color="auto"/>
          <w:color w:val="auto"/>
        </w:rPr>
        <w:t>www.spfi.bank/corporate-governance/documents-charters</w:t>
      </w:r>
      <w:r>
        <w:rPr>
          <w:rFonts w:ascii="Arial" w:cs="Arial" w:eastAsia="Arial" w:hAnsi="Arial"/>
          <w:sz w:val="21"/>
          <w:szCs w:val="21"/>
          <w:color w:val="auto"/>
        </w:rPr>
        <w:t xml:space="preserve"> ) links to the Company’s Code of Conduct and the charters for its board committees. In addition, the SEC maintains an Internet site (at </w:t>
      </w:r>
      <w:r>
        <w:rPr>
          <w:rFonts w:ascii="Arial" w:cs="Arial" w:eastAsia="Arial" w:hAnsi="Arial"/>
          <w:sz w:val="21"/>
          <w:szCs w:val="21"/>
          <w:u w:val="single" w:color="auto"/>
          <w:color w:val="auto"/>
        </w:rPr>
        <w:t>www.sec.gov</w:t>
      </w:r>
      <w:r>
        <w:rPr>
          <w:rFonts w:ascii="Arial" w:cs="Arial" w:eastAsia="Arial" w:hAnsi="Arial"/>
          <w:sz w:val="21"/>
          <w:szCs w:val="21"/>
          <w:color w:val="auto"/>
        </w:rPr>
        <w:t xml:space="preserve"> ) that contains reports, proxy and information statements, and other information regarding issuers that file electronically with the SEC.</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Company routinely posts important information for investors on its web site (under </w:t>
      </w:r>
      <w:r>
        <w:rPr>
          <w:rFonts w:ascii="Arial" w:cs="Arial" w:eastAsia="Arial" w:hAnsi="Arial"/>
          <w:sz w:val="21"/>
          <w:szCs w:val="21"/>
          <w:u w:val="single" w:color="auto"/>
          <w:color w:val="auto"/>
        </w:rPr>
        <w:t>www.spfi.bank</w:t>
      </w:r>
      <w:r>
        <w:rPr>
          <w:rFonts w:ascii="Arial" w:cs="Arial" w:eastAsia="Arial" w:hAnsi="Arial"/>
          <w:sz w:val="21"/>
          <w:szCs w:val="21"/>
          <w:color w:val="auto"/>
        </w:rPr>
        <w:t xml:space="preserve"> and, more specifically, under the News &amp; Events tab at </w:t>
      </w:r>
      <w:r>
        <w:rPr>
          <w:rFonts w:ascii="Arial" w:cs="Arial" w:eastAsia="Arial" w:hAnsi="Arial"/>
          <w:sz w:val="21"/>
          <w:szCs w:val="21"/>
          <w:u w:val="single" w:color="auto"/>
          <w:color w:val="auto"/>
        </w:rPr>
        <w:t>www.spfi.bank/news-events/press-releases</w:t>
      </w:r>
      <w:r>
        <w:rPr>
          <w:rFonts w:ascii="Arial" w:cs="Arial" w:eastAsia="Arial" w:hAnsi="Arial"/>
          <w:sz w:val="21"/>
          <w:szCs w:val="21"/>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contained on, or that may be accessed through, the Company’s web site is not incorporated by reference into, and is not a part of, this Form 10-Q.</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are a bank holding company headquartered in Lubbock, Texas, and our wholly-owned subsidiary, City Bank, is one of the largest independent banks in West Texas. We have additional banking operations in the Dallas, El Paso, Greater Houston, the Permian Basin, and College Station Texas markets, and the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COVID-19 Update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spread of the novel coronavirus (“COVID-19”) has caused significant disruptions in the U.S. economy since it was declared a pandemic in March 2020 by the World Health Organization. The changes have impacted our clients, their industries, as well as the financial services industry. At this time, we cannot predict the impact or how long the economy or our impacted clients will be disrupted.</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Company’s Business Continuity Oversight Committee has monitored the spread of the COVID-19 pandemic since late January 2020 and has continuously escalated the Company’s response as well as employee and customer communications. As the COVID-19 pandemic continued to spread across the globe, the Company created a Pandemic Task Force to implement South Plains’ Business Continuity Plan to ensure the safety of the Company’s employees and customers while maintaining the operational and financial integrity of the Bank. Non-essential employees were transitioned to a work-from-home environment, strict protocols for employees deemed essential were adopted to ensure adequate social distancing and all Bank facilities are receiving incremental cleaning and sanitization. The Company has restricted access to its bank lobbies and are allowing customers in by appointment only while providing essential banking services through the Bank’s drive-through windows and digital platforms. The Company’s operations center provides essential employees the necessary room to social distance while seamlessly supporting the Bank’s customers and performing the critical tasks necessary to keep the Bank’s operations running efficiently. The facility also provides support for the Bank’s employees who are working remotely.</w:t>
      </w:r>
    </w:p>
    <w:p>
      <w:pPr>
        <w:spacing w:after="0" w:line="182"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While the duration of the COVID-19 pandemic and the scope of its impact on the economy is uncertain, the Bank is proactively working with its borrowers in those sectors most affected by the pandemic and offering loan modifications to borrowers who are or may be unable to meet their contractual payment obligations because of the effects of the COVID-19 pandemic. The Bank has also assigned its Chairman, Chief Executive Officer, Chief Credit Officer and Chief Lending Officer to partner with the Bank’s lenders on those borrowers most impacted by the pandemic to ensure the Company is proactively addressing those credits with the appropriate oversight and modifications when warranted, helping those borrowers bridge the gap until the economy begins to normalize. As part of the Bank’s efforts to support its customers and protect the Bank, and in accordance with the Joint Interagency Regulatory Guidance, the Bank has offered varying forms of loan modifications ranging from 90-day payment deferrals to 6- to 12-month interest only terms to provide borrowers relief. As of March 31, 2020, total loan modifications attributed to the COVID-19 pandemic were approximately $155 million, or 7%, of the Company’s loan portfolio. As of May 1</w:t>
      </w:r>
      <w:r>
        <w:rPr>
          <w:rFonts w:ascii="Arial" w:cs="Arial" w:eastAsia="Arial" w:hAnsi="Arial"/>
          <w:sz w:val="34"/>
          <w:szCs w:val="34"/>
          <w:color w:val="auto"/>
          <w:vertAlign w:val="superscript"/>
        </w:rPr>
        <w:t>st</w:t>
      </w:r>
      <w:r>
        <w:rPr>
          <w:rFonts w:ascii="Arial" w:cs="Arial" w:eastAsia="Arial" w:hAnsi="Arial"/>
          <w:sz w:val="21"/>
          <w:szCs w:val="21"/>
          <w:color w:val="auto"/>
        </w:rPr>
        <w:t>, 2020, total loan modifications attributed to COVID-19 had increased to approximately $390 million, or 18%, of the Company’s loan portfolio.</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Bank has also been active in assisting its customers in accessing the Paycheck Protection Program (the “PPP”) administered by the Small Business Administration (the “SBA”) and created under the Coronavirus Aid, Relief, and Economic Security Act (the “CARES Act”). As of May 5</w:t>
      </w:r>
      <w:r>
        <w:rPr>
          <w:rFonts w:ascii="Arial" w:cs="Arial" w:eastAsia="Arial" w:hAnsi="Arial"/>
          <w:sz w:val="30"/>
          <w:szCs w:val="30"/>
          <w:color w:val="auto"/>
          <w:vertAlign w:val="superscript"/>
        </w:rPr>
        <w:t>th</w:t>
      </w:r>
      <w:r>
        <w:rPr>
          <w:rFonts w:ascii="Arial" w:cs="Arial" w:eastAsia="Arial" w:hAnsi="Arial"/>
          <w:sz w:val="19"/>
          <w:szCs w:val="19"/>
          <w:color w:val="auto"/>
        </w:rPr>
        <w:t>, 2020, the Bank had originated over $210 million in PPP loans for over 1,800 customers whose PPP loan applications were approved and funded. The Bank intends to continue accepting and processing new PPP loan applications for as long as funding for the program remains available. The Bank will utilize its lines of credit with the Federal Home Loan Bank of Dallas (the “FHLB”) and/or the Federal Reserve Bank of Dallas (the “FRB”) to supplement funding for these loans as needed. Helping City Bank’s customers access PPP loans is just one way that the Bank has been helping its customers and communities during this challenging time. City Bank has also been a supporter of the South Plains and Permian Basin food banks and recently increased its financial support given the challenging economic environment for so many.</w:t>
      </w:r>
    </w:p>
    <w:p>
      <w:pPr>
        <w:spacing w:after="0" w:line="19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 and City Bank remain well capitalized. We also have excess liquidity on hand as well as over $450 million in unpledged securities and access to lines of credit with the FHLB, the FRB and other banks.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Stock Repurchase Program</w:t>
      </w:r>
    </w:p>
    <w:p>
      <w:pPr>
        <w:spacing w:after="0" w:line="8"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The Company temporarily suspended its stock repurchase program in response to the ongoing COVID-19 pandemic. Suspending the stock repurchase program will allow the Company to preserve capital and provide liquidity to meet the credit needs of the customers, small businesses and local communities served by the Company and City Bank. The Company believes that it remains strong and well-capitalized, and the Company may reinstate the stock repurchase program in the future.</w:t>
      </w:r>
    </w:p>
    <w:p>
      <w:pPr>
        <w:sectPr>
          <w:pgSz w:w="11900" w:h="16838" w:orient="portrait"/>
          <w:cols w:equalWidth="0" w:num="1">
            <w:col w:w="11240"/>
          </w:cols>
          <w:pgMar w:left="320" w:top="121" w:right="339" w:bottom="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had net income of $7.1 million for the three months ended March 31, 2020, compared to net income of $4.8 million for the three months ended March 31, 2019. Return on average equity was 9.00% and return on average assets was 0.89% for the three months ended March 31, 2020, compared to 8.98% and 0.71%, respectively, for the three months ended March 31, 2019.</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total assets decreased $20.6 million, or 0.6%, to $3.22 billion at March 31, 2020, compared to $3.24 billion at December 31, 2019. Our gross loans held for investment decreased $34.8 million, or 1.6%, to $2.11 billion at March 31, 2020, compared to $2.14 billion at December 31, 2019. Our securities portfolio increased $27.1 million, or 3.8%, to $734.8 million at March 31, 2020, compared to $707.7 million at December 31, 2019. Total deposits decreased $31.0 million, or 1.1%, to $2.67 billion at March 31, 2020, compared to $2.70 billion at December 31, 2019.</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income increased by $2.3 million to $7.1 million for the three months ended March 31, 2020, compared to $4.8 million for the three months ended March 31, 2019. This increase was primarily the result of an increase of $5.7 million in net interest income and an increase of $6.8 million in noninterest income, partially offset by an increase of $5.6 million in the provision for loan losses and an increase of $4.0 million in noninterest expense.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Interest Income</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32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Total loans</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2,167,015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31,055</w:t>
            </w:r>
          </w:p>
        </w:tc>
        <w:tc>
          <w:tcPr>
            <w:tcW w:w="14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1,955,783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28,141</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5.84%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Investment securities – 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560,677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3,592</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309,670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14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32,172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Other interest-earning assets </w:t>
            </w:r>
            <w:r>
              <w:rPr>
                <w:rFonts w:ascii="Arial" w:cs="Arial" w:eastAsia="Arial" w:hAnsi="Arial"/>
                <w:sz w:val="25"/>
                <w:szCs w:val="25"/>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151,133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243,610</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1,571</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interest-earning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2,957,758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5"/>
              </w:rPr>
              <w:t>4.88</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2,541,235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32,107</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5"/>
              </w:rPr>
              <w:t>5.12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250,659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176,437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3,208,417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2,717,672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1,545,937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2,656</w:t>
            </w:r>
          </w:p>
        </w:tc>
        <w:tc>
          <w:tcPr>
            <w:tcW w:w="14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0.69%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1,470,199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4,534</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1.25%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353,471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309,687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30,744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4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22,722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96,209</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14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9"/>
              </w:rPr>
              <w:t>Junior subordinated deferrable interest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debentures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1480" w:type="dxa"/>
            <w:vAlign w:val="bottom"/>
            <w:gridSpan w:val="3"/>
          </w:tcPr>
          <w:p>
            <w:pPr>
              <w:ind w:left="90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2,099,226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1,971,728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1.53%</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765,637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501,120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27,152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29,153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792,789</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530,273</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215,671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tcBorders>
              <w:top w:val="single" w:sz="8" w:color="CCEEFF"/>
            </w:tcBorders>
          </w:tcPr>
          <w:p>
            <w:pPr>
              <w:ind w:left="500"/>
              <w:spacing w:after="0" w:line="201" w:lineRule="exact"/>
              <w:rPr>
                <w:sz w:val="20"/>
                <w:szCs w:val="20"/>
                <w:color w:val="auto"/>
              </w:rPr>
            </w:pPr>
            <w:r>
              <w:rPr>
                <w:rFonts w:ascii="Arial" w:cs="Arial" w:eastAsia="Arial" w:hAnsi="Arial"/>
                <w:sz w:val="18"/>
                <w:szCs w:val="18"/>
                <w:color w:val="auto"/>
              </w:rPr>
              <w:t>Total liabilities and shareholders’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00"/>
              <w:spacing w:after="0"/>
              <w:rPr>
                <w:sz w:val="20"/>
                <w:szCs w:val="20"/>
                <w:color w:val="auto"/>
              </w:rPr>
            </w:pPr>
            <w:r>
              <w:rPr>
                <w:rFonts w:ascii="Arial" w:cs="Arial" w:eastAsia="Arial" w:hAnsi="Arial"/>
                <w:sz w:val="18"/>
                <w:szCs w:val="18"/>
                <w:color w:val="auto"/>
              </w:rPr>
              <w:t>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3,208,417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2,717,672</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30,344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24,649</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3.59%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3.93%</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interest margin is calculated as the annualized net interest income, on a fully tax-equivalent basis, divided by average interest-earning assets.</w:t>
      </w:r>
    </w:p>
    <w:p>
      <w:pPr>
        <w:spacing w:after="0" w:line="25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Increases and decreases in interest income and interest expense result from changes in average balances (volume) of interest-earning assets and interest-bearing liabilities, as well as changes in average interest rates. The following tables sets forth the effects of changing rates and volumes on our net interest income during the period shown. Information is provided with respect to</w:t>
      </w:r>
    </w:p>
    <w:p>
      <w:pPr>
        <w:spacing w:after="0" w:line="1" w:lineRule="exact"/>
        <w:rPr>
          <w:sz w:val="20"/>
          <w:szCs w:val="20"/>
          <w:color w:val="auto"/>
        </w:rPr>
      </w:pPr>
    </w:p>
    <w:p>
      <w:pPr>
        <w:jc w:val="both"/>
        <w:ind w:firstLine="8"/>
        <w:spacing w:after="0" w:line="234" w:lineRule="auto"/>
        <w:tabs>
          <w:tab w:leader="none" w:pos="278" w:val="left"/>
        </w:tabs>
        <w:numPr>
          <w:ilvl w:val="0"/>
          <w:numId w:val="9"/>
        </w:numPr>
        <w:rPr>
          <w:rFonts w:ascii="Arial" w:cs="Arial" w:eastAsia="Arial" w:hAnsi="Arial"/>
          <w:sz w:val="22"/>
          <w:szCs w:val="22"/>
          <w:color w:val="auto"/>
        </w:rPr>
      </w:pPr>
      <w:r>
        <w:rPr>
          <w:rFonts w:ascii="Arial" w:cs="Arial" w:eastAsia="Arial" w:hAnsi="Arial"/>
          <w:sz w:val="22"/>
          <w:szCs w:val="22"/>
          <w:color w:val="auto"/>
        </w:rPr>
        <w:t>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9"/>
          </w:tcPr>
          <w:p>
            <w:pPr>
              <w:jc w:val="right"/>
              <w:ind w:right="7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3"/>
              </w:rPr>
              <w:t>2020 over 2019</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8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securities – taxable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Other interest-earning assets</w:t>
            </w: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NOW, Savings, MMDAs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(2,112)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(2,374)</w:t>
            </w: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Increase (decrease) in net interest income</w:t>
            </w:r>
          </w:p>
        </w:tc>
        <w:tc>
          <w:tcPr>
            <w:tcW w:w="3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4,114</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1,581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5,695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60" w:type="dxa"/>
            <w:vAlign w:val="bottom"/>
            <w:vMerge w:val="restart"/>
          </w:tcPr>
          <w:p>
            <w:pPr>
              <w:jc w:val="right"/>
              <w:ind w:right="1539"/>
              <w:spacing w:after="0"/>
              <w:rPr>
                <w:sz w:val="20"/>
                <w:szCs w:val="20"/>
                <w:color w:val="auto"/>
              </w:rPr>
            </w:pPr>
            <w:r>
              <w:rPr>
                <w:rFonts w:ascii="Arial" w:cs="Arial" w:eastAsia="Arial" w:hAnsi="Arial"/>
                <w:sz w:val="14"/>
                <w:szCs w:val="14"/>
                <w:color w:val="auto"/>
              </w:rPr>
              <w:t>30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6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6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Net interest income for the three months ended March 31, 2020 was $30.2 million, compared to $24.5 million for the three months ended March 31, 2019, an increase of $5.7 million, or 23.0%. The increase in net interest income was comprised of a $3.7 million, or 11.7%, increase in interest income and by a $2.0 million, or 25.7%, decrease in interest expense. The growth in interest income was primarily attributable to a $211.2 million, or 10.8%, increase in average loans outstanding for the three-month period ended March 31, 2020, compared to the three-month period ended March 31, 2019. The increase in average loans outstanding was primarily due to our acquisition of West Texas State Bank (“WTSB”) in November 2019. The average of all other interest-earning assets during this period grew $205.3 million. The interest income on the $416.5 million growth in average interest-earning assets was partially offset by a decrease of 24 basis points in yield on earning assets.</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$2.0 million decrease in interest expense for the three months ended March 31, 2020 was primarily related to a 47 basis point decrease in the rate paid on interest-bearing liabilities, partially offset by an increase of $119.5 million, or 6.7%, in average interest-bearing deposits over the same period in 2019. Additionally, average noninterest-bearing demand deposits increased to $792.8 million at March 31, 2020 from $530.3 million at March 31, 2019. The increase in average deposits from March 31, 2019 to March 31, 2020 was due primarily to the WTSB acquisition.</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March 31, 2020, net interest margin and net interest spread were 4.13% and 3.82%, respectively, compared to 3.93% and 3.59% for the same period in 2019, which reflects the increase in interest income and the decrease in interest expense discussed above.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Loan Losses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provision for loan losses for the three months ended March 31, 2020 was $6.2 million, compared to $608,000 for the three months ended March 31, 2019. The increase in the provision for loan losses in the first quarter of 2020 compared to the same quarter in 2019 is primarily a result of the uncertain economic effects from the ongoing COVID-19 pandemic as well as the decline in oil and gas prices. The allowance for loan losses as a percentage of loans held for investment was 1.38% at March 31, 2020 and 1.13% at December 31, 2019. Further discussion of the allowance for loan losses is noted below.</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Income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major components of our noninterest income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line="216" w:lineRule="exact"/>
              <w:rPr>
                <w:sz w:val="20"/>
                <w:szCs w:val="20"/>
                <w:color w:val="auto"/>
              </w:rPr>
            </w:pPr>
            <w:r>
              <w:rPr>
                <w:rFonts w:ascii="Arial" w:cs="Arial" w:eastAsia="Arial" w:hAnsi="Arial"/>
                <w:sz w:val="16"/>
                <w:szCs w:val="16"/>
                <w:color w:val="auto"/>
              </w:rPr>
              <w:t>Other income and fees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income and fees includes the increase in the cash surrender value of life insurance, safe deposit box rental, check printing, collections, wire transfer and other miscellaneous services.</w:t>
      </w:r>
    </w:p>
    <w:p>
      <w:pPr>
        <w:sectPr>
          <w:pgSz w:w="11900" w:h="16838" w:orient="portrait"/>
          <w:cols w:equalWidth="0" w:num="1">
            <w:col w:w="11240"/>
          </w:cols>
          <w:pgMar w:left="320" w:top="121" w:right="339" w:bottom="274"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74"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Noninterest income for the three months ended March 31, 2020 was $18.9 million, compared to $12.1 million for the three months ended March 31, 2019, an increase of $6.8 million, or 56.3%. Income from mortgage banking activities increased $3.9 million, or 79.9%, to $8.8 million for the three months ended March 31, 2020 from $4.9 million for the three months ended March 31, 2019. The increase was primarily the result of an increase of $3.9 million in mortgage banking activities revenue, due to an increase of $95.2 million in mortgage loan originations during this period, and a $2.3 million gain on sale of securities in the first quarter of 2020. Fiduciary income increased $453,000, or 120.5%, to $829,000 for the three months ended March 31, 2020 from $376,000 for the three months ended March 31, 2019. The increase in fiduciary income was primarily due to new customer acquisition with estate executorship and trust management as the primary services in late third quarter 2019. Income from insurance activities decreased to $1.2 million for the three months ended March 31, 2020 from $1.8 million for the three months ended March 31, 2019 due to ASC 606 Revenue from Contracts with Customers becoming effective for the Company’s interim reporting periods in March 2020. The result of adoption is that there is a delay in the annual cycle of revenue recognition for insurance activities as compared to previous years.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Expense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major components of our noninterest expense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20,810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Bankcard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Noninterest expense for the three months ended March 31, 2020 was $34.0 million compared to $30.0 million for the three months ended March 31, 2019, an increase of $4.0 million, or 13.2%. Salaries and employee benefits increased $1.7 million, or 8.8%, from $19.1 million for the three months ended March 31, 2019 to $20.8 million for the three months ended March 31, 2020. This increase in salaries and employee benefits expense for the first quarter of 2020 compared to the first quarter of 2019 was primarily driven by the WTSB acquisition and increased commissions paid on the higher volume of mortgage loan originations. Other noninterest expenses increased $1.6 million for the three months ended March 31, 2020, compared to the same period in 2019. This increase was primarily due to core expenses for the acquired WTSB branches, higher commissions and other variable mortgage expenses as a result of increased production, $331,000 in data conversion expenses and $300,000 in computer equipment purchased in connection with upgrading the equipment at the acquired branches as well as at existing branches. The computer equipment purchases were expensed due to the individual items falling below the Company’s capitalization threshold.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total assets decreased $20.6 million, or 0.6%, to $3.22 billion at March 31, 2020, compared to $3.24 billion at December 31, 2019. Our gross loans held for investment decreased $34.8 million, or 1.6%, to $2.11 billion at March 31, 2020, compared to $2.14 billion at December 31, 2019. Our securities portfolio increased $27.1 million, or 3.8%, to $734.8 million at March 31, 2020, compared to $707.7 million at December 31, 2019. Total deposits decreased $31.0 million, or 1.1%, to $2.67 billion at March 31, 2020, compared to $2.70 billion at December 31, 2019.</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Portfolio</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ectPr>
          <w:pgSz w:w="11900" w:h="16838" w:orient="portrait"/>
          <w:cols w:equalWidth="0" w:num="1">
            <w:col w:w="11240"/>
          </w:cols>
          <w:pgMar w:left="320" w:top="121" w:right="339" w:bottom="73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33"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presents the balance and associated percentage of each major category in our gross loan portfolio at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641,739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658,195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303,116</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309,505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424,750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441,398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356,540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362,796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212,912</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215,209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72,162</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97,586</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82,520</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loans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2,108,805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5940" w:type="dxa"/>
            <w:vAlign w:val="bottom"/>
          </w:tcPr>
          <w:p>
            <w:pPr>
              <w:ind w:left="340"/>
              <w:spacing w:after="0"/>
              <w:rPr>
                <w:sz w:val="20"/>
                <w:szCs w:val="20"/>
                <w:color w:val="auto"/>
              </w:rPr>
            </w:pPr>
            <w:r>
              <w:rPr>
                <w:rFonts w:ascii="Arial" w:cs="Arial" w:eastAsia="Arial" w:hAnsi="Arial"/>
                <w:sz w:val="18"/>
                <w:szCs w:val="18"/>
                <w:color w:val="auto"/>
              </w:rPr>
              <w:t>Allowance for loan losses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(29,074)</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(24,197)</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6"/>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2,079,731</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2,119,426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Loans held for investment decreased $34.8 million, or 1.6%, to $2.11 billion at March 31, 2020, compared to $2.14 billion at December 31, 2019. This decrease in our loans was primarily due to $34.5 million in seasonal agricultural production loan net paydowns in the first quarter of 2020.</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Bank is primarily involved in real estate, commercial, agricultural and consumer lending activities with customers throughout Texas and Eastern New Mexico. We have a collateral concentration, as 67.1% of our loans held for investment were secured by real property as of March 31, 2020, compared to 65.5% as of December 31, 2019.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Commercial Real Estate</w:t>
      </w:r>
      <w:r>
        <w:rPr>
          <w:rFonts w:ascii="Arial" w:cs="Arial" w:eastAsia="Arial" w:hAnsi="Arial"/>
          <w:sz w:val="21"/>
          <w:szCs w:val="21"/>
          <w:color w:val="auto"/>
        </w:rPr>
        <w:t>. Our commercial real estate portfolio includes loans for commercial property that is owned by real estate</w:t>
      </w:r>
      <w:r>
        <w:rPr>
          <w:rFonts w:ascii="Arial" w:cs="Arial" w:eastAsia="Arial" w:hAnsi="Arial"/>
          <w:sz w:val="21"/>
          <w:szCs w:val="21"/>
          <w:i w:val="1"/>
          <w:iCs w:val="1"/>
          <w:color w:val="auto"/>
        </w:rPr>
        <w:t xml:space="preserve"> </w:t>
      </w:r>
      <w:r>
        <w:rPr>
          <w:rFonts w:ascii="Arial" w:cs="Arial" w:eastAsia="Arial" w:hAnsi="Arial"/>
          <w:sz w:val="21"/>
          <w:szCs w:val="21"/>
          <w:color w:val="auto"/>
        </w:rPr>
        <w:t>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Commercial real estate loans decreased $16.5 million, or 2.5%, to $641.7 million as of March 31, 2020 from $658.2 million as of December 31, 2019. The decrease in commercial real estate loans during this period was mostly driven by the early payoff of several loans, as well as normal scheduled principal reductions outpacing our organic loan growth.</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color w:val="auto"/>
        </w:rPr>
        <w:t>Commercial – General and Specialized</w:t>
      </w:r>
      <w:r>
        <w:rPr>
          <w:rFonts w:ascii="Arial" w:cs="Arial" w:eastAsia="Arial" w:hAnsi="Arial"/>
          <w:sz w:val="19"/>
          <w:szCs w:val="19"/>
          <w:color w:val="auto"/>
        </w:rPr>
        <w:t>. Commercial loans are underwritten after evaluating and understanding the borrower’s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and retail, construction, and other industries.</w:t>
      </w:r>
    </w:p>
    <w:p>
      <w:pPr>
        <w:sectPr>
          <w:pgSz w:w="11900" w:h="16838" w:orient="portrait"/>
          <w:cols w:equalWidth="0" w:num="1">
            <w:col w:w="11240"/>
          </w:cols>
          <w:pgMar w:left="320" w:top="121" w:right="339" w:bottom="1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66" w:gutter="0" w:footer="0" w:header="0"/>
          <w:type w:val="continuous"/>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Commercial specialized loans decreased $6.4 million, or 2.1%, to $303.1 million as of March 31, 2020 from $309.5 million as of December 31, 2019. This decrease was primarily due to $34.5 million in seasonal agricultural production loan net paydowns, partially offset by an increase of $28.7 million in energy loans.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Commercial general loans decreased $16.6 million, or 3.8%, to $424.8 million as of March 31, 2020 from $441.4 million as of December 31, 2019. The decrease in commercial general loans was primarily due to the early payoff of two relationships totaling $22.2 million during the first quarter of 2020, partially offset by organic loan growth.</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Consumer</w:t>
      </w:r>
      <w:r>
        <w:rPr>
          <w:rFonts w:ascii="Arial" w:cs="Arial" w:eastAsia="Arial" w:hAnsi="Arial"/>
          <w:sz w:val="19"/>
          <w:szCs w:val="19"/>
          <w:color w:val="auto"/>
        </w:rPr>
        <w:t>. We utilize a computer-based credit scoring analysis to supplement our policies and procedures in underwriting</w:t>
      </w:r>
      <w:r>
        <w:rPr>
          <w:rFonts w:ascii="Arial" w:cs="Arial" w:eastAsia="Arial" w:hAnsi="Arial"/>
          <w:sz w:val="19"/>
          <w:szCs w:val="19"/>
          <w:i w:val="1"/>
          <w:iCs w:val="1"/>
          <w:color w:val="auto"/>
        </w:rPr>
        <w:t xml:space="preserve"> </w:t>
      </w:r>
      <w:r>
        <w:rPr>
          <w:rFonts w:ascii="Arial" w:cs="Arial" w:eastAsia="Arial" w:hAnsi="Arial"/>
          <w:sz w:val="19"/>
          <w:szCs w:val="19"/>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Consumer and other loans decreased $10.4 million, or 1.6%, to $641.6 million as of March 31, 2020, from $652.0 million as of December 31, 2019. The decreases in these loans were primarily a result of a net decrease of $6.3 million in 1-4 family residential loans as refinancing activities caused paydowns to exceed new growth. Additionally, indirect auto loan originations slowed in March as the economy began to worsen. As of March 31, 2020, our consumer loan portfolio was comprised of $356.5 million in 1-4 family residential loans, $212.9 million in auto loans, and $72.2 million in other consumer loans.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Construction</w:t>
      </w:r>
      <w:r>
        <w:rPr>
          <w:rFonts w:ascii="Arial" w:cs="Arial" w:eastAsia="Arial" w:hAnsi="Arial"/>
          <w:sz w:val="22"/>
          <w:szCs w:val="22"/>
          <w:color w:val="auto"/>
        </w:rPr>
        <w:t>. Loans for residential construction are for single-family properties to developers, builders, or end-users. These loans</w:t>
      </w:r>
      <w:r>
        <w:rPr>
          <w:rFonts w:ascii="Arial" w:cs="Arial" w:eastAsia="Arial" w:hAnsi="Arial"/>
          <w:sz w:val="22"/>
          <w:szCs w:val="22"/>
          <w:i w:val="1"/>
          <w:iCs w:val="1"/>
          <w:color w:val="auto"/>
        </w:rPr>
        <w:t xml:space="preserve"> </w:t>
      </w:r>
      <w:r>
        <w:rPr>
          <w:rFonts w:ascii="Arial" w:cs="Arial" w:eastAsia="Arial" w:hAnsi="Arial"/>
          <w:sz w:val="22"/>
          <w:szCs w:val="22"/>
          <w:color w:val="auto"/>
        </w:rPr>
        <w:t>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Construction loans increased $15.1 million, or 18.3%, to $97.6 million as of March 31, 2020 from $82.5 million as of December 31, 2019. The increase resulted from continued organic growth as well advances on lines of credit to fund construction progress.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Loan Losses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internal and external loan reviews.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allowance for loan losses was $29.1 million at March 31, 2020, compared to $24.2 million at December 31, 2019, an increase of $4.9 million, or 20.2%. The increase is primarily a result of management’s estimate of economic effects of the COVID-19 pandemic as well as the decline in oil and gas prices. These effects caused us to downgrade the risk ratings on some of the more at-risk sectors in our portfolio, primarily energy and hospitality during the first quarter of 2020.</w:t>
      </w:r>
    </w:p>
    <w:p>
      <w:pPr>
        <w:sectPr>
          <w:pgSz w:w="11900" w:h="16838" w:orient="portrait"/>
          <w:cols w:equalWidth="0" w:num="1">
            <w:col w:w="11240"/>
          </w:cols>
          <w:pgMar w:left="320" w:top="122"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an analysis of the allowance for loan losses at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2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2,218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Beginning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1"/>
        </w:trPr>
        <w:tc>
          <w:tcPr>
            <w:tcW w:w="2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5"/>
              </w:rPr>
              <w:t>Recoveries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Provision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2"/>
              </w:rPr>
              <w:t>(Dollars in thousands)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8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Net charge-offs totaled $1.4 million and were 0.25% (annualized) of average loans outstanding for the three months ended March 31, 2020, compared to $353,000 and 0.07% for the three months ended March 31, 2019. The increase in net charge-offs in the first quarter of 2020 was primarily the result of a $518,000 charge-off on a retail commercial relationship as well as two smaller commercial – general charge-offs during the first quarter of 2020. The allowance for loan losses as a percentage of loans held for investment was 1.38% at March 31, 2020 and 1.13% at December 31, 2019.</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While the entire allowance for loan losses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4,555</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4,312</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3,385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 Quality</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ectPr>
          <w:pgSz w:w="11900" w:h="16838" w:orient="portrait"/>
          <w:cols w:equalWidth="0" w:num="1">
            <w:col w:w="11240"/>
          </w:cols>
          <w:pgMar w:left="320" w:top="122" w:right="339" w:bottom="625"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25"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Nonaccrual loans:</w:t>
            </w:r>
          </w:p>
        </w:tc>
        <w:tc>
          <w:tcPr>
            <w:tcW w:w="120" w:type="dxa"/>
            <w:vAlign w:val="bottom"/>
          </w:tcPr>
          <w:p>
            <w:pPr>
              <w:spacing w:after="0"/>
              <w:rPr>
                <w:sz w:val="20"/>
                <w:szCs w:val="20"/>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(Dollars in thousands)</w:t>
            </w: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nonaccrual loans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Past due loans 90 days or more and still accruing</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nonperforming loans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real estate owned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Restructured loans - nonaccrual</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Restructured loans - accruing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1,775</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Restructured loans, nonaccrual, are included in nonaccrual loans which are a component of nonperforming loans.</w:t>
      </w:r>
    </w:p>
    <w:p>
      <w:pPr>
        <w:spacing w:after="0" w:line="24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cases where a borrower experiences financial difficulties and we make certain concessionary modifications to contractual terms, the loan is classified as a troubled debt restructuring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We had no loans restructured as TDRs during the first three months of 2020 or 2019. TDRs are excluded from our nonperforming loans unless they otherwise meet the definition of nonaccrual loans or are past due 90 days or more.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COVID-19 Industry Exposures. </w:t>
      </w:r>
      <w:r>
        <w:rPr>
          <w:rFonts w:ascii="Arial" w:cs="Arial" w:eastAsia="Arial" w:hAnsi="Arial"/>
          <w:sz w:val="22"/>
          <w:szCs w:val="22"/>
          <w:color w:val="auto"/>
        </w:rPr>
        <w:t>The Company’s COVID-19 industry exposures at March 31, 2020 were:</w:t>
      </w:r>
    </w:p>
    <w:p>
      <w:pPr>
        <w:spacing w:after="0" w:line="13" w:lineRule="exact"/>
        <w:rPr>
          <w:sz w:val="20"/>
          <w:szCs w:val="20"/>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Restaurant and retail owner-occupied loans totaled $83.0 million (3.9% of total loans). The average loan size is $285,000. There was $913,000 in classified loans and $778,000 in loans past due greater than 30 days. The related allowance for loan losses to total restaurant and retail owner-occupied loans is 1.98%.</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Hospitality and assisted living center loans totaled $113.5 million (5.4% of total loans). The average loan size is $2.7 million. There was $2.8 million in classified loans and no loans past due more than 30 days. The related allowance for loan losses to total hospitality and assisted living center loans is 3.36%.</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 xml:space="preserve">Oil and Gas Exposures. </w:t>
      </w:r>
      <w:r>
        <w:rPr>
          <w:rFonts w:ascii="Arial" w:cs="Arial" w:eastAsia="Arial" w:hAnsi="Arial"/>
          <w:sz w:val="22"/>
          <w:szCs w:val="22"/>
          <w:color w:val="auto"/>
        </w:rPr>
        <w:t>The Company’s direct energy sector loans totaled $90.0 million (4.3% of total loans) at March 31, 2020.</w:t>
      </w:r>
      <w:r>
        <w:rPr>
          <w:rFonts w:ascii="Arial" w:cs="Arial" w:eastAsia="Arial" w:hAnsi="Arial"/>
          <w:sz w:val="22"/>
          <w:szCs w:val="22"/>
          <w:i w:val="1"/>
          <w:iCs w:val="1"/>
          <w:color w:val="auto"/>
        </w:rPr>
        <w:t xml:space="preserve"> </w:t>
      </w:r>
      <w:r>
        <w:rPr>
          <w:rFonts w:ascii="Arial" w:cs="Arial" w:eastAsia="Arial" w:hAnsi="Arial"/>
          <w:sz w:val="22"/>
          <w:szCs w:val="22"/>
          <w:color w:val="auto"/>
        </w:rPr>
        <w:t>There was $857,000 in nonaccrual loans. Management has expanded the monitoring of the loans in this category. The related allowance for loan losses to direct engery loans is 3.97%.</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Portfolio</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securities portfolio increased $27.1 million, or 3.8%, to $734.8 million at March 31, 2020, compared to $707.7 million at December 31, 2019. The increase was due to the purchase of $112.4 million in Texas municipal securities, partially offset by the sale of $92.2 million in mortgage-backed. The sale of the mortgage-backed securities occurred in January 2020 and generated a gain of $2.3 million.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fair value of the securities portfolio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3"/>
              </w:rPr>
              <w:t>March 31, 2020</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2019</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Gain/(Loss)</w:t>
            </w:r>
          </w:p>
        </w:tc>
        <w:tc>
          <w:tcPr>
            <w:tcW w:w="1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Gain/(Loss)</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209,654</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94,692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376,081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14,234</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107,410</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107,289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 amortizing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34,524</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36,811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2,287</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714,707</w:t>
            </w: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734,791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20,084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706,437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707,650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Certain securities have fair values less than amortized cost and, therefore, contain unrealized losses. At March 31, 2020,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82"/>
        </w:trPr>
        <w:tc>
          <w:tcPr>
            <w:tcW w:w="2280" w:type="dxa"/>
            <w:vAlign w:val="bottom"/>
          </w:tcPr>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92"/>
              </w:rPr>
              <w:t>As of March 31, 2020</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center"/>
              <w:ind w:right="460"/>
              <w:spacing w:after="0" w:line="198" w:lineRule="exact"/>
              <w:rPr>
                <w:sz w:val="20"/>
                <w:szCs w:val="20"/>
                <w:color w:val="auto"/>
              </w:rPr>
            </w:pPr>
            <w:r>
              <w:rPr>
                <w:rFonts w:ascii="Arial" w:cs="Arial" w:eastAsia="Arial" w:hAnsi="Arial"/>
                <w:sz w:val="18"/>
                <w:szCs w:val="18"/>
                <w:b w:val="1"/>
                <w:bCs w:val="1"/>
                <w:color w:val="auto"/>
                <w:w w:val="90"/>
              </w:rPr>
              <w:t>Due in One</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right"/>
              <w:ind w:right="480"/>
              <w:spacing w:after="0" w:line="198" w:lineRule="exact"/>
              <w:rPr>
                <w:sz w:val="20"/>
                <w:szCs w:val="20"/>
                <w:color w:val="auto"/>
              </w:rPr>
            </w:pPr>
            <w:r>
              <w:rPr>
                <w:rFonts w:ascii="Arial" w:cs="Arial" w:eastAsia="Arial" w:hAnsi="Arial"/>
                <w:sz w:val="18"/>
                <w:szCs w:val="18"/>
                <w:b w:val="1"/>
                <w:bCs w:val="1"/>
                <w:color w:val="auto"/>
                <w:w w:val="93"/>
              </w:rPr>
              <w:t>Due after Five Years</w:t>
            </w:r>
          </w:p>
        </w:tc>
        <w:tc>
          <w:tcPr>
            <w:tcW w:w="180" w:type="dxa"/>
            <w:vAlign w:val="bottom"/>
          </w:tcPr>
          <w:p>
            <w:pPr>
              <w:spacing w:after="0"/>
              <w:rPr>
                <w:sz w:val="17"/>
                <w:szCs w:val="17"/>
                <w:color w:val="auto"/>
              </w:rPr>
            </w:pPr>
          </w:p>
        </w:tc>
        <w:tc>
          <w:tcPr>
            <w:tcW w:w="1820" w:type="dxa"/>
            <w:vAlign w:val="bottom"/>
            <w:gridSpan w:val="3"/>
          </w:tcPr>
          <w:p>
            <w:pPr>
              <w:ind w:left="46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Through Ten Years</w:t>
            </w:r>
          </w:p>
        </w:tc>
        <w:tc>
          <w:tcPr>
            <w:tcW w:w="180" w:type="dxa"/>
            <w:vAlign w:val="bottom"/>
          </w:tcPr>
          <w:p>
            <w:pPr>
              <w:spacing w:after="0"/>
              <w:rPr>
                <w:sz w:val="20"/>
                <w:szCs w:val="20"/>
                <w:color w:val="auto"/>
              </w:rPr>
            </w:pPr>
          </w:p>
        </w:tc>
        <w:tc>
          <w:tcPr>
            <w:tcW w:w="1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15,730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189,454</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344,704</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2"/>
        </w:trPr>
        <w:tc>
          <w:tcPr>
            <w:tcW w:w="2280" w:type="dxa"/>
            <w:vAlign w:val="bottom"/>
          </w:tcPr>
          <w:p>
            <w:pPr>
              <w:ind w:left="18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34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107,380</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34,524</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5,772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31,972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676,062</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90"/>
              </w:rPr>
              <w:t>2.32%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88"/>
              </w:rPr>
              <w:t>As of December 31, 2019</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center"/>
              <w:ind w:right="460"/>
              <w:spacing w:after="0" w:line="198" w:lineRule="exact"/>
              <w:rPr>
                <w:sz w:val="20"/>
                <w:szCs w:val="20"/>
                <w:color w:val="auto"/>
              </w:rPr>
            </w:pPr>
            <w:r>
              <w:rPr>
                <w:rFonts w:ascii="Arial" w:cs="Arial" w:eastAsia="Arial" w:hAnsi="Arial"/>
                <w:sz w:val="18"/>
                <w:szCs w:val="18"/>
                <w:b w:val="1"/>
                <w:bCs w:val="1"/>
                <w:color w:val="auto"/>
                <w:w w:val="90"/>
              </w:rPr>
              <w:t>Due in One</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right"/>
              <w:ind w:right="480"/>
              <w:spacing w:after="0" w:line="198" w:lineRule="exact"/>
              <w:rPr>
                <w:sz w:val="20"/>
                <w:szCs w:val="20"/>
                <w:color w:val="auto"/>
              </w:rPr>
            </w:pPr>
            <w:r>
              <w:rPr>
                <w:rFonts w:ascii="Arial" w:cs="Arial" w:eastAsia="Arial" w:hAnsi="Arial"/>
                <w:sz w:val="18"/>
                <w:szCs w:val="18"/>
                <w:b w:val="1"/>
                <w:bCs w:val="1"/>
                <w:color w:val="auto"/>
                <w:w w:val="93"/>
              </w:rPr>
              <w:t>Due after Five Years</w:t>
            </w:r>
          </w:p>
        </w:tc>
        <w:tc>
          <w:tcPr>
            <w:tcW w:w="180" w:type="dxa"/>
            <w:vAlign w:val="bottom"/>
          </w:tcPr>
          <w:p>
            <w:pPr>
              <w:spacing w:after="0"/>
              <w:rPr>
                <w:sz w:val="17"/>
                <w:szCs w:val="17"/>
                <w:color w:val="auto"/>
              </w:rPr>
            </w:pPr>
          </w:p>
        </w:tc>
        <w:tc>
          <w:tcPr>
            <w:tcW w:w="1820" w:type="dxa"/>
            <w:vAlign w:val="bottom"/>
            <w:gridSpan w:val="3"/>
          </w:tcPr>
          <w:p>
            <w:pPr>
              <w:ind w:left="46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8"/>
              </w:rPr>
              <w:t>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Through Ten Years</w:t>
            </w:r>
          </w:p>
        </w:tc>
        <w:tc>
          <w:tcPr>
            <w:tcW w:w="180" w:type="dxa"/>
            <w:vAlign w:val="bottom"/>
          </w:tcPr>
          <w:p>
            <w:pPr>
              <w:spacing w:after="0"/>
              <w:rPr>
                <w:sz w:val="20"/>
                <w:szCs w:val="20"/>
                <w:color w:val="auto"/>
              </w:rPr>
            </w:pPr>
          </w:p>
        </w:tc>
        <w:tc>
          <w:tcPr>
            <w:tcW w:w="1980" w:type="dxa"/>
            <w:vAlign w:val="bottom"/>
            <w:gridSpan w:val="4"/>
          </w:tcPr>
          <w:p>
            <w:pPr>
              <w:ind w:left="44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14,206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78,808</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23,513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439,377</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2"/>
        </w:trPr>
        <w:tc>
          <w:tcPr>
            <w:tcW w:w="2280" w:type="dxa"/>
            <w:vAlign w:val="bottom"/>
          </w:tcPr>
          <w:p>
            <w:pPr>
              <w:ind w:left="18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34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107,443</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35,833</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6,787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37,719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661,461</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90"/>
              </w:rPr>
              <w:t>2.56%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Total deposits at March 31, 2020 were $2.67 billion, representing a decrease of $31.0 million, or 1.1%, compared to $2.70 billion at December 31, 2019. As of March 31, 2020, 27.8% of total deposits were comprised of noninterest-bearing demand accounts, 59.5% of interest-bearing non-maturity accounts and 12.7% of time deposits.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the deposit mix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0"/>
                <w:szCs w:val="20"/>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740,946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790,921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NOW and other transaction accounts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311,999</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318,379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1,274,141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1,231,534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338,762</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356,023</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r>
      <w:tr>
        <w:trPr>
          <w:trHeight w:val="23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2,665,848</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2,696,857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tables set forth the remaining maturity of time deposits of $100,000 and greater as of the date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Time deposits $100,000 or greater with remaining maturity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Three months or less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43,562</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After three months through six months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25,046</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After six months through twelve months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55,197</w:t>
            </w: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After twelve months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129,269</w:t>
            </w:r>
          </w:p>
        </w:tc>
        <w:tc>
          <w:tcPr>
            <w:tcW w:w="100" w:type="dxa"/>
            <w:vAlign w:val="bottom"/>
          </w:tcPr>
          <w:p>
            <w:pPr>
              <w:spacing w:after="0"/>
              <w:rPr>
                <w:sz w:val="19"/>
                <w:szCs w:val="19"/>
                <w:color w:val="auto"/>
              </w:rPr>
            </w:pPr>
          </w:p>
        </w:tc>
      </w:tr>
      <w:tr>
        <w:trPr>
          <w:trHeight w:val="256"/>
        </w:trPr>
        <w:tc>
          <w:tcPr>
            <w:tcW w:w="9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253,074</w:t>
            </w:r>
          </w:p>
        </w:tc>
        <w:tc>
          <w:tcPr>
            <w:tcW w:w="100" w:type="dxa"/>
            <w:vAlign w:val="bottom"/>
            <w:tcBorders>
              <w:bottom w:val="single" w:sz="8" w:color="CCEEFF"/>
            </w:tcBorders>
            <w:shd w:val="clear" w:color="auto" w:fill="CCEEFF"/>
          </w:tcPr>
          <w:p>
            <w:pPr>
              <w:spacing w:after="0"/>
              <w:rPr>
                <w:sz w:val="22"/>
                <w:szCs w:val="22"/>
                <w:color w:val="auto"/>
              </w:rPr>
            </w:pPr>
          </w:p>
        </w:tc>
      </w:tr>
    </w:tbl>
    <w:p>
      <w:pPr>
        <w:sectPr>
          <w:pgSz w:w="11900" w:h="16838" w:orient="portrait"/>
          <w:cols w:equalWidth="0" w:num="1">
            <w:col w:w="11240"/>
          </w:cols>
          <w:pgMar w:left="320" w:top="122" w:right="339" w:bottom="69" w:gutter="0" w:footer="0" w:header="0"/>
        </w:sectPr>
      </w:pPr>
    </w:p>
    <w:bookmarkStart w:id="43" w:name="page44"/>
    <w:bookmarkEnd w:id="43"/>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Borrowed Funds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 addition to deposits, we utilize advances from the FHLB and other borrowings as a supplementary funding source to finance our operations.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color w:val="auto"/>
        </w:rPr>
        <w:t>FHLB Advances</w:t>
      </w:r>
      <w:r>
        <w:rPr>
          <w:rFonts w:ascii="Arial" w:cs="Arial" w:eastAsia="Arial" w:hAnsi="Arial"/>
          <w:sz w:val="21"/>
          <w:szCs w:val="21"/>
          <w:color w:val="auto"/>
        </w:rPr>
        <w:t>. The FHLB allows us to borrow, both short and long-term, on a blanket floating lien status collateralized by first</w:t>
      </w:r>
      <w:r>
        <w:rPr>
          <w:rFonts w:ascii="Arial" w:cs="Arial" w:eastAsia="Arial" w:hAnsi="Arial"/>
          <w:sz w:val="21"/>
          <w:szCs w:val="21"/>
          <w:i w:val="1"/>
          <w:iCs w:val="1"/>
          <w:color w:val="auto"/>
        </w:rPr>
        <w:t xml:space="preserve"> </w:t>
      </w:r>
      <w:r>
        <w:rPr>
          <w:rFonts w:ascii="Arial" w:cs="Arial" w:eastAsia="Arial" w:hAnsi="Arial"/>
          <w:sz w:val="21"/>
          <w:szCs w:val="21"/>
          <w:color w:val="auto"/>
        </w:rPr>
        <w:t>mortgage loans and commercial real estate loans as well as FHLB stock. At March 31, 2020 and December 31, 2019, we had total remaining borrowing capacity from the FHLB of $504.8 million and $394.3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FHLB borrowings as of and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2019</w:t>
            </w:r>
          </w:p>
        </w:tc>
        <w:tc>
          <w:tcPr>
            <w:tcW w:w="160" w:type="dxa"/>
            <w:vAlign w:val="bottom"/>
          </w:tcPr>
          <w:p>
            <w:pPr>
              <w:spacing w:after="0"/>
              <w:rPr>
                <w:sz w:val="19"/>
                <w:szCs w:val="19"/>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(Dollars in thousands)</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0.76%</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95,000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r>
    </w:tbl>
    <w:p>
      <w:pPr>
        <w:spacing w:after="0" w:line="222"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i w:val="1"/>
          <w:iCs w:val="1"/>
          <w:color w:val="auto"/>
        </w:rPr>
        <w:t>Federal Reserve Bank of Dallas</w:t>
      </w:r>
      <w:r>
        <w:rPr>
          <w:rFonts w:ascii="Arial" w:cs="Arial" w:eastAsia="Arial" w:hAnsi="Arial"/>
          <w:sz w:val="19"/>
          <w:szCs w:val="19"/>
          <w:color w:val="auto"/>
        </w:rPr>
        <w:t>. The Bank has a line of credit with the FRB. The amount of the line is determined on a monthly</w:t>
      </w:r>
      <w:r>
        <w:rPr>
          <w:rFonts w:ascii="Arial" w:cs="Arial" w:eastAsia="Arial" w:hAnsi="Arial"/>
          <w:sz w:val="19"/>
          <w:szCs w:val="19"/>
          <w:i w:val="1"/>
          <w:iCs w:val="1"/>
          <w:color w:val="auto"/>
        </w:rPr>
        <w:t xml:space="preserve"> </w:t>
      </w:r>
      <w:r>
        <w:rPr>
          <w:rFonts w:ascii="Arial" w:cs="Arial" w:eastAsia="Arial" w:hAnsi="Arial"/>
          <w:sz w:val="19"/>
          <w:szCs w:val="19"/>
          <w:color w:val="auto"/>
        </w:rPr>
        <w:t>basis by the FRB. The line is collateralized by a blanket floating lien on all agriculture, commercial and consumer loans. The amount of the line was $540.6 million and $547.0 million at March 31, 2020 and December 31, 2019,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FRB borrowings as of and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As of/For the</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2019</w:t>
            </w:r>
          </w:p>
        </w:tc>
        <w:tc>
          <w:tcPr>
            <w:tcW w:w="160" w:type="dxa"/>
            <w:vAlign w:val="bottom"/>
          </w:tcPr>
          <w:p>
            <w:pPr>
              <w:spacing w:after="0"/>
              <w:rPr>
                <w:sz w:val="19"/>
                <w:szCs w:val="19"/>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(Dollars in thousands)</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1,209</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Lines of Credit</w:t>
      </w:r>
      <w:r>
        <w:rPr>
          <w:rFonts w:ascii="Arial" w:cs="Arial" w:eastAsia="Arial" w:hAnsi="Arial"/>
          <w:sz w:val="19"/>
          <w:szCs w:val="19"/>
          <w:color w:val="auto"/>
        </w:rPr>
        <w:t>. The Bank has uncollateralized lines of credit with multiple banks as a source of funding for liquidity</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The total amount of the lines was $135.0 million as of March 31, 2020 and December 31, 2019. The lines were not used during the three or three month periods ended March 31, 2020 or the three or three month periods ending March 31, 2019.</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color w:val="auto"/>
        </w:rPr>
        <w:t>Subordinated Debt Securities</w:t>
      </w:r>
      <w:r>
        <w:rPr>
          <w:rFonts w:ascii="Arial" w:cs="Arial" w:eastAsia="Arial" w:hAnsi="Arial"/>
          <w:sz w:val="19"/>
          <w:szCs w:val="19"/>
          <w:color w:val="auto"/>
        </w:rPr>
        <w:t>. In December 2018, the Company issued $26.5 million in subordinated debt securities.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totaling $12.4 million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 The balance of subordinated debt securities as of March 31, 2020 and December 31, 2019 was $26.5 million.</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Junior Subordinated Deferrable Interest Debentures and Trust Preferred Securities</w:t>
      </w:r>
      <w:r>
        <w:rPr>
          <w:rFonts w:ascii="Arial" w:cs="Arial" w:eastAsia="Arial" w:hAnsi="Arial"/>
          <w:sz w:val="19"/>
          <w:szCs w:val="19"/>
          <w:color w:val="auto"/>
        </w:rPr>
        <w:t>. Between March 2004 and June 2007,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March 31, 2020 and December 31, 2019.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ectPr>
          <w:pgSz w:w="11900" w:h="16838" w:orient="portrait"/>
          <w:cols w:equalWidth="0" w:num="1">
            <w:col w:w="11240"/>
          </w:cols>
          <w:pgMar w:left="320" w:top="122"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chart below indicates certain information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Stated</w:t>
            </w:r>
          </w:p>
        </w:tc>
        <w:tc>
          <w:tcPr>
            <w:tcW w:w="232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Maturity Date of</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 of</w:t>
            </w: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Trust Preferred</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Trust Preferred</w:t>
            </w:r>
          </w:p>
        </w:tc>
      </w:tr>
      <w:tr>
        <w:trPr>
          <w:trHeight w:val="206"/>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300"/>
              <w:spacing w:after="0"/>
              <w:rPr>
                <w:sz w:val="20"/>
                <w:szCs w:val="20"/>
                <w:color w:val="auto"/>
              </w:rPr>
            </w:pPr>
            <w:r>
              <w:rPr>
                <w:rFonts w:ascii="Arial" w:cs="Arial" w:eastAsia="Arial" w:hAnsi="Arial"/>
                <w:sz w:val="18"/>
                <w:szCs w:val="18"/>
                <w:b w:val="1"/>
                <w:bCs w:val="1"/>
                <w:color w:val="auto"/>
              </w:rPr>
              <w:t>Issue</w:t>
            </w:r>
          </w:p>
        </w:tc>
        <w:tc>
          <w:tcPr>
            <w:tcW w:w="100" w:type="dxa"/>
            <w:vAlign w:val="bottom"/>
          </w:tcPr>
          <w:p>
            <w:pPr>
              <w:spacing w:after="0"/>
              <w:rPr>
                <w:sz w:val="17"/>
                <w:szCs w:val="17"/>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Trust Preferred</w:t>
            </w:r>
          </w:p>
        </w:tc>
        <w:tc>
          <w:tcPr>
            <w:tcW w:w="100" w:type="dxa"/>
            <w:vAlign w:val="bottom"/>
          </w:tcPr>
          <w:p>
            <w:pPr>
              <w:spacing w:after="0"/>
              <w:rPr>
                <w:sz w:val="17"/>
                <w:szCs w:val="17"/>
                <w:color w:val="auto"/>
              </w:rPr>
            </w:pPr>
          </w:p>
        </w:tc>
        <w:tc>
          <w:tcPr>
            <w:tcW w:w="12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1"/>
              </w:rPr>
              <w:t>Amount of</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Securities and</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r>
      <w:tr>
        <w:trPr>
          <w:trHeight w:val="251"/>
        </w:trPr>
        <w:tc>
          <w:tcPr>
            <w:tcW w:w="3580" w:type="dxa"/>
            <w:vAlign w:val="bottom"/>
          </w:tcPr>
          <w:p>
            <w:pPr>
              <w:spacing w:after="0"/>
              <w:rPr>
                <w:sz w:val="20"/>
                <w:szCs w:val="20"/>
                <w:color w:val="auto"/>
              </w:rPr>
            </w:pPr>
            <w:r>
              <w:rPr>
                <w:rFonts w:ascii="Arial" w:cs="Arial" w:eastAsia="Arial" w:hAnsi="Arial"/>
                <w:sz w:val="18"/>
                <w:szCs w:val="18"/>
                <w:b w:val="1"/>
                <w:bCs w:val="1"/>
                <w:color w:val="auto"/>
              </w:rPr>
              <w:t>Name of Trust</w:t>
            </w:r>
          </w:p>
        </w:tc>
        <w:tc>
          <w:tcPr>
            <w:tcW w:w="100" w:type="dxa"/>
            <w:vAlign w:val="bottom"/>
          </w:tcPr>
          <w:p>
            <w:pPr>
              <w:spacing w:after="0"/>
              <w:rPr>
                <w:sz w:val="21"/>
                <w:szCs w:val="21"/>
                <w:color w:val="auto"/>
              </w:rPr>
            </w:pPr>
          </w:p>
        </w:tc>
        <w:tc>
          <w:tcPr>
            <w:tcW w:w="980" w:type="dxa"/>
            <w:vAlign w:val="bottom"/>
          </w:tcPr>
          <w:p>
            <w:pPr>
              <w:ind w:left="30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1"/>
                <w:szCs w:val="21"/>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8"/>
              </w:rPr>
              <w:t>Debentures</w:t>
            </w:r>
          </w:p>
        </w:tc>
        <w:tc>
          <w:tcPr>
            <w:tcW w:w="1400" w:type="dxa"/>
            <w:vAlign w:val="bottom"/>
            <w:gridSpan w:val="2"/>
          </w:tcPr>
          <w:p>
            <w:pPr>
              <w:jc w:val="center"/>
              <w:ind w:right="120"/>
              <w:spacing w:after="0" w:line="243" w:lineRule="exact"/>
              <w:rPr>
                <w:sz w:val="20"/>
                <w:szCs w:val="20"/>
                <w:color w:val="auto"/>
              </w:rPr>
            </w:pPr>
            <w:r>
              <w:rPr>
                <w:rFonts w:ascii="Arial" w:cs="Arial" w:eastAsia="Arial" w:hAnsi="Arial"/>
                <w:sz w:val="17"/>
                <w:szCs w:val="17"/>
                <w:b w:val="1"/>
                <w:bCs w:val="1"/>
                <w:color w:val="auto"/>
                <w:w w:val="89"/>
              </w:rPr>
              <w:t>Debentures</w:t>
            </w:r>
            <w:r>
              <w:rPr>
                <w:rFonts w:ascii="Arial" w:cs="Arial" w:eastAsia="Arial" w:hAnsi="Arial"/>
                <w:sz w:val="28"/>
                <w:szCs w:val="28"/>
                <w:b w:val="1"/>
                <w:bCs w:val="1"/>
                <w:color w:val="auto"/>
                <w:w w:val="89"/>
                <w:vertAlign w:val="superscript"/>
              </w:rPr>
              <w:t>(1)</w:t>
            </w:r>
          </w:p>
        </w:tc>
        <w:tc>
          <w:tcPr>
            <w:tcW w:w="232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89"/>
              </w:rPr>
              <w:t>Debentures</w:t>
            </w:r>
            <w:r>
              <w:rPr>
                <w:rFonts w:ascii="Arial" w:cs="Arial" w:eastAsia="Arial" w:hAnsi="Arial"/>
                <w:sz w:val="28"/>
                <w:szCs w:val="28"/>
                <w:b w:val="1"/>
                <w:bCs w:val="1"/>
                <w:color w:val="auto"/>
                <w:w w:val="89"/>
                <w:vertAlign w:val="superscript"/>
              </w:rPr>
              <w:t>(2)(3)</w:t>
            </w:r>
          </w:p>
        </w:tc>
      </w:tr>
      <w:tr>
        <w:trPr>
          <w:trHeight w:val="216"/>
        </w:trPr>
        <w:tc>
          <w:tcPr>
            <w:tcW w:w="3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20" w:type="dxa"/>
            <w:vAlign w:val="bottom"/>
          </w:tcPr>
          <w:p>
            <w:pPr>
              <w:spacing w:after="0"/>
              <w:rPr>
                <w:sz w:val="20"/>
                <w:szCs w:val="20"/>
                <w:color w:val="auto"/>
              </w:rPr>
            </w:pPr>
            <w:r>
              <w:rPr>
                <w:rFonts w:ascii="Arial" w:cs="Arial" w:eastAsia="Arial" w:hAnsi="Arial"/>
                <w:sz w:val="18"/>
                <w:szCs w:val="18"/>
                <w:b w:val="1"/>
                <w:bCs w:val="1"/>
                <w:color w:val="auto"/>
              </w:rPr>
              <w:t>in</w:t>
            </w: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r>
      <w:tr>
        <w:trPr>
          <w:trHeight w:val="202"/>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3-mo. LIBOR + 265 bps;</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10,310</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02"/>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jc w:val="right"/>
              <w:spacing w:after="0" w:line="201" w:lineRule="exact"/>
              <w:rPr>
                <w:sz w:val="20"/>
                <w:szCs w:val="20"/>
                <w:color w:val="auto"/>
              </w:rPr>
            </w:pPr>
            <w:r>
              <w:rPr>
                <w:rFonts w:ascii="Arial" w:cs="Arial" w:eastAsia="Arial" w:hAnsi="Arial"/>
                <w:sz w:val="18"/>
                <w:szCs w:val="18"/>
                <w:color w:val="auto"/>
              </w:rPr>
              <w:t>3-mo. LIBOR + 139 bps;</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South Plains Financial Capital Trust IV</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20,619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c>
          <w:tcPr>
            <w:tcW w:w="23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02"/>
        </w:trPr>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3-mo. LIBOR + 150 bps;</w:t>
            </w:r>
          </w:p>
        </w:tc>
      </w:tr>
      <w:tr>
        <w:trPr>
          <w:trHeight w:val="237"/>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10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46,393</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Rate as of last reset date, prior to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(the “ALCO Committee”), reviews this information to determine if the projected future net interest income levels would be acceptable. The Company attempts to stay within acceptable net interest income levels.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March 31, 2020, the Bank had the capacity to borrow additional funds from the FHLB of up to approximately $504.8 million and the capacity to borrow from the Federal Reserve discount window of approximately $540.6 million. The Federal Reserve has also lowered the primary credit rate to 0.25% and extended the term to 90 days to enhance liquidity and encourage use of the Federal Reserve discount window. In addition, the Company maintains overnight fed fund purchase arrangements with correspondent banks.</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 Management believes that these sources of liquidity will provide adequate funding and liquidity to address the economic uncertainties caused by the ongoing COVID-19 pandemic. However, during this period management is closely monitoring the Company’s potential liquidity needs, and if general economic conditions, the COVID-19 pandemic, or other events cause these sources of liquidity to become restricted or are eliminated, the Company may not be able to raise adequate funds or may incur substantially higher funding costs or operating restrictions in order to raise the necessary funds to support the Company’s operations and growth.</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line="77"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Capital Requirements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Total shareholders’ equity increased to $326.9 million as of March 31, 2020, compared to $306.2 million as of December 31, 2019, an increase of $20.7 million, or 6.8%. The increase from December 31, 2019 was primarily the result of $7.1 million in net earnings for the three months ended March 31, 2020, and a change in accumulated other comprehensive income of $13.9 million, net of tax.</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At March 31, 2020, both the Company and the Bank met all the capital adequacy requirements to which the Company and the Bank were subject. At March 31, 2020, the Bank was “well capitalized” under the regulatory framework for prompt corrective action. Management believes that no conditions or events have occurred since March 31, 2020 that would materially adversely change such capital classifications. From time to time, we may need to raise additional capital to support the Company’s and the Bank’s further growth and to maintain our “well capitalized” status.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Company’s and the Bank’s regulatory capital ratios as of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ind w:left="44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0"/>
                <w:szCs w:val="20"/>
                <w:color w:val="auto"/>
              </w:rPr>
            </w:pPr>
          </w:p>
        </w:tc>
        <w:tc>
          <w:tcPr>
            <w:tcW w:w="2420" w:type="dxa"/>
            <w:vAlign w:val="bottom"/>
            <w:gridSpan w:val="4"/>
          </w:tcPr>
          <w:p>
            <w:pPr>
              <w:ind w:left="32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South Plains Financial, Inc.</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5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384,538</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15.23%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373,684</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14.88%</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328,812</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13.02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283,812</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277,835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328,812</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City Bank:</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375,390</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14.87%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368,322</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8"/>
              </w:rPr>
              <w:t>14.67%</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346,136</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13.71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346,136</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13.71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594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346,136</w:t>
            </w:r>
          </w:p>
        </w:tc>
        <w:tc>
          <w:tcPr>
            <w:tcW w:w="1360" w:type="dxa"/>
            <w:vAlign w:val="bottom"/>
            <w:gridSpan w:val="2"/>
          </w:tcPr>
          <w:p>
            <w:pPr>
              <w:ind w:left="700"/>
              <w:spacing w:after="0"/>
              <w:rPr>
                <w:sz w:val="20"/>
                <w:szCs w:val="20"/>
                <w:color w:val="auto"/>
              </w:rPr>
            </w:pPr>
            <w:r>
              <w:rPr>
                <w:rFonts w:ascii="Arial" w:cs="Arial" w:eastAsia="Arial" w:hAnsi="Arial"/>
                <w:sz w:val="18"/>
                <w:szCs w:val="18"/>
                <w:color w:val="auto"/>
              </w:rPr>
              <w:t>10.89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Arrangements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Because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ectPr>
          <w:pgSz w:w="11900" w:h="16916" w:orient="portrait"/>
          <w:cols w:equalWidth="0" w:num="1">
            <w:col w:w="11240"/>
          </w:cols>
          <w:pgMar w:left="320" w:top="122" w:right="339" w:bottom="0" w:gutter="0" w:footer="0" w:header="0"/>
        </w:sectPr>
      </w:pPr>
    </w:p>
    <w:bookmarkStart w:id="47" w:name="page48"/>
    <w:bookmarkEnd w:id="47"/>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commitments we have made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409,969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12,036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10,748</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See “Borrowed Funds - FHLB Advances” herein for a discussion for amounts of letters of credit.</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Sensitivity and Market Risk</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15"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3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ectPr>
          <w:pgSz w:w="11900" w:h="16838" w:orient="portrait"/>
          <w:cols w:equalWidth="0" w:num="1">
            <w:col w:w="11240"/>
          </w:cols>
          <w:pgMar w:left="320" w:top="122" w:right="339" w:bottom="49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9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summarize the simulated change in net interest income over a 12-month horizon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30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198"/>
        </w:trPr>
        <w:tc>
          <w:tcPr>
            <w:tcW w:w="30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5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100" w:type="dxa"/>
            <w:vAlign w:val="bottom"/>
          </w:tcPr>
          <w:p>
            <w:pPr>
              <w:spacing w:after="0"/>
              <w:rPr>
                <w:sz w:val="17"/>
                <w:szCs w:val="17"/>
                <w:color w:val="auto"/>
              </w:rPr>
            </w:pPr>
          </w:p>
        </w:tc>
      </w:tr>
      <w:tr>
        <w:trPr>
          <w:trHeight w:val="194"/>
        </w:trPr>
        <w:tc>
          <w:tcPr>
            <w:tcW w:w="78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Change in Interest Rates (Basis Points)</w:t>
            </w:r>
          </w:p>
        </w:tc>
        <w:tc>
          <w:tcPr>
            <w:tcW w:w="1660" w:type="dxa"/>
            <w:vAlign w:val="bottom"/>
            <w:gridSpan w:val="3"/>
          </w:tcPr>
          <w:p>
            <w:pPr>
              <w:jc w:val="center"/>
              <w:ind w:right="120"/>
              <w:spacing w:after="0" w:line="194" w:lineRule="exact"/>
              <w:rPr>
                <w:sz w:val="20"/>
                <w:szCs w:val="20"/>
                <w:color w:val="auto"/>
              </w:rPr>
            </w:pPr>
            <w:r>
              <w:rPr>
                <w:rFonts w:ascii="Arial" w:cs="Arial" w:eastAsia="Arial" w:hAnsi="Arial"/>
                <w:sz w:val="18"/>
                <w:szCs w:val="18"/>
                <w:b w:val="1"/>
                <w:bCs w:val="1"/>
                <w:color w:val="auto"/>
                <w:w w:val="92"/>
              </w:rPr>
              <w:t>Net Interest Income</w:t>
            </w:r>
          </w:p>
        </w:tc>
        <w:tc>
          <w:tcPr>
            <w:tcW w:w="1720" w:type="dxa"/>
            <w:vAlign w:val="bottom"/>
            <w:gridSpan w:val="3"/>
          </w:tcPr>
          <w:p>
            <w:pPr>
              <w:jc w:val="center"/>
              <w:ind w:right="20"/>
              <w:spacing w:after="0" w:line="194" w:lineRule="exact"/>
              <w:rPr>
                <w:sz w:val="20"/>
                <w:szCs w:val="20"/>
                <w:color w:val="auto"/>
              </w:rPr>
            </w:pPr>
            <w:r>
              <w:rPr>
                <w:rFonts w:ascii="Arial" w:cs="Arial" w:eastAsia="Arial" w:hAnsi="Arial"/>
                <w:sz w:val="18"/>
                <w:szCs w:val="18"/>
                <w:b w:val="1"/>
                <w:bCs w:val="1"/>
                <w:color w:val="auto"/>
                <w:w w:val="92"/>
              </w:rPr>
              <w:t>Net Interest Income</w:t>
            </w:r>
          </w:p>
        </w:tc>
      </w:tr>
      <w:tr>
        <w:trPr>
          <w:trHeight w:val="28"/>
        </w:trPr>
        <w:tc>
          <w:tcPr>
            <w:tcW w:w="3000" w:type="dxa"/>
            <w:vAlign w:val="bottom"/>
            <w:tcBorders>
              <w:top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48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+200</w:t>
            </w:r>
          </w:p>
        </w:tc>
        <w:tc>
          <w:tcPr>
            <w:tcW w:w="4860" w:type="dxa"/>
            <w:vAlign w:val="bottom"/>
          </w:tcPr>
          <w:p>
            <w:pPr>
              <w:spacing w:after="0"/>
              <w:rPr>
                <w:sz w:val="18"/>
                <w:szCs w:val="18"/>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(0.63)</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48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(0.76)</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-100</w:t>
            </w:r>
          </w:p>
        </w:tc>
        <w:tc>
          <w:tcPr>
            <w:tcW w:w="4860" w:type="dxa"/>
            <w:vAlign w:val="bottom"/>
          </w:tcPr>
          <w:p>
            <w:pPr>
              <w:spacing w:after="0"/>
              <w:rPr>
                <w:sz w:val="20"/>
                <w:szCs w:val="20"/>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(2.82)</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(0.23)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March 31, 2020.</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 xml:space="preserve">Basis of Presentation and Consolidation. </w:t>
      </w:r>
      <w:r>
        <w:rPr>
          <w:rFonts w:ascii="Arial" w:cs="Arial" w:eastAsia="Arial" w:hAnsi="Arial"/>
          <w:sz w:val="22"/>
          <w:szCs w:val="22"/>
          <w:color w:val="auto"/>
        </w:rPr>
        <w:t>The consolidated financial statements include the accounts of the Company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wholly owned consolidated subsidiaries. All significant intercompany balances and transactions have been eliminated in consolidation.</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color w:val="auto"/>
        </w:rPr>
        <w:t xml:space="preserve">Cash and Cash Equivalents. </w:t>
      </w:r>
      <w:r>
        <w:rPr>
          <w:rFonts w:ascii="Arial" w:cs="Arial" w:eastAsia="Arial" w:hAnsi="Arial"/>
          <w:sz w:val="22"/>
          <w:szCs w:val="22"/>
          <w:color w:val="auto"/>
        </w:rPr>
        <w:t>The Company includes all cash on hand, balances due from other banks, and Federal funds sold, all</w:t>
      </w:r>
      <w:r>
        <w:rPr>
          <w:rFonts w:ascii="Arial" w:cs="Arial" w:eastAsia="Arial" w:hAnsi="Arial"/>
          <w:sz w:val="22"/>
          <w:szCs w:val="22"/>
          <w:i w:val="1"/>
          <w:iCs w:val="1"/>
          <w:color w:val="auto"/>
        </w:rPr>
        <w:t xml:space="preserve"> </w:t>
      </w:r>
      <w:r>
        <w:rPr>
          <w:rFonts w:ascii="Arial" w:cs="Arial" w:eastAsia="Arial" w:hAnsi="Arial"/>
          <w:sz w:val="22"/>
          <w:szCs w:val="22"/>
          <w:color w:val="auto"/>
        </w:rPr>
        <w:t>of which have original maturities within three months, as cash and cash equivalents.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Securities. </w:t>
      </w:r>
      <w:r>
        <w:rPr>
          <w:rFonts w:ascii="Arial" w:cs="Arial" w:eastAsia="Arial" w:hAnsi="Arial"/>
          <w:sz w:val="19"/>
          <w:szCs w:val="19"/>
          <w:color w:val="auto"/>
        </w:rPr>
        <w:t>Investment securities may be classified into trading, held-to-maturity, or available-for-sale portfolios. Securities that</w:t>
      </w:r>
      <w:r>
        <w:rPr>
          <w:rFonts w:ascii="Arial" w:cs="Arial" w:eastAsia="Arial" w:hAnsi="Arial"/>
          <w:sz w:val="19"/>
          <w:szCs w:val="19"/>
          <w:i w:val="1"/>
          <w:iCs w:val="1"/>
          <w:color w:val="auto"/>
        </w:rPr>
        <w:t xml:space="preserve"> </w:t>
      </w:r>
      <w:r>
        <w:rPr>
          <w:rFonts w:ascii="Arial" w:cs="Arial" w:eastAsia="Arial" w:hAnsi="Arial"/>
          <w:sz w:val="19"/>
          <w:szCs w:val="19"/>
          <w:color w:val="auto"/>
        </w:rPr>
        <w:t>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ectPr>
          <w:pgSz w:w="11900" w:h="16838" w:orient="portrait"/>
          <w:cols w:equalWidth="0" w:num="1">
            <w:col w:w="11240"/>
          </w:cols>
          <w:pgMar w:left="320" w:top="122" w:right="339" w:bottom="598"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598"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 xml:space="preserve">Loans. </w:t>
      </w:r>
      <w:r>
        <w:rPr>
          <w:rFonts w:ascii="Arial" w:cs="Arial" w:eastAsia="Arial" w:hAnsi="Arial"/>
          <w:sz w:val="19"/>
          <w:szCs w:val="19"/>
          <w:color w:val="auto"/>
        </w:rPr>
        <w:t>Loans that management has the intent and ability to hold for the foreseeable future or until maturity or payoff are reported</w:t>
      </w:r>
      <w:r>
        <w:rPr>
          <w:rFonts w:ascii="Arial" w:cs="Arial" w:eastAsia="Arial" w:hAnsi="Arial"/>
          <w:sz w:val="19"/>
          <w:szCs w:val="19"/>
          <w:i w:val="1"/>
          <w:iCs w:val="1"/>
          <w:color w:val="auto"/>
        </w:rPr>
        <w:t xml:space="preserve"> </w:t>
      </w:r>
      <w:r>
        <w:rPr>
          <w:rFonts w:ascii="Arial" w:cs="Arial" w:eastAsia="Arial" w:hAnsi="Arial"/>
          <w:sz w:val="19"/>
          <w:szCs w:val="19"/>
          <w:color w:val="auto"/>
        </w:rPr>
        <w:t>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 xml:space="preserve">Allowance for Loan Losses. </w:t>
      </w:r>
      <w:r>
        <w:rPr>
          <w:rFonts w:ascii="Arial" w:cs="Arial" w:eastAsia="Arial" w:hAnsi="Arial"/>
          <w:sz w:val="19"/>
          <w:szCs w:val="19"/>
          <w:color w:val="auto"/>
        </w:rPr>
        <w:t>The allowance for loan losses is established as losses are estimated to have occurred through a</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 xml:space="preserve">Loans Held for Sale. </w:t>
      </w:r>
      <w:r>
        <w:rPr>
          <w:rFonts w:ascii="Arial" w:cs="Arial" w:eastAsia="Arial" w:hAnsi="Arial"/>
          <w:sz w:val="22"/>
          <w:szCs w:val="22"/>
          <w:color w:val="auto"/>
        </w:rPr>
        <w:t>Loans held for sale are comprised of residential mortgage loans. Loans that are originated for best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See Note 1, Summary of Significant Accounting Policies, in the notes to the consolidated financial statements included elsewhere in this Form 10-Q regarding the impact of new accounting pronouncements which we have adopted.</w:t>
      </w:r>
    </w:p>
    <w:p>
      <w:pPr>
        <w:sectPr>
          <w:pgSz w:w="11900" w:h="16838" w:orient="portrait"/>
          <w:cols w:equalWidth="0" w:num="1">
            <w:col w:w="11240"/>
          </w:cols>
          <w:pgMar w:left="320" w:top="122" w:right="339" w:bottom="193"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93"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Internal Control over Financial Reporting</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There were no changes in the Company’s internal control over financial reporting (as such term is defined in Rules 13a-15(f) and 15d-15(f) under the Exchange Act) that occurred during the three months ended March 31, 2020 that have materially affected, or are reasonably likely to materially affect, the Company’s internal control over financial reporting.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and its subsidiaries are subject to various legal actions, as described in our Annual Report on Form 10-K for the year ended December 31, 2019 (the “2019 Annual Report on Form 10-K”) filed with the Securities and Exchange Commission (the “SEC”) pursuant to Rule 424(b) of the Securities Act of 1933, as amended (the “Securities Act”), on March 25, 2020. There are no material developments in the legal actions described in our 2019 Annual Report on Form 10-K.</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In connection with the recent acquisition of West Texas State Bank (“WTSB”), the Company and the Bank filed a lawsuit in the 72nd Judicial District Court of Lubbock County, Texas: </w:t>
      </w:r>
      <w:r>
        <w:rPr>
          <w:rFonts w:ascii="Arial" w:cs="Arial" w:eastAsia="Arial" w:hAnsi="Arial"/>
          <w:sz w:val="22"/>
          <w:szCs w:val="22"/>
          <w:i w:val="1"/>
          <w:iCs w:val="1"/>
          <w:color w:val="auto"/>
        </w:rPr>
        <w:t>South Plains Financial, Inc. and City Bank v. R. Jay Phillips and West</w:t>
      </w:r>
      <w:r>
        <w:rPr>
          <w:rFonts w:ascii="Arial" w:cs="Arial" w:eastAsia="Arial" w:hAnsi="Arial"/>
          <w:sz w:val="22"/>
          <w:szCs w:val="22"/>
          <w:color w:val="auto"/>
        </w:rPr>
        <w:t xml:space="preserve"> </w:t>
      </w:r>
      <w:r>
        <w:rPr>
          <w:rFonts w:ascii="Arial" w:cs="Arial" w:eastAsia="Arial" w:hAnsi="Arial"/>
          <w:sz w:val="22"/>
          <w:szCs w:val="22"/>
          <w:i w:val="1"/>
          <w:iCs w:val="1"/>
          <w:color w:val="auto"/>
        </w:rPr>
        <w:t>Texas State Bank</w:t>
      </w:r>
      <w:r>
        <w:rPr>
          <w:rFonts w:ascii="Arial" w:cs="Arial" w:eastAsia="Arial" w:hAnsi="Arial"/>
          <w:sz w:val="22"/>
          <w:szCs w:val="22"/>
          <w:color w:val="auto"/>
        </w:rPr>
        <w:t>, Case No. 202053938, on April 8, 2020 (as amended). The petition names as defendants Mr. R. Jay Phillips</w:t>
      </w:r>
      <w:r>
        <w:rPr>
          <w:rFonts w:ascii="Arial" w:cs="Arial" w:eastAsia="Arial" w:hAnsi="Arial"/>
          <w:sz w:val="22"/>
          <w:szCs w:val="22"/>
          <w:i w:val="1"/>
          <w:iCs w:val="1"/>
          <w:color w:val="auto"/>
        </w:rPr>
        <w:t xml:space="preserve"> </w:t>
      </w:r>
      <w:r>
        <w:rPr>
          <w:rFonts w:ascii="Arial" w:cs="Arial" w:eastAsia="Arial" w:hAnsi="Arial"/>
          <w:sz w:val="22"/>
          <w:szCs w:val="22"/>
          <w:color w:val="auto"/>
        </w:rPr>
        <w:t>(“Phillips”) and WTSB.</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petition alleges that Phillips, the former Chairman of the Board and Chief Executive Officer of WTSB, made false representations and misstatements to the Company and the Bank regarding the amount of expenses that were to be incurred as a result of WTSB’s termination of its core data processing contract, as required under the terms of the transaction. In particular, the petition alleges that Phillips’ material misrepresentations, which were certified in writing, resulted in an incorrect quantification of WTSB’s transaction-related expenses and, in turn, inflated the consideration paid by the Company. The petition seeks actual damages, punitive damages, exemplary damages, and attorney’s fees, and, alternatively, rescission of the Company’s acquisition of WTSB.</w:t>
      </w:r>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Phillips filed a counterclaim on May 6, 2020 seeking indemnification from City Bank, as successor to WTSB through merger, including reimbursement and payment of expenses incurred in connection with the lawsuit. The Company intends to vigorously pursue its claim; however, it is not possible at this time to determine with any degree of certainty the ultimate outcome of the litigation. If the case is not resolved, the lawsuit could result in costs associated with indemnification of Phillips and advancement of expenses not covered by insurance.</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Except as described above or in our 2019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Quarterly Report on Form 10-Q for the three months ended March 31, 2020 (this “Form 10-Q”) and the risk factors previously disclosed under the heading “Risk Factors” in Part I, Item 1A of our 2019 Annual Report on Form 10-K. The following risk factors represent material changes in the risk factors disclosed by the Company in the 2019 Annual Report on Form 10-K.</w:t>
      </w:r>
    </w:p>
    <w:p>
      <w:pPr>
        <w:spacing w:after="0" w:line="20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The COVID-19 pandemic is adversely affecting us and our customers, employees, and third-party service providers, and the adverse impacts on our business, financial position, results of operations, and prospects could be significant.</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COVID-19 pandemic has negatively impacted the global economy, disrupted global supply chains, lowered equity market valuations, created significant volatility and disruption in financial markets, increased unemployment levels and decreased consumer confidence generally. In addition, the pandemic has resulted in temporary closures of many businesses and the institution of social distancing and sheltering in place requirements in many states and communities. The pandemic could influence the recognition of credit losses in our loan portfolios and increase our allowance for credit losses, particularly as businesses remain closed and as more customers are expected to draw on their lines of credit or seek additional loans to help finance their businesses. Furthermore, the pandemic could affect the stability of our deposit base as well as our capital and liquidity position, impair the ability of borrowers to repay outstanding loans, impair the value of collateral securing loans, result in lost revenue and cause us to incur additional expenses. Similarly, because of changing economic and market conditions affecting issuers, we may be required to recognize other-than-temporary impairments in future periods on the securities we hold as well as reductions in other comprehensive income.</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extent of the impact of the COVID-19 pandemic on our capital, liquidity, and other financial positions and on our business, results of operations, and prospects will depend on a number of evolving factors, including: (i) the duration, extent, and severity of the pandemic, (ii) the response of governmental and nongovernmental authorities, (iii) the effect on our customers, counterparties, employees, and third-party service providers</w:t>
      </w:r>
      <w:r>
        <w:rPr>
          <w:rFonts w:ascii="Arial" w:cs="Arial" w:eastAsia="Arial" w:hAnsi="Arial"/>
          <w:sz w:val="22"/>
          <w:szCs w:val="22"/>
          <w:i w:val="1"/>
          <w:iCs w:val="1"/>
          <w:color w:val="auto"/>
        </w:rPr>
        <w:t>,</w:t>
      </w:r>
      <w:r>
        <w:rPr>
          <w:rFonts w:ascii="Arial" w:cs="Arial" w:eastAsia="Arial" w:hAnsi="Arial"/>
          <w:sz w:val="22"/>
          <w:szCs w:val="22"/>
          <w:color w:val="auto"/>
        </w:rPr>
        <w:t xml:space="preserve"> (iv) the effect on economies and markets, and (v) the success of hardship relief efforts to bridge the gap to reopening the economy</w:t>
      </w:r>
      <w:r>
        <w:rPr>
          <w:rFonts w:ascii="Arial" w:cs="Arial" w:eastAsia="Arial" w:hAnsi="Arial"/>
          <w:sz w:val="22"/>
          <w:szCs w:val="22"/>
          <w:i w:val="1"/>
          <w:iCs w:val="1"/>
          <w:color w:val="auto"/>
        </w:rPr>
        <w:t>.</w:t>
      </w:r>
    </w:p>
    <w:p>
      <w:pPr>
        <w:sectPr>
          <w:pgSz w:w="11900" w:h="16838" w:orient="portrait"/>
          <w:cols w:equalWidth="0" w:num="1">
            <w:col w:w="11240"/>
          </w:cols>
          <w:pgMar w:left="320" w:top="122" w:right="339" w:bottom="49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90" w:gutter="0" w:footer="0" w:header="0"/>
          <w:type w:val="continuous"/>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duration of the pandemic and the resulting business interruptions and related impacts on our business and operations, which will depend on future developments, are highly uncertain and cannot be reasonably estimated at this time. The pandemic could cause us to experience higher credit losses in our lending portfolio, impairment of our goodwill and other financial assets, reduced demand for our products and services, and other negative impacts on our financial position, results of operations, and prospects.</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U.S. government has implemented programs to directly compensate individuals and grant or loan money to businesses in an effort to provide funding while the economy is shut down. Many banks, including City Bank, have implemented hardship relief programs that include payment deferral and short-term funding options. The success of these programs could mute the effect on the Company’s credit losses, which may be difficult to determine.</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 significant number of our borrowers have requested and received short-term loan payment deferrals. These deferrals may negatively impact our revenue and other results of operations in the near term and, if not effective in mitigating the effect of COVID-19 on our customers, may adversely affect our business and results of operations more substantially over a longer period of time. Moreover, the cumulative effects of COVID-19 and the measures implemented by governments to combat the pandemic on the mortgaged properties may cause borrowers to be unable to meet their payment obligations under mortgage loans that we hold and may result in significant losses.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extent to which COVID-19 impacts our business, results of operations and financial condition will depend on future developments, which are highly uncertain and are difficult to predict, including, but not limited to, the duration and spread of the pandemic, its severity, the actions to contain the virus or treat its impact, and how quickly and to what extent normal economic and operating conditions can resume. Even after COVID-19 has subsided, we may continue to experience materially adverse impacts to our business as a result of the virus’s global economic impact, including the availability of credit, adverse impacts on our liquidity and any recession that has occurred or may occur in the future.</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There are no comparable recent events that provide guidance as to the effect the spread of COVID-19 as a global pandemic may have, and, as a result, the ultimate impact of the outbreak is highly uncertain and subject to change. We do not yet know the full extent of the impacts on our business, our operations or the global economy as a whole. However, the effects could have a material impact on our results of operations and heighten many of our known risks described in the “Risk Factors” section of our Annual Report on Form 10-K for the fiscal year ended December 31, 2019.</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i w:val="1"/>
          <w:iCs w:val="1"/>
          <w:color w:val="auto"/>
        </w:rPr>
        <w:t>Current and future restrictions on our workforce’s access to our facilities and our reliance on third parties could limit our ability to meet customer servicing expectations and have a material adverse effect on our operations.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rely on business processes and profit center activity that largely depend on people, technology, and the use of complex systems and models to manage our business, including access to information technology systems and models as well as information, applications, payment systems and other services provided by third parties. In response to COVID-19, we have modified our business practices with a majority of our employees working remotely from their homes to have our operations uninterrupted as much as possible. Further, technology in employees’ homes may not be as robust as in our offices and could cause the networks, information systems, applications, and other tools available to employees to be more limited or less reliable than in our offices, the continuation of these work-from-home measures introduces additional operational risk, especially including increased cybersecurity risk. These cyber risks include greater phishing, malware, and other cybersecurity attacks, vulnerability to disruptions of our information technology infrastructure and telecommunications systems for remote operations, increased risk of unauthorized dissemination of confidential information, limited ability to restore the systems in the event of a systems failure or interruption, great risk of a security breach resulting in destruction or misuse of valuable information, and potential impairment of our ability to perform critical functions, including wiring funds, all of which could expose us to risks of data or financial loss, litigation and liability and could seriously disrupt our operations and the operations of any impacted customers.</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Moreover, we rely on many third parties in our business operations, including appraisers of real property collateral, vendors that supply essential services such as loan servicers, providers of financial information, systems and analytical tools and providers of electronic payment and settlement systems, and local and federal government agencies, offices, and courthouses. In light of the developing measures responding to the pandemic, many of these entities have limited the availability and access of their services. For example, loan origination could be delayed due to the limited availability of real estate appraisers for the collateral. Loan closings could be delayed related to reductions in available staff in recording offices or the closing of courthouses in certain counties, which slows the process for title work, mortgage and UCC filings in those counties. If the third party service providers continue to have limited capacities for a prolonged period or if additional limitations or potential disruptions in these services materialize, it may negatively affect our operations.</w:t>
      </w:r>
    </w:p>
    <w:p>
      <w:pPr>
        <w:spacing w:after="0" w:line="18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Changes in market interest rates or capital markets, including volatility resulting from the COVID-19 pandemic, could affect our revenues and expenses, the value of assets and obligations, and the availability and cost of capital or liquidity.</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COVID-19 pandemic has significantly affected the financial markets and has resulted in a number of Federal Reserve actions. Market interest rates have declined significantly. On March 3, 2020, the 10-year Treasury yield fell below 1.00% for the first time, and the Federal Reserve reduced the target federal funds rate by 50 basis points to 1.00% to 1.25%. On March 15, 2020, the Federal Reserve further reduced the target federal funds rate by 100 basis points to 0.00% to 0.25% and announced a</w:t>
      </w:r>
    </w:p>
    <w:p>
      <w:pPr>
        <w:sectPr>
          <w:pgSz w:w="11900" w:h="16838" w:orient="portrait"/>
          <w:cols w:equalWidth="0" w:num="1">
            <w:col w:w="11240"/>
          </w:cols>
          <w:pgMar w:left="320" w:top="122" w:right="339" w:bottom="0" w:gutter="0" w:footer="0" w:header="0"/>
        </w:sectPr>
      </w:pPr>
    </w:p>
    <w:bookmarkStart w:id="54" w:name="page55"/>
    <w:bookmarkEnd w:id="54"/>
    <w:p>
      <w:pPr>
        <w:jc w:val="both"/>
        <w:spacing w:after="0" w:line="238" w:lineRule="auto"/>
        <w:rPr>
          <w:sz w:val="20"/>
          <w:szCs w:val="20"/>
          <w:color w:val="auto"/>
        </w:rPr>
      </w:pPr>
      <w:r>
        <w:rPr>
          <w:rFonts w:ascii="Arial" w:cs="Arial" w:eastAsia="Arial" w:hAnsi="Arial"/>
          <w:sz w:val="22"/>
          <w:szCs w:val="22"/>
          <w:color w:val="auto"/>
        </w:rPr>
        <w:t>$700 billion quantitative easing program in response to the expected economic downturn caused by the COVID-19 pandemic. The Federal Reserve reduced the interest that it pays on excess reserves from 1.60% to 1.10% on March 3, 2020, and then to 0.10% on March 15, 2020. We expect that these reductions in interest rates, especially if prolonged, could adversely affect our net interest income and margins and our profitability.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Given our business mix, and the fact that most of our assets and liabilities are financial in nature, we tend to be sensitive to market interest rate movements and the performance of the financial markets. Our primary source of income is net interest income, which is the difference between the interest income generated by our interest-earning assets (consisting primarily of loans and, to a lesser extent, securities) and the interest expense generated by our interest-bearing liabilities. Prevailing economic conditions, fiscal and monetary policies and the policies of various regulatory agencies all affect market rates of interest and the availability and cost of credit, which, in turn, significantly affect financial institutions’ net interest income. If the interest we pay on deposits and other borrowings increases at a faster rate than increases in the interest we receive on loans and investments, net interest income, and, therefore, our earnings, could be affected. Earnings could also be affected if the interest we receive on loans and other investments falls more quickly than the interest we pay on deposits and other borrowings.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addition, the continued spread of COVID-19 has also led to disruption and volatility in financial markets, which could increase our cost of capital and adversely affect our ability to access financial markets, which may in turn affect the value of the subordinated notes. This market volatility has resulted in a significant decline, and we may continue to experience further declines, in our stock price and market capitalization, which could result in goodwill impairment charges.</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2"/>
        </w:trPr>
        <w:tc>
          <w:tcPr>
            <w:tcW w:w="1100" w:type="dxa"/>
            <w:vAlign w:val="bottom"/>
            <w:gridSpan w:val="2"/>
          </w:tcPr>
          <w:p>
            <w:pPr>
              <w:spacing w:after="0"/>
              <w:rPr>
                <w:rFonts w:ascii="Arial" w:cs="Arial" w:eastAsia="Arial" w:hAnsi="Arial"/>
                <w:sz w:val="14"/>
                <w:szCs w:val="14"/>
                <w:i w:val="1"/>
                <w:iCs w:val="1"/>
                <w:u w:val="single" w:color="auto"/>
                <w:color w:val="0000EE"/>
                <w:w w:val="97"/>
              </w:rPr>
            </w:pPr>
            <w:hyperlink w:anchor="page3">
              <w:r>
                <w:rPr>
                  <w:rFonts w:ascii="Arial" w:cs="Arial" w:eastAsia="Arial" w:hAnsi="Arial"/>
                  <w:sz w:val="14"/>
                  <w:szCs w:val="14"/>
                  <w:i w:val="1"/>
                  <w:iCs w:val="1"/>
                  <w:u w:val="single" w:color="auto"/>
                  <w:color w:val="0000EE"/>
                  <w:w w:val="97"/>
                </w:rPr>
                <w:t>Table of Contents</w:t>
              </w:r>
            </w:hyperlink>
          </w:p>
        </w:tc>
        <w:tc>
          <w:tcPr>
            <w:tcW w:w="160" w:type="dxa"/>
            <w:vAlign w:val="bottom"/>
          </w:tcPr>
          <w:p>
            <w:pPr>
              <w:spacing w:after="0"/>
              <w:rPr>
                <w:sz w:val="15"/>
                <w:szCs w:val="15"/>
                <w:color w:val="auto"/>
              </w:rPr>
            </w:pPr>
          </w:p>
        </w:tc>
        <w:tc>
          <w:tcPr>
            <w:tcW w:w="9980" w:type="dxa"/>
            <w:vAlign w:val="bottom"/>
          </w:tcPr>
          <w:p>
            <w:pPr>
              <w:spacing w:after="0"/>
              <w:rPr>
                <w:sz w:val="15"/>
                <w:szCs w:val="15"/>
                <w:color w:val="auto"/>
              </w:rPr>
            </w:pPr>
          </w:p>
        </w:tc>
      </w:tr>
      <w:tr>
        <w:trPr>
          <w:trHeight w:val="377"/>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241"/>
        </w:trPr>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998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680" w:type="dxa"/>
            <w:vAlign w:val="bottom"/>
          </w:tcPr>
          <w:p>
            <w:pPr>
              <w:spacing w:after="0" w:line="201" w:lineRule="exact"/>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3.1</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tcPr>
          <w:p>
            <w:pPr>
              <w:spacing w:after="0" w:line="201" w:lineRule="exact"/>
              <w:rPr>
                <w:sz w:val="20"/>
                <w:szCs w:val="20"/>
                <w:color w:val="auto"/>
              </w:rPr>
            </w:pPr>
            <w:r>
              <w:rPr>
                <w:rFonts w:ascii="Arial" w:cs="Arial" w:eastAsia="Arial" w:hAnsi="Arial"/>
                <w:sz w:val="18"/>
                <w:szCs w:val="18"/>
                <w:color w:val="auto"/>
                <w:w w:val="99"/>
              </w:rPr>
              <w:t>Amended and Restated Certificate of Formation of South Plains Financial, Inc. (incorporated by reference to Exhibit 3.1 to the</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rPr>
              <w:t>Company’s Form S-1 filed with the Commission on April 12, 2019) (File No. 333-230851)</w:t>
            </w:r>
          </w:p>
        </w:tc>
      </w:tr>
      <w:tr>
        <w:trPr>
          <w:trHeight w:val="418"/>
        </w:trPr>
        <w:tc>
          <w:tcPr>
            <w:tcW w:w="680" w:type="dxa"/>
            <w:vAlign w:val="bottom"/>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3.2</w:t>
              </w:r>
            </w:hyperlink>
          </w:p>
        </w:tc>
        <w:tc>
          <w:tcPr>
            <w:tcW w:w="420" w:type="dxa"/>
            <w:vAlign w:val="bottom"/>
          </w:tcPr>
          <w:p>
            <w:pPr>
              <w:spacing w:after="0"/>
              <w:rPr>
                <w:sz w:val="24"/>
                <w:szCs w:val="24"/>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w w:val="92"/>
              </w:rPr>
              <w:t>Amended and Restated Bylaws of South Plains Financial, Inc. (incorporated by reference to Exhibit 3.2 to the Company’s Form S-1 filed</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rPr>
              <w:t>with the Commission on April 12, 2019) (File No. 333-230851)</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31.1*</w:t>
              </w:r>
            </w:hyperlink>
          </w:p>
        </w:tc>
        <w:tc>
          <w:tcPr>
            <w:tcW w:w="420" w:type="dxa"/>
            <w:vAlign w:val="bottom"/>
          </w:tcPr>
          <w:p>
            <w:pPr>
              <w:spacing w:after="0"/>
              <w:rPr>
                <w:sz w:val="24"/>
                <w:szCs w:val="24"/>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31.2*</w:t>
              </w:r>
            </w:hyperlink>
          </w:p>
        </w:tc>
        <w:tc>
          <w:tcPr>
            <w:tcW w:w="420" w:type="dxa"/>
            <w:vAlign w:val="bottom"/>
          </w:tcPr>
          <w:p>
            <w:pPr>
              <w:spacing w:after="0"/>
              <w:rPr>
                <w:sz w:val="24"/>
                <w:szCs w:val="24"/>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32.1**</w:t>
              </w:r>
            </w:hyperlink>
          </w:p>
        </w:tc>
        <w:tc>
          <w:tcPr>
            <w:tcW w:w="420" w:type="dxa"/>
            <w:vAlign w:val="bottom"/>
          </w:tcPr>
          <w:p>
            <w:pPr>
              <w:spacing w:after="0"/>
              <w:rPr>
                <w:sz w:val="24"/>
                <w:szCs w:val="24"/>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32.2**</w:t>
              </w:r>
            </w:hyperlink>
          </w:p>
        </w:tc>
        <w:tc>
          <w:tcPr>
            <w:tcW w:w="420" w:type="dxa"/>
            <w:vAlign w:val="bottom"/>
          </w:tcPr>
          <w:p>
            <w:pPr>
              <w:spacing w:after="0"/>
              <w:rPr>
                <w:sz w:val="24"/>
                <w:szCs w:val="24"/>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w w:val="99"/>
              </w:rPr>
              <w:t>The following material from South Plains Financial, Inc.’s Form 10-Q for the quarter ended March 31, 2020, formatted in XBRL</w:t>
            </w: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w w:val="95"/>
              </w:rPr>
              <w:t>(eXtensible  Business  Reporting  Language),  filed  herewith:  (i)  Consolidated  Balance  Sheets,  (ii)  Consolidated  Statements  of</w:t>
            </w:r>
          </w:p>
        </w:tc>
      </w:tr>
      <w:tr>
        <w:trPr>
          <w:trHeight w:val="216"/>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w w:val="92"/>
              </w:rPr>
              <w:t>Comprehensive Income, (iii) Consolidated Statements of Changes in Stockholders’ Equity, (iv) Consolidated Statements of Cash Flows,</w:t>
            </w: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gridSpan w:val="2"/>
          </w:tcPr>
          <w:p>
            <w:pPr>
              <w:ind w:left="160"/>
              <w:spacing w:after="0"/>
              <w:rPr>
                <w:sz w:val="20"/>
                <w:szCs w:val="20"/>
                <w:color w:val="auto"/>
              </w:rPr>
            </w:pPr>
            <w:r>
              <w:rPr>
                <w:rFonts w:ascii="Arial" w:cs="Arial" w:eastAsia="Arial" w:hAnsi="Arial"/>
                <w:sz w:val="18"/>
                <w:szCs w:val="18"/>
                <w:color w:val="auto"/>
              </w:rPr>
              <w:t>and (v) Notes to Unaudited Consolidated Financial Statements.</w:t>
            </w:r>
          </w:p>
        </w:tc>
      </w:tr>
    </w:tbl>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222222"/>
        </w:rPr>
      </w:pPr>
      <w:r>
        <w:rPr>
          <w:rFonts w:ascii="Arial" w:cs="Arial" w:eastAsia="Arial" w:hAnsi="Arial"/>
          <w:sz w:val="18"/>
          <w:szCs w:val="18"/>
          <w:color w:val="222222"/>
        </w:rPr>
        <w:t>Filed with this Form 10-Q</w:t>
      </w:r>
    </w:p>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222222"/>
        </w:rPr>
        <w:t>Furnished with this Form 10-Q</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0" w:val="left"/>
          <w:tab w:leader="none" w:pos="6180" w:val="left"/>
          <w:tab w:leader="none" w:pos="8140" w:val="left"/>
        </w:tabs>
        <w:rPr>
          <w:sz w:val="20"/>
          <w:szCs w:val="20"/>
          <w:color w:val="auto"/>
        </w:rPr>
      </w:pPr>
      <w:r>
        <w:rPr>
          <w:rFonts w:ascii="Arial" w:cs="Arial" w:eastAsia="Arial" w:hAnsi="Arial"/>
          <w:sz w:val="18"/>
          <w:szCs w:val="18"/>
          <w:color w:val="auto"/>
        </w:rPr>
        <w:t>Date:</w:t>
        <w:tab/>
        <w:t>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tabs>
          <w:tab w:leader="none" w:pos="560" w:val="left"/>
          <w:tab w:leader="none" w:pos="6180" w:val="left"/>
          <w:tab w:leader="none" w:pos="8080" w:val="left"/>
        </w:tabs>
        <w:rPr>
          <w:sz w:val="20"/>
          <w:szCs w:val="20"/>
          <w:color w:val="auto"/>
        </w:rPr>
      </w:pPr>
      <w:r>
        <w:rPr>
          <w:rFonts w:ascii="Arial" w:cs="Arial" w:eastAsia="Arial" w:hAnsi="Arial"/>
          <w:sz w:val="18"/>
          <w:szCs w:val="18"/>
          <w:color w:val="auto"/>
        </w:rPr>
        <w:t>Date:</w:t>
        <w:tab/>
        <w:t>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 and Treasurer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340" w:right="5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March 31, 2020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280" w:right="1300" w:firstLine="90"/>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right="5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(the “registrant”) for the quarter ended March 31, 2020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90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March 31, 2020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Pr>
          <w:p>
            <w:pPr>
              <w:spacing w:after="0"/>
              <w:rPr>
                <w:sz w:val="20"/>
                <w:szCs w:val="20"/>
                <w:color w:val="auto"/>
              </w:rPr>
            </w:pPr>
            <w:r>
              <w:rPr>
                <w:rFonts w:ascii="Arial" w:cs="Arial" w:eastAsia="Arial" w:hAnsi="Arial"/>
                <w:sz w:val="18"/>
                <w:szCs w:val="18"/>
                <w:color w:val="auto"/>
              </w:rPr>
              <w:t>Date: May 13, 2020</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Curtis C. Griffith</w:t>
            </w:r>
          </w:p>
        </w:tc>
      </w:tr>
      <w:tr>
        <w:trPr>
          <w:trHeight w:val="202"/>
        </w:trPr>
        <w:tc>
          <w:tcPr>
            <w:tcW w:w="3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March 31, 2020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Pr>
          <w:p>
            <w:pPr>
              <w:spacing w:after="0"/>
              <w:rPr>
                <w:sz w:val="20"/>
                <w:szCs w:val="20"/>
                <w:color w:val="auto"/>
              </w:rPr>
            </w:pPr>
            <w:r>
              <w:rPr>
                <w:rFonts w:ascii="Arial" w:cs="Arial" w:eastAsia="Arial" w:hAnsi="Arial"/>
                <w:sz w:val="18"/>
                <w:szCs w:val="18"/>
                <w:color w:val="auto"/>
              </w:rPr>
              <w:t>Date: May 13, 2020</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upperLetter"/>
      <w:start w:val="68"/>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3"/>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56" Type="http://schemas.openxmlformats.org/officeDocument/2006/relationships/hyperlink" Target="http://www.sec.gov/Archives/edgar/data/1163668/000114036119007042/s002614x4_ex3-1.htm" TargetMode="External"/><Relationship Id="rId57" Type="http://schemas.openxmlformats.org/officeDocument/2006/relationships/hyperlink" Target="http://www.sec.gov/Archives/edgar/data/1163668/000114036119007042/s002614x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2020-05-13T16:05:41Z</dcterms:created>
  <dcterms:modified xsi:type="dcterms:W3CDTF">2020-05-13T16:05:41Z</dcterms:modified>
</cp:coreProperties>
</file>