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83946P107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973,396.00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480,360.00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973,396.00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480,360.00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1,453,756.00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items 5 and 7, includes (i) 453,565 shares held directly, (ii) 102,510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vested from stock options, (iii) 1,646 shares underlying stock options exercisable within 60 days of March 31, 2025, (iv) 3,675 shares covered by outstanding restricted stock units held of record by Mr. Griffith, (v) 64,000 shares held in the Richard Thomas White 2021 Trust, over which Mr. Griffith serves as trustee and exercises the authority to vote and dispose, (vi) 87,000 shares held in the Birdie Lucille White 2021 Trust, over which Mr. Griffith serves as trustee and exercises the authority to vote and dispose, (vii) 87,000 shares held in the William Hogan White 2021 Trust, over which Mr. Griffith serves as trustee and exercises the authority to vote and dispose, (viii) 87,000 shares held in the Sydney Suzanne Griffith 2021 Trust, over which Mr. Griffith serves as trustee and exercises the authority to vote and dispose, and (ix) 87,000 shares held in the Johnathan Brockway Griffith 2021 Trust, over which Mr. Griffith serves as trustee and exercises the authority to vote and dispose. Relating to items 6, 8 and 9, includes (i) 45,360 shares held by Mr. Griffith's spouse, which Mr. Griffith disclaims beneficial ownership of these shares except to the extent of his pecuniary interest, and the filing of this report is not an admission that Mr. Griffith is the beneficial owner of these shares for purposes of Section 13 of the Securities Exchange Act of 1934, as amended (the "Exchange Act") or for any other purpose, and (ii) 435,000 shares held in the Curtis C. Griffith 2021 Irrevocable Trust, over which Mr. Griffith's spouse serves as trustee, which Mr. Griffith disclaims beneficial ownership of these shares except to the extent of his pecuniary interest, and the filing of this report is not an admission that Mr. Griffith is the beneficial owner of these shares for purposes of Section 13 of the Exchange Act or for any other purpose. Relating to item 11, the percentage based on the sum of 16,235,647 shares of common stock outstanding as of March 31, 2025, and 102,510 shares vested from stock options held by directly by Mr. Griffith as of March 31,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SOUTH PLAINS FINANCIAL,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5219 City Bank Parkway, Lubbock, Texas, 79407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Curtis C. Griffith</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address for the principal business office of Curtis Griffith is: 5219 City Bank Parkway, Lubbock, Texas 79407</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140"/>
          </w:cols>
          <w:pgMar w:left="320" w:top="166" w:right="43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$1.00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83946P107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4(a)-(c), as of the date hereof, is set forth in Rows 5-11 of the cover page hereto for the Reporting Person and is incorporated herein by reference for the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60"/>
          </w:cols>
          <w:pgMar w:left="360" w:top="355"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973,396</w:t>
      </w:r>
    </w:p>
    <w:p>
      <w:pPr>
        <w:spacing w:after="0" w:line="287" w:lineRule="exact"/>
        <w:rPr>
          <w:sz w:val="20"/>
          <w:szCs w:val="20"/>
          <w:color w:val="auto"/>
        </w:rPr>
      </w:pPr>
    </w:p>
    <w:p>
      <w:pPr>
        <w:ind w:right="596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480,360</w:t>
      </w:r>
    </w:p>
    <w:p>
      <w:pPr>
        <w:spacing w:after="0" w:line="1" w:lineRule="exact"/>
        <w:rPr>
          <w:rFonts w:ascii="Times New Roman" w:cs="Times New Roman" w:eastAsia="Times New Roman" w:hAnsi="Times New Roman"/>
          <w:sz w:val="22"/>
          <w:szCs w:val="22"/>
          <w:color w:val="auto"/>
        </w:rPr>
      </w:pPr>
    </w:p>
    <w:p>
      <w:pPr>
        <w:ind w:right="504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973,396</w:t>
      </w:r>
    </w:p>
    <w:p>
      <w:pPr>
        <w:spacing w:after="0" w:line="1" w:lineRule="exact"/>
        <w:rPr>
          <w:rFonts w:ascii="Times New Roman" w:cs="Times New Roman" w:eastAsia="Times New Roman" w:hAnsi="Times New Roman"/>
          <w:sz w:val="22"/>
          <w:szCs w:val="22"/>
          <w:color w:val="auto"/>
        </w:rPr>
      </w:pPr>
    </w:p>
    <w:p>
      <w:pPr>
        <w:ind w:right="484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480,360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9940"/>
          </w:cols>
          <w:pgMar w:left="360" w:top="355" w:right="67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Curtis C. Griffith</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Curtis C. Griffith</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The original statement shall be signed by each person on whose behalf the statement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sectPr>
      <w:pgSz w:w="11900" w:h="16838" w:orient="portrait"/>
      <w:cols w:equalWidth="0" w:num="1">
        <w:col w:w="11180"/>
      </w:cols>
      <w:pgMar w:left="32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2025-05-15T14:04:42Z</dcterms:created>
  <dcterms:modified xsi:type="dcterms:W3CDTF">2025-05-15T14:04:42Z</dcterms:modified>
</cp:coreProperties>
</file>