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Crockett Steven B</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tcPr>
          <w:p>
            <w:pPr>
              <w:ind w:left="20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5219 CITY BANK PARKWAY</w:t>
            </w:r>
          </w:p>
        </w:tc>
        <w:tc>
          <w:tcPr>
            <w:tcW w:w="132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LUBBOCK</w:t>
            </w:r>
          </w:p>
        </w:tc>
        <w:tc>
          <w:tcPr>
            <w:tcW w:w="13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3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79407-3544</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tcPr>
          <w:p>
            <w:pPr>
              <w:ind w:left="200"/>
              <w:spacing w:after="0"/>
              <w:rPr>
                <w:sz w:val="20"/>
                <w:szCs w:val="20"/>
                <w:color w:val="auto"/>
              </w:rPr>
            </w:pPr>
            <w:r>
              <w:rPr>
                <w:rFonts w:ascii="Arial" w:cs="Arial" w:eastAsia="Arial" w:hAnsi="Arial"/>
                <w:sz w:val="13"/>
                <w:szCs w:val="13"/>
                <w:color w:val="auto"/>
              </w:rPr>
              <w:t>(State)</w:t>
            </w:r>
          </w:p>
        </w:tc>
        <w:tc>
          <w:tcPr>
            <w:tcW w:w="1320" w:type="dxa"/>
            <w:vAlign w:val="bottom"/>
          </w:tcPr>
          <w:p>
            <w:pPr>
              <w:ind w:left="1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SOUTH PLAINS FINANCIAL,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2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SPFI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1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3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7"/>
                <w:szCs w:val="17"/>
                <w:color w:val="0000FF"/>
              </w:rPr>
              <w:t>CFO and Treasurer</w:t>
            </w:r>
          </w:p>
        </w:tc>
        <w:tc>
          <w:tcPr>
            <w:tcW w:w="0" w:type="dxa"/>
            <w:vAlign w:val="bottom"/>
          </w:tcPr>
          <w:p>
            <w:pPr>
              <w:spacing w:after="0"/>
              <w:rPr>
                <w:sz w:val="1"/>
                <w:szCs w:val="1"/>
                <w:color w:val="auto"/>
              </w:rPr>
            </w:pPr>
          </w:p>
        </w:tc>
      </w:tr>
      <w:tr>
        <w:trPr>
          <w:trHeight w:val="120"/>
        </w:trPr>
        <w:tc>
          <w:tcPr>
            <w:tcW w:w="33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02/19/2025</w:t>
            </w:r>
          </w:p>
        </w:tc>
        <w:tc>
          <w:tcPr>
            <w:tcW w:w="50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320" w:type="dxa"/>
            <w:vAlign w:val="bottom"/>
            <w:gridSpan w:val="3"/>
            <w:vMerge w:val="continue"/>
          </w:tcPr>
          <w:p>
            <w:pPr>
              <w:spacing w:after="0"/>
              <w:rPr>
                <w:sz w:val="9"/>
                <w:szCs w:val="9"/>
                <w:color w:val="auto"/>
              </w:rPr>
            </w:pPr>
          </w:p>
        </w:tc>
        <w:tc>
          <w:tcPr>
            <w:tcW w:w="5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1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02/19/2025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ind w:right="33"/>
              <w:spacing w:after="0"/>
              <w:rPr>
                <w:sz w:val="20"/>
                <w:szCs w:val="20"/>
                <w:color w:val="auto"/>
              </w:rPr>
            </w:pPr>
            <w:r>
              <w:rPr>
                <w:rFonts w:ascii="Times New Roman" w:cs="Times New Roman" w:eastAsia="Times New Roman" w:hAnsi="Times New Roman"/>
                <w:sz w:val="17"/>
                <w:szCs w:val="17"/>
                <w:color w:val="0000FF"/>
              </w:rPr>
              <w:t>6,197</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00"/>
              <w:spacing w:after="0" w:line="320" w:lineRule="exact"/>
              <w:rPr>
                <w:sz w:val="20"/>
                <w:szCs w:val="20"/>
                <w:color w:val="auto"/>
              </w:rPr>
            </w:pPr>
            <w:r>
              <w:rPr>
                <w:rFonts w:ascii="Times New Roman" w:cs="Times New Roman" w:eastAsia="Times New Roman" w:hAnsi="Times New Roman"/>
                <w:sz w:val="34"/>
                <w:szCs w:val="34"/>
                <w:color w:val="0000FF"/>
                <w:vertAlign w:val="subscript"/>
              </w:rPr>
              <w:t>82,818</w:t>
            </w:r>
            <w:r>
              <w:rPr>
                <w:rFonts w:ascii="Times New Roman" w:cs="Times New Roman" w:eastAsia="Times New Roman" w:hAnsi="Times New Roman"/>
                <w:sz w:val="11"/>
                <w:szCs w:val="11"/>
                <w:color w:val="008000"/>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02/21/2025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ind w:right="113"/>
              <w:spacing w:after="0"/>
              <w:rPr>
                <w:sz w:val="20"/>
                <w:szCs w:val="20"/>
                <w:color w:val="auto"/>
              </w:rPr>
            </w:pPr>
            <w:r>
              <w:rPr>
                <w:rFonts w:ascii="Times New Roman" w:cs="Times New Roman" w:eastAsia="Times New Roman" w:hAnsi="Times New Roman"/>
                <w:sz w:val="17"/>
                <w:szCs w:val="17"/>
                <w:color w:val="0000FF"/>
              </w:rPr>
              <w:t>783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35.17</w:t>
            </w:r>
          </w:p>
        </w:tc>
        <w:tc>
          <w:tcPr>
            <w:tcW w:w="1200" w:type="dxa"/>
            <w:vAlign w:val="bottom"/>
            <w:tcBorders>
              <w:bottom w:val="single" w:sz="8" w:color="2C2C2C"/>
            </w:tcBorders>
            <w:gridSpan w:val="2"/>
          </w:tcPr>
          <w:p>
            <w:pPr>
              <w:ind w:left="200"/>
              <w:spacing w:after="0"/>
              <w:rPr>
                <w:sz w:val="20"/>
                <w:szCs w:val="20"/>
                <w:color w:val="auto"/>
              </w:rPr>
            </w:pPr>
            <w:r>
              <w:rPr>
                <w:rFonts w:ascii="Times New Roman" w:cs="Times New Roman" w:eastAsia="Times New Roman" w:hAnsi="Times New Roman"/>
                <w:sz w:val="17"/>
                <w:szCs w:val="17"/>
                <w:color w:val="0000FF"/>
              </w:rPr>
              <w:t>82,035</w:t>
            </w:r>
            <w:r>
              <w:rPr>
                <w:rFonts w:ascii="Times New Roman" w:cs="Times New Roman" w:eastAsia="Times New Roman" w:hAnsi="Times New Roman"/>
                <w:sz w:val="22"/>
                <w:szCs w:val="22"/>
                <w:color w:val="008000"/>
                <w:vertAlign w:val="superscript"/>
              </w:rPr>
              <w:t>(1)(2)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include restricted stock units that may be settled only by delivery of an equal number of shares of common stock and which are subject to vesting and forfeiture conditions.</w:t>
      </w:r>
    </w:p>
    <w:p>
      <w:pPr>
        <w:spacing w:after="0" w:line="50"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a clerical error, the Reporting Person's Form 4 filed on January 3, 2025 overstated the number of shares of common stock disposed of on December 31, 2024 by 89 shares. The Reporting Person's direct holdings have been adjusted in this Form 4 to correct such error.</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By Mikella D. Newsom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17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Attorney-in-Fact for Steven B  02/21/2025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Crockett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8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84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5189" TargetMode="External"/><Relationship Id="rId14" Type="http://schemas.openxmlformats.org/officeDocument/2006/relationships/hyperlink" Target="http://www.sec.gov/cgi-bin/browse-edgar?action=getcompany&amp;CIK=00011636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2025-02-21T19:06:40Z</dcterms:created>
  <dcterms:modified xsi:type="dcterms:W3CDTF">2025-02-21T19:06:40Z</dcterms:modified>
</cp:coreProperties>
</file>