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113" w:lineRule="exact"/>
        <w:rPr>
          <w:sz w:val="24"/>
          <w:szCs w:val="24"/>
          <w:color w:val="auto"/>
        </w:rPr>
      </w:pPr>
    </w:p>
    <w:p>
      <w:pPr>
        <w:sectPr>
          <w:pgSz w:w="11900" w:h="1685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SPFI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8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60"/>
        </w:trPr>
        <w:tc>
          <w:tcPr>
            <w:tcW w:w="3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08/29/2022</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76" w:lineRule="exact"/>
        <w:rPr>
          <w:sz w:val="20"/>
          <w:szCs w:val="20"/>
          <w:color w:val="auto"/>
        </w:rPr>
      </w:pPr>
    </w:p>
    <w:p>
      <w:pPr>
        <w:sectPr>
          <w:pgSz w:w="11900" w:h="1685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08/29/2022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75,000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1,452,593</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08/29/2022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1,427,593</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100,242</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ESOP</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249</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401(k)</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South Plains Financial, Inc. Employee Stock Ownership Plan ("ESOP") and allocated to the Reporting Person's account.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Reporting Person's account under the City Bank 401(k)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ectPr>
          <w:pgSz w:w="11900" w:h="16857"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2022-08-31T16:10:30Z</dcterms:created>
  <dcterms:modified xsi:type="dcterms:W3CDTF">2022-08-31T16:10:30Z</dcterms:modified>
</cp:coreProperties>
</file>