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894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89495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Griffith Curtis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2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3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3740" w:type="dxa"/>
            <w:vAlign w:val="bottom"/>
            <w:gridSpan w:val="2"/>
            <w:vMerge w:val="continue"/>
          </w:tcPr>
          <w:p>
            <w:pPr>
              <w:spacing w:after="0"/>
              <w:rPr>
                <w:sz w:val="3"/>
                <w:szCs w:val="3"/>
                <w:color w:val="auto"/>
              </w:rPr>
            </w:pPr>
          </w:p>
        </w:tc>
        <w:tc>
          <w:tcPr>
            <w:tcW w:w="3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7"/>
                <w:szCs w:val="17"/>
                <w:color w:val="0000FF"/>
              </w:rPr>
              <w:t>Chairman and CEO</w:t>
            </w:r>
          </w:p>
        </w:tc>
        <w:tc>
          <w:tcPr>
            <w:tcW w:w="0" w:type="dxa"/>
            <w:vAlign w:val="bottom"/>
          </w:tcPr>
          <w:p>
            <w:pPr>
              <w:spacing w:after="0" w:line="20" w:lineRule="exact"/>
              <w:rPr>
                <w:sz w:val="1"/>
                <w:szCs w:val="1"/>
                <w:color w:val="auto"/>
              </w:rPr>
            </w:pPr>
          </w:p>
        </w:tc>
      </w:tr>
      <w:tr>
        <w:trPr>
          <w:trHeight w:val="226"/>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07/30/2024</w:t>
            </w:r>
          </w:p>
        </w:tc>
        <w:tc>
          <w:tcPr>
            <w:tcW w:w="50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3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07/30/2024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5,000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10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33</w:t>
            </w:r>
            <w:r>
              <w:rPr>
                <w:rFonts w:ascii="Times New Roman" w:cs="Times New Roman" w:eastAsia="Times New Roman" w:hAnsi="Times New Roman"/>
                <w:sz w:val="11"/>
                <w:szCs w:val="11"/>
                <w:color w:val="008000"/>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1,010,967</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07/31/2024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12,470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32.96</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998,497</w:t>
            </w:r>
            <w:r>
              <w:rPr>
                <w:rFonts w:ascii="Times New Roman" w:cs="Times New Roman" w:eastAsia="Times New Roman" w:hAnsi="Times New Roman"/>
                <w:sz w:val="22"/>
                <w:szCs w:val="22"/>
                <w:color w:val="008000"/>
                <w:w w:val="93"/>
                <w:vertAlign w:val="superscript"/>
              </w:rPr>
              <w:t>(2)</w:t>
            </w:r>
          </w:p>
        </w:tc>
        <w:tc>
          <w:tcPr>
            <w:tcW w:w="92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45,360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435,000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CCG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64,000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RTW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BLW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WHW</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(8)</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SSG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(9)</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JBG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3"/>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which resulted in multiple same day, same way open market sales, with prices ranging from $33.00 to $33.08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50" w:lineRule="exact"/>
        <w:rPr>
          <w:rFonts w:ascii="Times New Roman" w:cs="Times New Roman" w:eastAsia="Times New Roman" w:hAnsi="Times New Roman"/>
          <w:sz w:val="13"/>
          <w:szCs w:val="13"/>
          <w:color w:val="008000"/>
        </w:rPr>
      </w:pPr>
    </w:p>
    <w:p>
      <w:pPr>
        <w:ind w:left="40" w:right="4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executed a trade order through a broker-dealer which resulted in multiple same day, same way open market sales, with prices ranging from $32.75 to $33.40 per share. The Reporting Person has reported these sales on an aggregate basis using the weighted average price for the transactions. The Reporting Person undertakes to provide, upon request by the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Curtis C. Griffith 2021 Irrevocable Trust ("CCG Trust"), over which the Reporting Person's spouse, who shares the Reporting Person's household, serves as trustee. The members of the Reporting Person's immediate family are the beneficiaries of this trust.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Richard Thomas White 2021 Trust ("RTW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right="18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Birdie Lucille White 2021 Trust ("BLW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William Hogan White 2021 Trust ("WHW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Sydney Suzanne Griffith 2021 Trust ("SSG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right="8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Johnathan Brockway Griffith 2021 Trust ("JBG Trust"), over which the Reporting Person serves as trustee. A member of the Reporting Person's immediate family is the beneficiary of this trust.</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1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Curtis C.  08/01/2024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34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5195"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2024-08-01T17:27:40Z</dcterms:created>
  <dcterms:modified xsi:type="dcterms:W3CDTF">2024-08-01T17:27:40Z</dcterms:modified>
</cp:coreProperties>
</file>