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pPr>
      <w:r>
        <w:rPr/>
      </w:r>
    </w:p>
    <w:p>
      <w:pPr>
        <w:pStyle w:val="HorizontalLine"/>
        <w:bidi w:val="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pPr>
      <w:r>
        <w:rPr/>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the Securities Exchange Act of 1934</w:t>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Date of Report (Date of earliest event reported):  February 21, 2024</w:t>
      </w:r>
    </w:p>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South Plains Financial, Inc.</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its charter)</w:t>
      </w:r>
    </w:p>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p>
      <w:pPr>
        <w:pStyle w:val="TextBody"/>
        <w:bidi w:val="0"/>
        <w:spacing w:before="0" w:after="0"/>
        <w:jc w:val="left"/>
        <w:rPr>
          <w:sz w:val="20"/>
        </w:rPr>
      </w:pPr>
      <w:r>
        <w:rPr>
          <w:sz w:val="20"/>
        </w:rPr>
      </w:r>
    </w:p>
    <w:tbl>
      <w:tblPr>
        <w:tblW w:w="8550" w:type="dxa"/>
        <w:jc w:val="left"/>
        <w:tblInd w:w="0" w:type="dxa"/>
        <w:tblLayout w:type="fixed"/>
        <w:tblCellMar>
          <w:top w:w="0" w:type="dxa"/>
          <w:left w:w="0" w:type="dxa"/>
          <w:bottom w:w="0" w:type="dxa"/>
          <w:right w:w="0" w:type="dxa"/>
        </w:tblCellMar>
      </w:tblPr>
      <w:tblGrid>
        <w:gridCol w:w="3575"/>
        <w:gridCol w:w="2210"/>
        <w:gridCol w:w="2765"/>
      </w:tblGrid>
      <w:tr>
        <w:trPr/>
        <w:tc>
          <w:tcPr>
            <w:tcW w:w="357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Texas</w:t>
            </w:r>
          </w:p>
        </w:tc>
        <w:tc>
          <w:tcPr>
            <w:tcW w:w="221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001-38895</w:t>
            </w:r>
          </w:p>
        </w:tc>
        <w:tc>
          <w:tcPr>
            <w:tcW w:w="276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75-2453320</w:t>
            </w:r>
          </w:p>
        </w:tc>
      </w:tr>
      <w:tr>
        <w:trPr/>
        <w:tc>
          <w:tcPr>
            <w:tcW w:w="357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(State or other jurisdiction of incorporation)</w:t>
            </w:r>
          </w:p>
        </w:tc>
        <w:tc>
          <w:tcPr>
            <w:tcW w:w="221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(Commission File Number)</w:t>
            </w:r>
          </w:p>
        </w:tc>
        <w:tc>
          <w:tcPr>
            <w:tcW w:w="27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(IRS Employer Identification No.)</w:t>
            </w:r>
          </w:p>
        </w:tc>
      </w:tr>
    </w:tbl>
    <w:p>
      <w:pPr>
        <w:pStyle w:val="TextBody"/>
        <w:bidi w:val="0"/>
        <w:spacing w:before="0" w:after="0"/>
        <w:jc w:val="left"/>
        <w:rPr>
          <w:sz w:val="20"/>
        </w:rPr>
      </w:pPr>
      <w:r>
        <w:rPr>
          <w:sz w:val="20"/>
        </w:rPr>
      </w:r>
    </w:p>
    <w:tbl>
      <w:tblPr>
        <w:tblW w:w="5487" w:type="dxa"/>
        <w:jc w:val="left"/>
        <w:tblInd w:w="0" w:type="dxa"/>
        <w:tblLayout w:type="fixed"/>
        <w:tblCellMar>
          <w:top w:w="0" w:type="dxa"/>
          <w:left w:w="0" w:type="dxa"/>
          <w:bottom w:w="0" w:type="dxa"/>
          <w:right w:w="0" w:type="dxa"/>
        </w:tblCellMar>
      </w:tblPr>
      <w:tblGrid>
        <w:gridCol w:w="4522"/>
        <w:gridCol w:w="60"/>
        <w:gridCol w:w="905"/>
      </w:tblGrid>
      <w:tr>
        <w:trPr/>
        <w:tc>
          <w:tcPr>
            <w:tcW w:w="4522" w:type="dxa"/>
            <w:tcBorders/>
            <w:vAlign w:val="center"/>
          </w:tcPr>
          <w:p>
            <w:pPr>
              <w:pStyle w:val="TableContents"/>
              <w:bidi w:val="0"/>
              <w:spacing w:before="0" w:after="0"/>
              <w:ind w:left="0" w:right="1325" w:hanging="0"/>
              <w:jc w:val="center"/>
              <w:rPr>
                <w:rFonts w:ascii="Times New Roman" w:hAnsi="Times New Roman"/>
                <w:b/>
                <w:sz w:val="20"/>
              </w:rPr>
            </w:pPr>
            <w:r>
              <w:rPr>
                <w:rFonts w:ascii="Times New Roman" w:hAnsi="Times New Roman"/>
                <w:b/>
                <w:sz w:val="20"/>
              </w:rPr>
              <w:t>5219 City Bank Parkway</w:t>
            </w:r>
          </w:p>
          <w:p>
            <w:pPr>
              <w:pStyle w:val="TableContents"/>
              <w:bidi w:val="0"/>
              <w:spacing w:before="0" w:after="0"/>
              <w:ind w:left="0" w:right="1322" w:hanging="0"/>
              <w:jc w:val="center"/>
              <w:rPr>
                <w:rFonts w:ascii="Times New Roman" w:hAnsi="Times New Roman"/>
                <w:b/>
                <w:sz w:val="20"/>
              </w:rPr>
            </w:pPr>
            <w:r>
              <w:rPr>
                <w:rFonts w:ascii="Times New Roman" w:hAnsi="Times New Roman"/>
                <w:b/>
                <w:sz w:val="20"/>
              </w:rPr>
              <w:t>Lubbock, Texas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ind w:left="1410" w:right="0" w:hanging="0"/>
              <w:jc w:val="center"/>
              <w:rPr>
                <w:rFonts w:ascii="Times New Roman" w:hAnsi="Times New Roman"/>
                <w:b/>
                <w:sz w:val="20"/>
              </w:rPr>
            </w:pPr>
            <w:r>
              <w:rPr>
                <w:rFonts w:ascii="Times New Roman" w:hAnsi="Times New Roman"/>
                <w:b/>
                <w:sz w:val="20"/>
              </w:rPr>
              <w:t>79407</w:t>
            </w:r>
          </w:p>
        </w:tc>
      </w:tr>
      <w:tr>
        <w:trPr/>
        <w:tc>
          <w:tcPr>
            <w:tcW w:w="4522" w:type="dxa"/>
            <w:tcBorders/>
            <w:vAlign w:val="center"/>
          </w:tcPr>
          <w:p>
            <w:pPr>
              <w:pStyle w:val="TableContents"/>
              <w:bidi w:val="0"/>
              <w:spacing w:before="0" w:after="0"/>
              <w:ind w:left="0" w:right="1322" w:hanging="0"/>
              <w:jc w:val="center"/>
              <w:rPr>
                <w:rFonts w:ascii="Times New Roman" w:hAnsi="Times New Roman"/>
                <w:sz w:val="20"/>
              </w:rPr>
            </w:pPr>
            <w:r>
              <w:rPr>
                <w:rFonts w:ascii="Times New Roman" w:hAnsi="Times New Roman"/>
                <w:sz w:val="20"/>
              </w:rPr>
              <w:t>(Address of principal executive offices)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ind w:left="1410" w:right="0" w:hanging="0"/>
              <w:jc w:val="center"/>
              <w:rPr>
                <w:rFonts w:ascii="Times New Roman" w:hAnsi="Times New Roman"/>
                <w:sz w:val="20"/>
              </w:rPr>
            </w:pPr>
            <w:r>
              <w:rPr>
                <w:rFonts w:ascii="Times New Roman" w:hAnsi="Times New Roman"/>
                <w:sz w:val="20"/>
              </w:rPr>
              <w:t>(Zip Code)</w:t>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(806) 792-7101</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w:t>
      </w:r>
    </w:p>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color w:val="000000"/>
          <w:shd w:fill="FFFFFF" w:val="clear"/>
        </w:rPr>
      </w:pPr>
      <w:r>
        <w:rPr>
          <w:color w:val="000000"/>
          <w:shd w:fill="FFFFFF" w:val="clea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color w:val="000000"/>
          <w:shd w:fill="FFFFFF" w:val="clear"/>
        </w:rPr>
      </w:pPr>
      <w:r>
        <w:rPr>
          <w:color w:val="000000"/>
          <w:shd w:fill="FFFFFF" w:val="clea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color w:val="000000"/>
          <w:shd w:fill="FFFFFF" w:val="clear"/>
        </w:rPr>
      </w:pPr>
      <w:r>
        <w:rPr>
          <w:color w:val="000000"/>
          <w:shd w:fill="FFFFFF" w:val="clea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color w:val="000000"/>
          <w:shd w:fill="FFFFFF" w:val="clear"/>
        </w:rPr>
      </w:pPr>
      <w:r>
        <w:rPr>
          <w:color w:val="000000"/>
          <w:shd w:fill="FFFFFF" w:val="clea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color w:val="000000"/>
          <w:shd w:fill="FFFFFF" w:val="clear"/>
        </w:rPr>
      </w:pPr>
      <w:r>
        <w:rPr>
          <w:color w:val="000000"/>
          <w:shd w:fill="FFFFFF" w:val="clear"/>
        </w:rPr>
        <w:t> </w:t>
      </w:r>
    </w:p>
    <w:tbl>
      <w:tblPr>
        <w:tblW w:w="8505" w:type="dxa"/>
        <w:jc w:val="left"/>
        <w:tblInd w:w="-15" w:type="dxa"/>
        <w:tblLayout w:type="fixed"/>
        <w:tblCellMar>
          <w:top w:w="28" w:type="dxa"/>
          <w:left w:w="28" w:type="dxa"/>
          <w:bottom w:w="28" w:type="dxa"/>
          <w:right w:w="28" w:type="dxa"/>
        </w:tblCellMar>
      </w:tblPr>
      <w:tblGrid>
        <w:gridCol w:w="3395"/>
        <w:gridCol w:w="1535"/>
        <w:gridCol w:w="3575"/>
      </w:tblGrid>
      <w:tr>
        <w:trPr/>
        <w:tc>
          <w:tcPr>
            <w:tcW w:w="339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Title of each class</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Trading Symbol(s)</w:t>
            </w:r>
          </w:p>
        </w:tc>
        <w:tc>
          <w:tcPr>
            <w:tcW w:w="357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Name of each exchange on which registered</w:t>
            </w:r>
          </w:p>
        </w:tc>
      </w:tr>
      <w:tr>
        <w:trPr/>
        <w:tc>
          <w:tcPr>
            <w:tcW w:w="339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Common Stock, par value $1.00 per share</w:t>
            </w:r>
          </w:p>
        </w:tc>
        <w:tc>
          <w:tcPr>
            <w:tcW w:w="153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SPFI</w:t>
            </w:r>
          </w:p>
        </w:tc>
        <w:tc>
          <w:tcPr>
            <w:tcW w:w="35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The Nasdaq Stock Market LLC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righ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HorizontalLine"/>
        <w:bidi w:val="0"/>
        <w:jc w:val="left"/>
        <w:rPr/>
      </w:pPr>
      <w:r>
        <w:rPr/>
      </w:r>
    </w:p>
    <w:p>
      <w:pPr>
        <w:pStyle w:val="HorizontalLine"/>
        <w:bidi w:val="0"/>
        <w:spacing w:before="200" w:after="200"/>
        <w:jc w:val="left"/>
        <w:rPr/>
      </w:pPr>
      <w:r>
        <w:rPr/>
      </w:r>
    </w:p>
    <w:tbl>
      <w:tblPr>
        <w:tblW w:w="2020" w:type="dxa"/>
        <w:jc w:val="left"/>
        <w:tblInd w:w="0" w:type="dxa"/>
        <w:tblLayout w:type="fixed"/>
        <w:tblCellMar>
          <w:top w:w="0" w:type="dxa"/>
          <w:left w:w="0" w:type="dxa"/>
          <w:bottom w:w="0" w:type="dxa"/>
          <w:right w:w="0" w:type="dxa"/>
        </w:tblCellMar>
      </w:tblPr>
      <w:tblGrid>
        <w:gridCol w:w="830"/>
        <w:gridCol w:w="119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8.01</w:t>
            </w:r>
          </w:p>
        </w:tc>
        <w:tc>
          <w:tcPr>
            <w:tcW w:w="1190" w:type="dxa"/>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Other Events.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On February 21, 2024, the Board of Directors (the “Board”) of South Plains Financial, Inc. (the “Company”) approved a new stock repurchase program for up to $10.0 million of the outstanding shares of the Company’s common stock (the “Stock Repurchase Program”).  The Stock Repurchase Program will conclude on February 21, 2025, subject to the earlier termination or extension of the Stock Repurchase Program by the Board or the $10.0 million designated for the Stock Repurchase Program are depleted.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 copy of the Company’s press release announcing the Stock Repurchase Program is attached as Exhibit 99.1 to this Current Report on Form 8-K and is incorporated herein by reference.</w:t>
      </w:r>
    </w:p>
    <w:p>
      <w:pPr>
        <w:pStyle w:val="TextBody"/>
        <w:bidi w:val="0"/>
        <w:spacing w:before="0" w:after="0"/>
        <w:jc w:val="left"/>
        <w:rPr>
          <w:color w:val="000000"/>
          <w:shd w:fill="FFFFFF" w:val="clear"/>
        </w:rPr>
      </w:pPr>
      <w:r>
        <w:rPr>
          <w:color w:val="000000"/>
          <w:shd w:fill="FFFFFF" w:val="clear"/>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9.01</w:t>
            </w:r>
          </w:p>
        </w:tc>
        <w:tc>
          <w:tcPr>
            <w:tcW w:w="296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Financial Statements and Exhibits.</w:t>
            </w:r>
          </w:p>
        </w:tc>
      </w:tr>
    </w:tbl>
    <w:p>
      <w:pPr>
        <w:pStyle w:val="TextBody"/>
        <w:bidi w:val="0"/>
        <w:spacing w:before="0" w:after="0"/>
        <w:jc w:val="left"/>
        <w:rPr>
          <w:color w:val="000000"/>
          <w:shd w:fill="FFFFFF" w:val="clear"/>
        </w:rPr>
      </w:pPr>
      <w:r>
        <w:rPr>
          <w:color w:val="000000"/>
          <w:shd w:fill="FFFFFF" w:val="clear"/>
        </w:rPr>
        <w:t> </w:t>
      </w:r>
    </w:p>
    <w:tbl>
      <w:tblPr>
        <w:tblW w:w="1090" w:type="dxa"/>
        <w:jc w:val="left"/>
        <w:tblInd w:w="0" w:type="dxa"/>
        <w:tblLayout w:type="fixed"/>
        <w:tblCellMar>
          <w:top w:w="0" w:type="dxa"/>
          <w:left w:w="0" w:type="dxa"/>
          <w:bottom w:w="0" w:type="dxa"/>
          <w:right w:w="0" w:type="dxa"/>
        </w:tblCellMar>
      </w:tblPr>
      <w:tblGrid>
        <w:gridCol w:w="75"/>
        <w:gridCol w:w="245"/>
        <w:gridCol w:w="77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(d)</w:t>
            </w:r>
          </w:p>
        </w:tc>
        <w:tc>
          <w:tcPr>
            <w:tcW w:w="7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Exhibits.</w:t>
            </w:r>
          </w:p>
        </w:tc>
      </w:tr>
    </w:tbl>
    <w:p>
      <w:pPr>
        <w:pStyle w:val="TextBody"/>
        <w:bidi w:val="0"/>
        <w:spacing w:before="0" w:after="0"/>
        <w:jc w:val="left"/>
        <w:rPr>
          <w:color w:val="000000"/>
          <w:shd w:fill="FFFFFF" w:val="clear"/>
        </w:rPr>
      </w:pPr>
      <w:r>
        <w:rPr>
          <w:color w:val="000000"/>
          <w:shd w:fill="FFFFFF" w:val="clear"/>
        </w:rPr>
        <w:t> </w:t>
      </w:r>
    </w:p>
    <w:tbl>
      <w:tblPr>
        <w:tblW w:w="7158" w:type="dxa"/>
        <w:jc w:val="left"/>
        <w:tblInd w:w="0" w:type="dxa"/>
        <w:tblLayout w:type="fixed"/>
        <w:tblCellMar>
          <w:top w:w="0" w:type="dxa"/>
          <w:left w:w="0" w:type="dxa"/>
          <w:bottom w:w="0" w:type="dxa"/>
          <w:right w:w="0" w:type="dxa"/>
        </w:tblCellMar>
      </w:tblPr>
      <w:tblGrid>
        <w:gridCol w:w="38"/>
        <w:gridCol w:w="380"/>
        <w:gridCol w:w="6740"/>
      </w:tblGrid>
      <w:tr>
        <w:trPr/>
        <w:tc>
          <w:tcPr>
            <w:tcW w:w="3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pPr>
            <w:hyperlink w:anchor="ef20022460_ex99-1.htm">
              <w:r>
                <w:rPr>
                  <w:rStyle w:val="InternetLink"/>
                  <w:rFonts w:ascii="Times New Roman" w:hAnsi="Times New Roman"/>
                  <w:sz w:val="20"/>
                </w:rPr>
                <w:t>99.1</w:t>
              </w:r>
            </w:hyperlink>
          </w:p>
        </w:tc>
        <w:tc>
          <w:tcPr>
            <w:tcW w:w="67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Press release, dated February 26, 2024, announcing the Stock Repurchase Program.</w:t>
            </w:r>
          </w:p>
        </w:tc>
      </w:tr>
    </w:tbl>
    <w:p>
      <w:pPr>
        <w:pStyle w:val="TextBody"/>
        <w:bidi w:val="0"/>
        <w:spacing w:before="0" w:after="0"/>
        <w:jc w:val="left"/>
        <w:rPr>
          <w:color w:val="000000"/>
          <w:shd w:fill="FFFFFF" w:val="clear"/>
        </w:rPr>
      </w:pPr>
      <w:r>
        <w:rPr>
          <w:color w:val="000000"/>
          <w:shd w:fill="FFFFFF" w:val="clear"/>
        </w:rPr>
        <w:t> </w:t>
      </w:r>
    </w:p>
    <w:tbl>
      <w:tblPr>
        <w:tblW w:w="5328" w:type="dxa"/>
        <w:jc w:val="left"/>
        <w:tblInd w:w="0" w:type="dxa"/>
        <w:tblLayout w:type="fixed"/>
        <w:tblCellMar>
          <w:top w:w="0" w:type="dxa"/>
          <w:left w:w="0" w:type="dxa"/>
          <w:bottom w:w="0" w:type="dxa"/>
          <w:right w:w="0" w:type="dxa"/>
        </w:tblCellMar>
      </w:tblPr>
      <w:tblGrid>
        <w:gridCol w:w="38"/>
        <w:gridCol w:w="335"/>
        <w:gridCol w:w="4955"/>
      </w:tblGrid>
      <w:tr>
        <w:trPr/>
        <w:tc>
          <w:tcPr>
            <w:tcW w:w="38" w:type="dxa"/>
            <w:tcBorders/>
            <w:vAlign w:val="center"/>
          </w:tcPr>
          <w:p>
            <w:pPr>
              <w:pStyle w:val="TableContents"/>
              <w:bidi w:val="0"/>
              <w:spacing w:before="0" w:after="283"/>
              <w:jc w:val="left"/>
              <w:rPr/>
            </w:pPr>
            <w:r>
              <w:rPr/>
            </w:r>
          </w:p>
        </w:tc>
        <w:tc>
          <w:tcPr>
            <w:tcW w:w="33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104</w:t>
            </w:r>
          </w:p>
        </w:tc>
        <w:tc>
          <w:tcPr>
            <w:tcW w:w="49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Cover Page Interactive Data File (formatted as Inline XBRL).</w:t>
            </w:r>
          </w:p>
        </w:tc>
      </w:tr>
    </w:tbl>
    <w:p>
      <w:pPr>
        <w:pStyle w:val="TextBody"/>
        <w:bidi w:val="0"/>
        <w:spacing w:before="0" w:after="0"/>
        <w:jc w:val="left"/>
        <w:rPr>
          <w:color w:val="000000"/>
          <w:shd w:fill="FFFFFF" w:val="clear"/>
        </w:rPr>
      </w:pPr>
      <w:r>
        <w:rPr>
          <w:color w:val="000000"/>
          <w:shd w:fill="FFFFFF" w:val="clear"/>
        </w:rPr>
        <w:t> </w:t>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color w:val="000000"/>
          <w:shd w:fill="FFFFFF" w:val="clear"/>
        </w:rPr>
      </w:pPr>
      <w:r>
        <w:rPr>
          <w:color w:val="000000"/>
          <w:shd w:fill="FFFFFF" w:val="clear"/>
        </w:rPr>
        <w:t> </w:t>
      </w:r>
    </w:p>
    <w:tbl>
      <w:tblPr>
        <w:tblW w:w="5595" w:type="dxa"/>
        <w:jc w:val="left"/>
        <w:tblInd w:w="0" w:type="dxa"/>
        <w:tblLayout w:type="fixed"/>
        <w:tblCellMar>
          <w:top w:w="0" w:type="dxa"/>
          <w:left w:w="0" w:type="dxa"/>
          <w:bottom w:w="0" w:type="dxa"/>
          <w:right w:w="0" w:type="dxa"/>
        </w:tblCellMar>
      </w:tblPr>
      <w:tblGrid>
        <w:gridCol w:w="2135"/>
        <w:gridCol w:w="320"/>
        <w:gridCol w:w="3140"/>
      </w:tblGrid>
      <w:tr>
        <w:trPr/>
        <w:tc>
          <w:tcPr>
            <w:tcW w:w="2135" w:type="dxa"/>
            <w:tcBorders/>
            <w:vAlign w:val="center"/>
          </w:tcPr>
          <w:p>
            <w:pPr>
              <w:pStyle w:val="TableContents"/>
              <w:bidi w:val="0"/>
              <w:spacing w:before="0" w:after="283"/>
              <w:jc w:val="left"/>
              <w:rPr/>
            </w:pPr>
            <w:r>
              <w:rPr/>
            </w:r>
          </w:p>
        </w:tc>
        <w:tc>
          <w:tcPr>
            <w:tcW w:w="3460" w:type="dxa"/>
            <w:gridSpan w:val="2"/>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SOUTH PLAINS FINANCIAL, INC.</w:t>
            </w:r>
          </w:p>
        </w:tc>
      </w:tr>
      <w:tr>
        <w:trPr/>
        <w:tc>
          <w:tcPr>
            <w:tcW w:w="2135" w:type="dxa"/>
            <w:tcBorders/>
            <w:vAlign w:val="center"/>
          </w:tcPr>
          <w:p>
            <w:pPr>
              <w:pStyle w:val="TableContents"/>
              <w:bidi w:val="0"/>
              <w:spacing w:before="0" w:after="283"/>
              <w:jc w:val="left"/>
              <w:rPr/>
            </w:pPr>
            <w:r>
              <w:rPr/>
              <w:t> </w:t>
            </w:r>
          </w:p>
        </w:tc>
        <w:tc>
          <w:tcPr>
            <w:tcW w:w="3460" w:type="dxa"/>
            <w:gridSpan w:val="2"/>
            <w:tcBorders/>
            <w:vAlign w:val="center"/>
          </w:tcPr>
          <w:p>
            <w:pPr>
              <w:pStyle w:val="TableContents"/>
              <w:bidi w:val="0"/>
              <w:spacing w:before="0" w:after="283"/>
              <w:jc w:val="left"/>
              <w:rPr/>
            </w:pPr>
            <w:r>
              <w:rPr/>
            </w:r>
          </w:p>
        </w:tc>
      </w:tr>
      <w:tr>
        <w:trPr/>
        <w:tc>
          <w:tcPr>
            <w:tcW w:w="21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Dated:  February 26, 2024</w:t>
            </w:r>
          </w:p>
        </w:tc>
        <w:tc>
          <w:tcPr>
            <w:tcW w:w="3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3140" w:type="dxa"/>
            <w:tcBorders>
              <w:bottom w:val="single" w:sz="12" w:space="0" w:color="000000"/>
            </w:tcBorders>
            <w:tcMar>
              <w:bottom w:w="28" w:type="dxa"/>
            </w:tcMar>
            <w:vAlign w:val="center"/>
          </w:tcPr>
          <w:p>
            <w:pPr>
              <w:pStyle w:val="TableContents"/>
              <w:bidi w:val="0"/>
              <w:spacing w:before="0" w:after="0"/>
              <w:jc w:val="both"/>
              <w:rPr/>
            </w:pPr>
            <w:r>
              <w:rPr/>
              <w:t>  </w:t>
            </w:r>
            <w:r>
              <w:rPr>
                <w:rFonts w:ascii="Times New Roman" w:hAnsi="Times New Roman"/>
                <w:sz w:val="20"/>
              </w:rPr>
              <w:t>/s/ Steve B. Crockett</w:t>
            </w:r>
          </w:p>
        </w:tc>
      </w:tr>
      <w:tr>
        <w:trPr/>
        <w:tc>
          <w:tcPr>
            <w:tcW w:w="2135"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r>
          </w:p>
        </w:tc>
        <w:tc>
          <w:tcPr>
            <w:tcW w:w="3140" w:type="dxa"/>
            <w:tcBorders/>
            <w:vAlign w:val="center"/>
          </w:tcPr>
          <w:p>
            <w:pPr>
              <w:pStyle w:val="TableContents"/>
              <w:bidi w:val="0"/>
              <w:spacing w:before="0" w:after="0"/>
              <w:jc w:val="both"/>
              <w:rPr/>
            </w:pPr>
            <w:r>
              <w:rPr/>
              <w:t>  </w:t>
            </w:r>
            <w:r>
              <w:rPr>
                <w:rFonts w:ascii="Times New Roman" w:hAnsi="Times New Roman"/>
                <w:sz w:val="20"/>
              </w:rPr>
              <w:t>Steven B. Crockett</w:t>
            </w:r>
          </w:p>
        </w:tc>
      </w:tr>
      <w:tr>
        <w:trPr/>
        <w:tc>
          <w:tcPr>
            <w:tcW w:w="2135"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r>
          </w:p>
        </w:tc>
        <w:tc>
          <w:tcPr>
            <w:tcW w:w="3140" w:type="dxa"/>
            <w:tcBorders/>
            <w:vAlign w:val="center"/>
          </w:tcPr>
          <w:p>
            <w:pPr>
              <w:pStyle w:val="TableContents"/>
              <w:bidi w:val="0"/>
              <w:spacing w:before="0" w:after="0"/>
              <w:jc w:val="both"/>
              <w:rPr/>
            </w:pPr>
            <w:r>
              <w:rPr/>
              <w:t>  </w:t>
            </w:r>
            <w:r>
              <w:rPr>
                <w:rFonts w:ascii="Times New Roman" w:hAnsi="Times New Roman"/>
                <w:sz w:val="20"/>
              </w:rPr>
              <w:t>Chief Financial Officer and Treasurer</w:t>
            </w:r>
          </w:p>
        </w:tc>
      </w:tr>
    </w:tbl>
    <w:p>
      <w:pPr>
        <w:pStyle w:val="TextBody"/>
        <w:bidi w:val="0"/>
        <w:spacing w:before="0" w:after="0"/>
        <w:jc w:val="left"/>
        <w:rPr>
          <w:sz w:val="20"/>
        </w:rPr>
      </w:pPr>
      <w:r>
        <w:rPr>
          <w:sz w:val="20"/>
        </w:rPr>
      </w:r>
    </w:p>
    <w:p>
      <w:pPr>
        <w:pStyle w:val="TextBody"/>
        <w:bidi w:val="0"/>
        <w:spacing w:before="0" w:after="0"/>
        <w:jc w:val="left"/>
        <w:rPr>
          <w:color w:val="000000"/>
          <w:shd w:fill="FFFFFF" w:val="clear"/>
        </w:rPr>
      </w:pPr>
      <w:r>
        <w:rPr>
          <w:color w:val="000000"/>
          <w:shd w:fill="FFFFFF" w:val="clear"/>
        </w:rPr>
        <w:t xml:space="preserve">  </w:t>
      </w:r>
    </w:p>
    <w:p>
      <w:pPr>
        <w:pStyle w:val="HorizontalLine"/>
        <w:bidi w:val="0"/>
        <w:jc w:val="left"/>
        <w:rPr/>
      </w:pPr>
      <w:r>
        <w:rPr/>
      </w:r>
    </w:p>
    <w:p>
      <w:pPr>
        <w:pStyle w:val="HorizontalLine"/>
        <w:pBdr>
          <w:bottom w:val="single" w:sz="12" w:space="0" w:color="808080"/>
        </w:pBdr>
        <w:bidi w:val="0"/>
        <w:jc w:val="left"/>
        <w:rPr/>
      </w:pPr>
      <w:r>
        <w:rPr/>
      </w:r>
      <w:bookmarkStart w:id="0" w:name="ef20022460_ex99-1.htm"/>
      <w:bookmarkStart w:id="1" w:name="ksef20022460_ex991"/>
      <w:bookmarkStart w:id="2" w:name="ef20022460_ex99-1.htm"/>
      <w:bookmarkStart w:id="3" w:name="ksef20022460_ex991"/>
      <w:bookmarkEnd w:id="2"/>
      <w:bookmarkEnd w:id="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br/>
      </w:r>
      <w:r>
        <w:rPr>
          <w:rFonts w:ascii="Times New Roman" w:hAnsi="Times New Roman"/>
          <w:color w:val="000000"/>
          <w:sz w:val="20"/>
        </w:rPr>
        <w:drawing>
          <wp:inline distT="0" distB="0" distL="0" distR="0">
            <wp:extent cx="3819525"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9525" cy="552450"/>
                    </a:xfrm>
                    <a:prstGeom prst="rect">
                      <a:avLst/>
                    </a:prstGeom>
                  </pic:spPr>
                </pic:pic>
              </a:graphicData>
            </a:graphic>
          </wp:inline>
        </w:drawing>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South Plains Financial, Inc. Announces Stock Repurchase Program</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LUBBOCK, Texas, February 26, 2024 (GLOBE NEWSWIRE) – South Plains Financial, Inc. (NASDAQ:SPFI) (“South Plains” or the “Company”), today announced that the board of directors of the Company (the “Board”) approved a stock repurchase program for up to $10.0 million of the outstanding shares of the Company’s common stock (the “Stock Repurchase Program”).  The Stock Repurchase Program will conclude on February 21, 2025, subject to the earlier termination or extension of the Stock Repurchase Program by the Board or the $10.0 million designated for the Stock Repurchase Program are depleted.</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Curtis Griffith, South Plains’ Chairman and Chief Executive Officer, commented, “I am very pleased with the momentum in our business highlighted by our strong full year 2023 financial results combined with the many opportunities that we have in front of us to further grow the Bank.  However, we believe that our shares continue to trade below intrinsic value.  As a result, our Board has authorized a $10.0 million stock repurchase program to buy back our own stock, which we believe is currently the most compelling acquisition that we can make in today’s market.”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Under the Stock Repurchase Program, the Company may repurchase shares of the Company’s common stock from time to time in open market purchases or privately negotiated transactions.  Any open market repurchases will be conducted in accordance with the limitations set forth in Rule 10b-18 promulgated under the Securities Exchange Act of 1934, as amended (the “Exchange Act”), and other applicable legal requirements.  Repurchases under the Stock Repurchase Program may also be made pursuant to a trading plan under Rule 10b5-1 under the Exchange Act, which would permit shares to be repurchased by the Company when the Company might otherwise be precluded from doing so because of self-imposed trading blackout periods or other regulatory restrictions.  The extent to which the Company repurchases its shares, and the timing of such repurchases, will depend upon a variety of factors, including the performance of the Company’s stock price, general market and economic conditions, regulatory requirements, availability of funds, and other relevant considerations, as determined by the Company.  The Company may, in its discretion, begin or terminate repurchases at any time prior to the Stock Repurchase Program’s expiration, without any prior notice.  The Stock Repurchase Program does not obligate the Company to repurchase any particular number or amount of shares of the Company’s common stock.</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About South Plains Financial, Inc.</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South Plains is the bank holding company for City Bank, a Texas state-chartered bank headquartered in Lubbock, Texas.  City Bank is one of the largest independent banks in West Texas and has additional banking operations in the Dallas, El Paso, Greater Houston, the Permian Basin, and College Station, Texas markets, and the Ruidoso, New Mexico market.  South Plains provides a wide range of commercial and consumer financial services to small and medium-sized businesses and individuals in its market areas.  Its principal business activities include commercial and retail banking, along with investment, trust and mortgage services. Please visit </w:t>
      </w:r>
      <w:r>
        <w:rPr>
          <w:rFonts w:ascii="Times New Roman" w:hAnsi="Times New Roman"/>
          <w:color w:val="000000"/>
          <w:sz w:val="20"/>
          <w:u w:val="single"/>
        </w:rPr>
        <w:t>https://www.spfi.bank</w:t>
      </w:r>
      <w:r>
        <w:rPr>
          <w:rFonts w:ascii="Times New Roman" w:hAnsi="Times New Roman"/>
          <w:color w:val="000000"/>
          <w:sz w:val="20"/>
        </w:rPr>
        <w:t xml:space="preserve"> for more information.</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both"/>
        <w:rPr>
          <w:color w:val="000000"/>
        </w:rPr>
      </w:pPr>
      <w:r>
        <w:rPr>
          <w:color w:val="000000"/>
        </w:rPr>
        <w:drawing>
          <wp:inline distT="0" distB="0" distL="0" distR="0">
            <wp:extent cx="3819525" cy="552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819525" cy="552450"/>
                    </a:xfrm>
                    <a:prstGeom prst="rect">
                      <a:avLst/>
                    </a:prstGeom>
                  </pic:spPr>
                </pic:pic>
              </a:graphicData>
            </a:graphic>
          </wp:inline>
        </w:drawing>
      </w:r>
    </w:p>
    <w:p>
      <w:pPr>
        <w:pStyle w:val="TextBody"/>
        <w:bidi w:val="0"/>
        <w:spacing w:before="0" w:after="0"/>
        <w:jc w:val="both"/>
        <w:rPr>
          <w:rFonts w:ascii="Times New Roman" w:hAnsi="Times New Roman"/>
          <w:b/>
          <w:sz w:val="20"/>
        </w:rPr>
      </w:pPr>
      <w:r>
        <w:rPr>
          <w:rFonts w:ascii="Times New Roman" w:hAnsi="Times New Roman"/>
          <w:b/>
          <w:sz w:val="20"/>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Company routinely posts important information for investors on its web site (under </w:t>
      </w:r>
      <w:r>
        <w:rPr>
          <w:rFonts w:ascii="Times New Roman" w:hAnsi="Times New Roman"/>
          <w:color w:val="000000"/>
          <w:sz w:val="20"/>
          <w:u w:val="single"/>
        </w:rPr>
        <w:t>www.spfi.bank</w:t>
      </w:r>
      <w:r>
        <w:rPr>
          <w:rFonts w:ascii="Times New Roman" w:hAnsi="Times New Roman"/>
          <w:color w:val="000000"/>
          <w:sz w:val="20"/>
        </w:rPr>
        <w:t xml:space="preserve"> and, more specifically, under the News &amp; Events tab at </w:t>
      </w:r>
      <w:r>
        <w:rPr>
          <w:rFonts w:ascii="Times New Roman" w:hAnsi="Times New Roman"/>
          <w:color w:val="000000"/>
          <w:sz w:val="20"/>
          <w:u w:val="single"/>
        </w:rPr>
        <w:t>www.spfi.bank/news-events/press-releases</w:t>
      </w:r>
      <w:r>
        <w:rPr>
          <w:rFonts w:ascii="Times New Roman" w:hAnsi="Times New Roman"/>
          <w:color w:val="000000"/>
          <w:sz w:val="20"/>
        </w:rPr>
        <w:t>).  The Company intends to use its web site as a means of disclosing material non-public information and for complying with its disclosure obligations under Regulation FD (Fair Disclosure) promulgated by the U.S. Securities and Exchange Commission (the “SEC”).  Accordingly, investors should monitor the Company’s web site, in addition to following the Company’s press releases, SEC filings, public conference calls, presentations and webcasts.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information contained on, or that may be accessed through, the Company’s web site is not incorporated by reference into, and is not a part of, this document.</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color w:val="000000"/>
        </w:rPr>
      </w:pPr>
      <w:r>
        <w:rPr>
          <w:color w:val="000000"/>
        </w:rPr>
        <w:drawing>
          <wp:inline distT="0" distB="0" distL="0" distR="0">
            <wp:extent cx="3819525" cy="5524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819525" cy="552450"/>
                    </a:xfrm>
                    <a:prstGeom prst="rect">
                      <a:avLst/>
                    </a:prstGeom>
                  </pic:spPr>
                </pic:pic>
              </a:graphicData>
            </a:graphic>
          </wp:inline>
        </w:drawing>
      </w:r>
    </w:p>
    <w:p>
      <w:pPr>
        <w:pStyle w:val="TextBody"/>
        <w:bidi w:val="0"/>
        <w:spacing w:before="0" w:after="0"/>
        <w:jc w:val="left"/>
        <w:rPr>
          <w:rFonts w:ascii="Times New Roman" w:hAnsi="Times New Roman"/>
          <w:b/>
          <w:sz w:val="20"/>
        </w:rPr>
      </w:pPr>
      <w:r>
        <w:rPr>
          <w:rFonts w:ascii="Times New Roman" w:hAnsi="Times New Roman"/>
          <w:b/>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This press release contains forward-looking statements within the meaning of the Private Securities Litigation Reform Act of 1995. These forward-looking statements reflect South Plains’ current views with respect to future events. Any statements about South Plains’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South Plains cautions that the forward-looking statements in this press release are based largely on South Plains’ expectations and are subject to a number of known and unknown risks and uncertainties that are subject to change based on factors which are, in many instances, beyond South Plains’ control. Factors that could cause such changes include, but are not limited to, the impact on us and our customers of a decline in general economic conditions and any regulatory responses thereto; potential recession in the United States and our market areas; the impacts related to or resulting from recent bank failures and any continuation of the recent uncertainty in the banking industry, including the associated impact to the Company and other financial institutions of any regulatory changes or other mitigation efforts taken by government agencies in response thereto; increased competition for deposits and related changes in deposit customer behavior; changes in market interest rates; the persistence of the current inflationary environment in the United States and our market areas; the uncertain impacts of ongoing quantitative tightening and current and future monetary policies of the Board of Governors of the Federal Reserve System; the effects of declines in housing prices in the United States and our market areas; increases in unemployment rates in the United States and our market areas; declines in commercial real estate prices; uncertainty regarding United States fiscal debt and budget matters; cyber incidents or other failures, disruptions or breaches of our operational or security systems or infrastructure, or those of our third-party vendors or other service providers, including as a result of cyber attacks; severe weather, natural disasters, acts of war or terrorism, geopolitical instability or other external events; regulatory considerations; competition and market expansion opportunities; changes in non-interest expenditures or in the anticipated benefits of such expenditures; the risks related to the development, implementation, use and management of emerging technologies, including artificial intelligence and machine learnings; potential increased regulatory requirements and costs related to the transition and physical impacts of climate change; current or future litigation, regulatory examinations or other legal and/or regulatory actions; and changes in applicable laws and regulations. Additional information regarding these risks and uncertainties to which South Plains’ business and future financial performance are subject is contained in South Plains’ most recent Annual Report on Form 10-K and Quarterly Reports on Form 10-Q on file with the SEC, including the sections entitled “Risk Factors” and “Management’s Discussion and Analysis of Financial Condition and Results of Operations” of such documents, and other documents South Plains files or furnishes with the SEC from time to time, which are available on the SEC’s website, </w:t>
      </w:r>
      <w:r>
        <w:rPr>
          <w:rFonts w:ascii="Times New Roman" w:hAnsi="Times New Roman"/>
          <w:color w:val="000000"/>
          <w:sz w:val="20"/>
          <w:u w:val="single"/>
        </w:rPr>
        <w:t>www.sec.gov</w:t>
      </w:r>
      <w:r>
        <w:rPr>
          <w:rFonts w:ascii="Times New Roman" w:hAnsi="Times New Roman"/>
          <w:color w:val="000000"/>
          <w:sz w:val="20"/>
        </w:rPr>
        <w:t>. Actual results, performance or achievements could differ materially from those contemplated, expressed, or implied by the forward-looking statements due to additional risks and uncertainties of which South Plains is not currently aware or which it does not currently view as, but in the future may become, material to its business or operating results. Due to these and other possible uncertainties and risks, the Company can give no assurance that the results contemplated in the forward-looking statements will be realized and readers are cautioned not to place undue reliance on the forward-looking statements contained in this press release. Any forward-looking statements presented herein are made only as of the date of this press release, and South Plains does not undertake any obligation to update or revise any forward-looking statements to reflect changes in assumptions, new information, the occurrence of unanticipated events, or otherwise, except as required by applicable law. All forward-looking statements, express or implied, included in the press release are qualified in their entirety by this cautionary statement.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 w:name="z720dbc34492b4ac7b78c9c1ed36811e9"/>
      <w:bookmarkStart w:id="5" w:name="z720dbc34492b4ac7b78c9c1ed36811e9"/>
      <w:bookmarkEnd w:id="5"/>
    </w:p>
    <w:tbl>
      <w:tblPr>
        <w:tblW w:w="4825" w:type="dxa"/>
        <w:jc w:val="left"/>
        <w:tblInd w:w="0" w:type="dxa"/>
        <w:tblLayout w:type="fixed"/>
        <w:tblCellMar>
          <w:top w:w="0" w:type="dxa"/>
          <w:left w:w="0" w:type="dxa"/>
          <w:bottom w:w="0" w:type="dxa"/>
          <w:right w:w="0" w:type="dxa"/>
        </w:tblCellMar>
      </w:tblPr>
      <w:tblGrid>
        <w:gridCol w:w="725"/>
        <w:gridCol w:w="4100"/>
      </w:tblGrid>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Contact:</w:t>
            </w:r>
          </w:p>
        </w:tc>
        <w:tc>
          <w:tcPr>
            <w:tcW w:w="4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Mikella Newsom, Chief Risk Officer and Secretary</w:t>
            </w:r>
          </w:p>
        </w:tc>
      </w:tr>
      <w:tr>
        <w:trPr/>
        <w:tc>
          <w:tcPr>
            <w:tcW w:w="725" w:type="dxa"/>
            <w:tcBorders/>
            <w:vAlign w:val="center"/>
          </w:tcPr>
          <w:p>
            <w:pPr>
              <w:pStyle w:val="TableContents"/>
              <w:bidi w:val="0"/>
              <w:spacing w:before="0" w:after="283"/>
              <w:jc w:val="left"/>
              <w:rPr>
                <w:sz w:val="4"/>
                <w:szCs w:val="4"/>
              </w:rPr>
            </w:pPr>
            <w:r>
              <w:rPr>
                <w:sz w:val="4"/>
                <w:szCs w:val="4"/>
              </w:rPr>
            </w:r>
          </w:p>
        </w:tc>
        <w:tc>
          <w:tcPr>
            <w:tcW w:w="4100"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investors@city.bank</w:t>
            </w:r>
          </w:p>
        </w:tc>
      </w:tr>
      <w:tr>
        <w:trPr/>
        <w:tc>
          <w:tcPr>
            <w:tcW w:w="725" w:type="dxa"/>
            <w:tcBorders/>
            <w:vAlign w:val="center"/>
          </w:tcPr>
          <w:p>
            <w:pPr>
              <w:pStyle w:val="TableContents"/>
              <w:bidi w:val="0"/>
              <w:spacing w:before="0" w:after="283"/>
              <w:jc w:val="left"/>
              <w:rPr>
                <w:sz w:val="4"/>
                <w:szCs w:val="4"/>
              </w:rPr>
            </w:pPr>
            <w:r>
              <w:rPr>
                <w:sz w:val="4"/>
                <w:szCs w:val="4"/>
              </w:rPr>
            </w:r>
          </w:p>
        </w:tc>
        <w:tc>
          <w:tcPr>
            <w:tcW w:w="4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(866) 771-3347</w:t>
            </w:r>
          </w:p>
        </w:tc>
      </w:tr>
      <w:tr>
        <w:trPr/>
        <w:tc>
          <w:tcPr>
            <w:tcW w:w="725" w:type="dxa"/>
            <w:tcBorders/>
            <w:vAlign w:val="center"/>
          </w:tcPr>
          <w:p>
            <w:pPr>
              <w:pStyle w:val="TableContents"/>
              <w:bidi w:val="0"/>
              <w:spacing w:before="0" w:after="283"/>
              <w:jc w:val="left"/>
              <w:rPr>
                <w:sz w:val="4"/>
                <w:szCs w:val="4"/>
              </w:rPr>
            </w:pPr>
            <w:r>
              <w:rPr>
                <w:sz w:val="4"/>
                <w:szCs w:val="4"/>
              </w:rPr>
            </w:r>
          </w:p>
        </w:tc>
        <w:tc>
          <w:tcPr>
            <w:tcW w:w="410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80" w:right="0" w:hanging="0"/>
        <w:jc w:val="left"/>
        <w:rPr>
          <w:rFonts w:ascii="Times New Roman" w:hAnsi="Times New Roman"/>
          <w:color w:val="000000"/>
          <w:sz w:val="20"/>
        </w:rPr>
      </w:pPr>
      <w:r>
        <w:rPr>
          <w:rFonts w:ascii="Times New Roman" w:hAnsi="Times New Roman"/>
          <w:color w:val="000000"/>
          <w:sz w:val="20"/>
        </w:rPr>
        <w:t>Source: South Plains Financial, Inc.</w:t>
      </w:r>
    </w:p>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1829</Words>
  <Characters>10511</Characters>
  <CharactersWithSpaces>12322</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