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0588_10q.htm"/>
      <w:bookmarkStart w:id="1" w:name="ksef20070588_10q"/>
      <w:bookmarkStart w:id="2" w:name="ef20070588_10q.htm"/>
      <w:bookmarkStart w:id="3" w:name="ksef20070588_10q"/>
      <w:bookmarkEnd w:id="2"/>
      <w:bookmarkEnd w:id="3"/>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center"/>
        <w:rPr/>
      </w:pPr>
      <w:r>
        <w:rPr/>
      </w:r>
    </w:p>
    <w:p>
      <w:pPr>
        <w:pStyle w:val="HorizontalLine"/>
        <w:bidi w:val="0"/>
        <w:jc w:val="center"/>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10-Q</w:t>
      </w:r>
    </w:p>
    <w:p>
      <w:pPr>
        <w:pStyle w:val="HorizontalLine"/>
        <w:bidi w:val="0"/>
        <w:jc w:val="center"/>
        <w:rPr/>
      </w:pPr>
      <w:r>
        <w:rPr/>
      </w:r>
    </w:p>
    <w:p>
      <w:pPr>
        <w:pStyle w:val="TextBody"/>
        <w:bidi w:val="0"/>
        <w:spacing w:before="0" w:after="0"/>
        <w:jc w:val="center"/>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(Mark One)</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4" w:name="zf1df59a3caa841d3a340dad9ad19c19e"/>
      <w:bookmarkStart w:id="5" w:name="zf1df59a3caa841d3a340dad9ad19c19e"/>
      <w:bookmarkEnd w:id="5"/>
    </w:p>
    <w:tbl>
      <w:tblPr>
        <w:tblW w:w="10205" w:type="dxa"/>
        <w:jc w:val="center"/>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color w:val="000000"/>
              </w:rPr>
            </w:pPr>
            <w:r>
              <w:rPr>
                <w:color w:val="000000"/>
              </w:rPr>
              <w:t>☒</w:t>
            </w:r>
          </w:p>
        </w:tc>
        <w:tc>
          <w:tcPr>
            <w:tcW w:w="9930" w:type="dxa"/>
            <w:tcBorders/>
            <w:vAlign w:val="center"/>
          </w:tcPr>
          <w:p>
            <w:pPr>
              <w:pStyle w:val="TableContents"/>
              <w:bidi w:val="0"/>
              <w:spacing w:before="0" w:after="0"/>
              <w:jc w:val="both"/>
              <w:rPr>
                <w:b/>
                <w:color w:val="000000"/>
              </w:rPr>
            </w:pPr>
            <w:r>
              <w:rPr>
                <w:b/>
                <w:color w:val="000000"/>
              </w:rPr>
              <w:t>QUARTERLY REPORT PURSUANT TO SECTION 13 OR 15(d) OF THE SECURITIES EXCHANGE ACT OF 1934</w:t>
            </w:r>
          </w:p>
        </w:tc>
      </w:tr>
    </w:tbl>
    <w:p>
      <w:pPr>
        <w:pStyle w:val="TextBody"/>
        <w:bidi w:val="0"/>
        <w:spacing w:before="0" w:after="0"/>
        <w:jc w:val="center"/>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 the quarterly period ended March 31, 2026</w:t>
      </w:r>
    </w:p>
    <w:p>
      <w:pPr>
        <w:pStyle w:val="TextBody"/>
        <w:bidi w:val="0"/>
        <w:spacing w:before="0" w:after="0"/>
        <w:jc w:val="center"/>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OR</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6" w:name="z3faccd68b7d043f29b3b85395fb92666"/>
      <w:bookmarkStart w:id="7" w:name="z3faccd68b7d043f29b3b85395fb92666"/>
      <w:bookmarkEnd w:id="7"/>
    </w:p>
    <w:tbl>
      <w:tblPr>
        <w:tblW w:w="10205" w:type="dxa"/>
        <w:jc w:val="center"/>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color w:val="000000"/>
              </w:rPr>
            </w:pPr>
            <w:r>
              <w:rPr>
                <w:color w:val="000000"/>
              </w:rPr>
              <w:t>☐</w:t>
            </w:r>
          </w:p>
        </w:tc>
        <w:tc>
          <w:tcPr>
            <w:tcW w:w="9930" w:type="dxa"/>
            <w:tcBorders/>
            <w:vAlign w:val="center"/>
          </w:tcPr>
          <w:p>
            <w:pPr>
              <w:pStyle w:val="TableContents"/>
              <w:bidi w:val="0"/>
              <w:spacing w:before="0" w:after="0"/>
              <w:jc w:val="both"/>
              <w:rPr>
                <w:b/>
                <w:color w:val="000000"/>
              </w:rPr>
            </w:pPr>
            <w:r>
              <w:rPr>
                <w:b/>
                <w:color w:val="000000"/>
              </w:rPr>
              <w:t>TRANSITION REPORT PURSUANT TO SECTION 13 OR 15(d) OF THE SECURITIES EXCHANGE ACT OF 1934</w:t>
            </w:r>
          </w:p>
        </w:tc>
      </w:tr>
    </w:tbl>
    <w:p>
      <w:pPr>
        <w:pStyle w:val="TextBody"/>
        <w:bidi w:val="0"/>
        <w:spacing w:before="0" w:after="0"/>
        <w:jc w:val="center"/>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 the transition period from ______ to ______</w:t>
      </w:r>
    </w:p>
    <w:p>
      <w:pPr>
        <w:pStyle w:val="TextBody"/>
        <w:bidi w:val="0"/>
        <w:spacing w:before="0" w:after="0"/>
        <w:jc w:val="center"/>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Commission File Number: 001-38895</w:t>
      </w:r>
    </w:p>
    <w:p>
      <w:pPr>
        <w:pStyle w:val="TextBody"/>
        <w:bidi w:val="0"/>
        <w:spacing w:before="0" w:after="0"/>
        <w:jc w:val="center"/>
        <w:rPr/>
      </w:pPr>
      <w:r>
        <w:rPr/>
      </w:r>
    </w:p>
    <w:p>
      <w:pPr>
        <w:pStyle w:val="HorizontalLine"/>
        <w:bidi w:val="0"/>
        <w:jc w:val="center"/>
        <w:rPr/>
      </w:pPr>
      <w:r>
        <w:rPr/>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South Plains Financial,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8" w:name="zff416abda0264a978cbf63be236f13a9"/>
      <w:bookmarkStart w:id="9" w:name="zff416abda0264a978cbf63be236f13a9"/>
      <w:bookmarkEnd w:id="9"/>
    </w:p>
    <w:tbl>
      <w:tblPr>
        <w:tblW w:w="9220" w:type="dxa"/>
        <w:jc w:val="center"/>
        <w:tblInd w:w="0" w:type="dxa"/>
        <w:tblLayout w:type="fixed"/>
        <w:tblCellMar>
          <w:top w:w="0" w:type="dxa"/>
          <w:left w:w="0" w:type="dxa"/>
          <w:bottom w:w="0" w:type="dxa"/>
          <w:right w:w="0" w:type="dxa"/>
        </w:tblCellMar>
      </w:tblPr>
      <w:tblGrid>
        <w:gridCol w:w="5630"/>
        <w:gridCol w:w="90"/>
        <w:gridCol w:w="3500"/>
      </w:tblGrid>
      <w:tr>
        <w:trPr/>
        <w:tc>
          <w:tcPr>
            <w:tcW w:w="5630" w:type="dxa"/>
            <w:tcBorders/>
            <w:vAlign w:val="center"/>
          </w:tcPr>
          <w:p>
            <w:pPr>
              <w:pStyle w:val="TableContents"/>
              <w:bidi w:val="0"/>
              <w:spacing w:before="0" w:after="0"/>
              <w:jc w:val="center"/>
              <w:rPr>
                <w:color w:val="000000"/>
              </w:rPr>
            </w:pPr>
            <w:r>
              <w:rPr>
                <w:color w:val="000000"/>
              </w:rPr>
              <w:t> </w:t>
            </w:r>
            <w:r>
              <w:rPr>
                <w:b/>
                <w:color w:val="000000"/>
              </w:rPr>
              <w:t>Texas</w:t>
            </w:r>
          </w:p>
        </w:tc>
        <w:tc>
          <w:tcPr>
            <w:tcW w:w="9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0"/>
              <w:jc w:val="center"/>
              <w:rPr>
                <w:b/>
                <w:color w:val="000000"/>
              </w:rPr>
            </w:pPr>
            <w:r>
              <w:rPr>
                <w:b/>
                <w:color w:val="000000"/>
              </w:rPr>
              <w:t>75-2453320</w:t>
            </w:r>
          </w:p>
        </w:tc>
      </w:tr>
      <w:tr>
        <w:trPr/>
        <w:tc>
          <w:tcPr>
            <w:tcW w:w="5630" w:type="dxa"/>
            <w:tcBorders/>
            <w:vAlign w:val="center"/>
          </w:tcPr>
          <w:p>
            <w:pPr>
              <w:pStyle w:val="TableContents"/>
              <w:bidi w:val="0"/>
              <w:spacing w:before="0" w:after="0"/>
              <w:jc w:val="center"/>
              <w:rPr>
                <w:color w:val="000000"/>
              </w:rPr>
            </w:pPr>
            <w:r>
              <w:rPr>
                <w:color w:val="000000"/>
              </w:rPr>
              <w:t>(State or other jurisdiction of incorporation or organization)</w:t>
            </w:r>
          </w:p>
        </w:tc>
        <w:tc>
          <w:tcPr>
            <w:tcW w:w="9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0"/>
              <w:jc w:val="center"/>
              <w:rPr>
                <w:color w:val="000000"/>
              </w:rPr>
            </w:pPr>
            <w:r>
              <w:rPr>
                <w:color w:val="000000"/>
              </w:rPr>
              <w:t>(I.R.S. Employer Identification No.)</w:t>
            </w:r>
          </w:p>
        </w:tc>
      </w:tr>
      <w:tr>
        <w:trPr/>
        <w:tc>
          <w:tcPr>
            <w:tcW w:w="56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0"/>
              <w:jc w:val="center"/>
              <w:rPr>
                <w:b/>
                <w:color w:val="000000"/>
              </w:rPr>
            </w:pPr>
            <w:r>
              <w:rPr>
                <w:b/>
                <w:color w:val="000000"/>
              </w:rPr>
              <w:t>5219 City Bank Parkway</w:t>
            </w:r>
          </w:p>
          <w:p>
            <w:pPr>
              <w:pStyle w:val="TableContents"/>
              <w:bidi w:val="0"/>
              <w:spacing w:before="0" w:after="0"/>
              <w:jc w:val="center"/>
              <w:rPr>
                <w:b/>
                <w:color w:val="000000"/>
              </w:rPr>
            </w:pPr>
            <w:r>
              <w:rPr>
                <w:b/>
                <w:color w:val="000000"/>
              </w:rPr>
              <w:t>Lubbock, Texas</w:t>
            </w:r>
          </w:p>
        </w:tc>
        <w:tc>
          <w:tcPr>
            <w:tcW w:w="9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0"/>
              <w:jc w:val="center"/>
              <w:rPr>
                <w:b/>
                <w:color w:val="000000"/>
              </w:rPr>
            </w:pPr>
            <w:r>
              <w:rPr>
                <w:b/>
                <w:color w:val="000000"/>
              </w:rPr>
              <w:t>79407</w:t>
            </w:r>
          </w:p>
        </w:tc>
      </w:tr>
      <w:tr>
        <w:trPr/>
        <w:tc>
          <w:tcPr>
            <w:tcW w:w="5630" w:type="dxa"/>
            <w:tcBorders/>
            <w:vAlign w:val="center"/>
          </w:tcPr>
          <w:p>
            <w:pPr>
              <w:pStyle w:val="TableContents"/>
              <w:bidi w:val="0"/>
              <w:spacing w:before="0" w:after="0"/>
              <w:jc w:val="center"/>
              <w:rPr>
                <w:color w:val="000000"/>
              </w:rPr>
            </w:pPr>
            <w:r>
              <w:rPr>
                <w:color w:val="000000"/>
              </w:rPr>
              <w:t>(Address of principal executive offices)</w:t>
            </w:r>
          </w:p>
        </w:tc>
        <w:tc>
          <w:tcPr>
            <w:tcW w:w="9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0"/>
              <w:jc w:val="center"/>
              <w:rPr>
                <w:color w:val="000000"/>
              </w:rPr>
            </w:pPr>
            <w:r>
              <w:rPr>
                <w:color w:val="000000"/>
              </w:rPr>
              <w:t>(Zip Code)</w:t>
            </w:r>
          </w:p>
        </w:tc>
      </w:tr>
    </w:tbl>
    <w:p>
      <w:pPr>
        <w:pStyle w:val="TextBody"/>
        <w:bidi w:val="0"/>
        <w:spacing w:before="0" w:after="0"/>
        <w:jc w:val="center"/>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 (806) 792-7101</w:t>
      </w:r>
    </w:p>
    <w:p>
      <w:pPr>
        <w:pStyle w:val="TextBody"/>
        <w:bidi w:val="0"/>
        <w:spacing w:before="0" w:after="0"/>
        <w:jc w:val="center"/>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0" w:name="z5758e2e6163d4ce5b07ea5f18aead459"/>
      <w:bookmarkStart w:id="11" w:name="z5758e2e6163d4ce5b07ea5f18aead459"/>
      <w:bookmarkEnd w:id="11"/>
    </w:p>
    <w:tbl>
      <w:tblPr>
        <w:tblW w:w="10155" w:type="dxa"/>
        <w:jc w:val="center"/>
        <w:tblInd w:w="0" w:type="dxa"/>
        <w:tblLayout w:type="fixed"/>
        <w:tblCellMar>
          <w:top w:w="28" w:type="dxa"/>
          <w:left w:w="28" w:type="dxa"/>
          <w:bottom w:w="28" w:type="dxa"/>
          <w:right w:w="28" w:type="dxa"/>
        </w:tblCellMar>
      </w:tblPr>
      <w:tblGrid>
        <w:gridCol w:w="4040"/>
        <w:gridCol w:w="1835"/>
        <w:gridCol w:w="4280"/>
      </w:tblGrid>
      <w:tr>
        <w:trPr/>
        <w:tc>
          <w:tcPr>
            <w:tcW w:w="40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Title of each class</w:t>
            </w:r>
          </w:p>
        </w:tc>
        <w:tc>
          <w:tcPr>
            <w:tcW w:w="18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Trading Symbol(s)</w:t>
            </w:r>
          </w:p>
        </w:tc>
        <w:tc>
          <w:tcPr>
            <w:tcW w:w="42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Name of each exchange on which registered</w:t>
            </w:r>
          </w:p>
        </w:tc>
      </w:tr>
      <w:tr>
        <w:trPr/>
        <w:tc>
          <w:tcPr>
            <w:tcW w:w="40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Common Stock, $1.00 par value per share</w:t>
            </w:r>
          </w:p>
        </w:tc>
        <w:tc>
          <w:tcPr>
            <w:tcW w:w="183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SPFI</w:t>
            </w:r>
          </w:p>
        </w:tc>
        <w:tc>
          <w:tcPr>
            <w:tcW w:w="42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The Nasdaq Stock Market, LLC</w:t>
            </w:r>
          </w:p>
        </w:tc>
      </w:tr>
    </w:tbl>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2" w:name="z7a131360ab2243e6973e4930655a9f9e"/>
      <w:bookmarkStart w:id="13" w:name="z7a131360ab2243e6973e4930655a9f9e"/>
      <w:bookmarkEnd w:id="13"/>
    </w:p>
    <w:tbl>
      <w:tblPr>
        <w:tblW w:w="5435" w:type="dxa"/>
        <w:jc w:val="center"/>
        <w:tblInd w:w="0" w:type="dxa"/>
        <w:tblLayout w:type="fixed"/>
        <w:tblCellMar>
          <w:top w:w="0" w:type="dxa"/>
          <w:left w:w="0" w:type="dxa"/>
          <w:bottom w:w="0" w:type="dxa"/>
          <w:right w:w="0" w:type="dxa"/>
        </w:tblCellMar>
      </w:tblPr>
      <w:tblGrid>
        <w:gridCol w:w="2150"/>
        <w:gridCol w:w="260"/>
        <w:gridCol w:w="90"/>
        <w:gridCol w:w="2645"/>
        <w:gridCol w:w="290"/>
      </w:tblGrid>
      <w:tr>
        <w:trPr/>
        <w:tc>
          <w:tcPr>
            <w:tcW w:w="2150" w:type="dxa"/>
            <w:tcBorders/>
            <w:vAlign w:val="center"/>
          </w:tcPr>
          <w:p>
            <w:pPr>
              <w:pStyle w:val="TableContents"/>
              <w:bidi w:val="0"/>
              <w:spacing w:before="0" w:after="0"/>
              <w:jc w:val="left"/>
              <w:rPr>
                <w:color w:val="000000"/>
              </w:rPr>
            </w:pPr>
            <w:r>
              <w:rPr>
                <w:color w:val="000000"/>
              </w:rPr>
              <w:t>Large accelerated filer</w:t>
            </w:r>
          </w:p>
        </w:tc>
        <w:tc>
          <w:tcPr>
            <w:tcW w:w="260" w:type="dxa"/>
            <w:tcBorders/>
            <w:vAlign w:val="center"/>
          </w:tcPr>
          <w:p>
            <w:pPr>
              <w:pStyle w:val="TableContents"/>
              <w:bidi w:val="0"/>
              <w:spacing w:before="0" w:after="0"/>
              <w:jc w:val="left"/>
              <w:rPr>
                <w:color w:val="000000"/>
              </w:rPr>
            </w:pPr>
            <w:r>
              <w:rPr>
                <w:color w:val="000000"/>
              </w:rPr>
              <w:t>☐</w:t>
            </w:r>
          </w:p>
        </w:tc>
        <w:tc>
          <w:tcPr>
            <w:tcW w:w="9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0"/>
              <w:jc w:val="left"/>
              <w:rPr>
                <w:color w:val="000000"/>
              </w:rPr>
            </w:pPr>
            <w:r>
              <w:rPr>
                <w:color w:val="000000"/>
              </w:rPr>
              <w:t>Accelerated filer</w:t>
            </w:r>
          </w:p>
        </w:tc>
        <w:tc>
          <w:tcPr>
            <w:tcW w:w="290" w:type="dxa"/>
            <w:tcBorders/>
            <w:vAlign w:val="center"/>
          </w:tcPr>
          <w:p>
            <w:pPr>
              <w:pStyle w:val="TableContents"/>
              <w:bidi w:val="0"/>
              <w:spacing w:before="0" w:after="0"/>
              <w:jc w:val="left"/>
              <w:rPr>
                <w:color w:val="000000"/>
              </w:rPr>
            </w:pPr>
            <w:r>
              <w:rPr>
                <w:color w:val="000000"/>
              </w:rPr>
              <w:t>☒</w:t>
            </w:r>
          </w:p>
        </w:tc>
      </w:tr>
      <w:tr>
        <w:trPr/>
        <w:tc>
          <w:tcPr>
            <w:tcW w:w="2150" w:type="dxa"/>
            <w:tcBorders/>
            <w:vAlign w:val="center"/>
          </w:tcPr>
          <w:p>
            <w:pPr>
              <w:pStyle w:val="TableContents"/>
              <w:bidi w:val="0"/>
              <w:spacing w:before="0" w:after="0"/>
              <w:jc w:val="left"/>
              <w:rPr>
                <w:color w:val="000000"/>
              </w:rPr>
            </w:pPr>
            <w:r>
              <w:rPr>
                <w:color w:val="000000"/>
              </w:rPr>
              <w:t>Non-accelerated filer</w:t>
            </w:r>
          </w:p>
        </w:tc>
        <w:tc>
          <w:tcPr>
            <w:tcW w:w="260" w:type="dxa"/>
            <w:tcBorders/>
            <w:vAlign w:val="center"/>
          </w:tcPr>
          <w:p>
            <w:pPr>
              <w:pStyle w:val="TableContents"/>
              <w:bidi w:val="0"/>
              <w:spacing w:before="0" w:after="0"/>
              <w:jc w:val="left"/>
              <w:rPr>
                <w:color w:val="000000"/>
              </w:rPr>
            </w:pPr>
            <w:r>
              <w:rPr>
                <w:color w:val="000000"/>
              </w:rPr>
              <w:t>☐</w:t>
            </w:r>
          </w:p>
        </w:tc>
        <w:tc>
          <w:tcPr>
            <w:tcW w:w="9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0"/>
              <w:jc w:val="left"/>
              <w:rPr>
                <w:color w:val="000000"/>
              </w:rPr>
            </w:pPr>
            <w:r>
              <w:rPr>
                <w:color w:val="000000"/>
              </w:rPr>
              <w:t>Smaller reporting company</w:t>
            </w:r>
          </w:p>
        </w:tc>
        <w:tc>
          <w:tcPr>
            <w:tcW w:w="290" w:type="dxa"/>
            <w:tcBorders/>
            <w:vAlign w:val="center"/>
          </w:tcPr>
          <w:p>
            <w:pPr>
              <w:pStyle w:val="TableContents"/>
              <w:bidi w:val="0"/>
              <w:spacing w:before="0" w:after="0"/>
              <w:jc w:val="left"/>
              <w:rPr>
                <w:color w:val="000000"/>
              </w:rPr>
            </w:pPr>
            <w:r>
              <w:rPr>
                <w:color w:val="000000"/>
              </w:rPr>
              <w:t>☐</w:t>
            </w:r>
          </w:p>
        </w:tc>
      </w:tr>
      <w:tr>
        <w:trPr/>
        <w:tc>
          <w:tcPr>
            <w:tcW w:w="215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0"/>
              <w:jc w:val="left"/>
              <w:rPr>
                <w:color w:val="000000"/>
              </w:rPr>
            </w:pPr>
            <w:r>
              <w:rPr>
                <w:color w:val="000000"/>
              </w:rPr>
              <w:t>Emerging growth company</w:t>
            </w:r>
          </w:p>
        </w:tc>
        <w:tc>
          <w:tcPr>
            <w:tcW w:w="290" w:type="dxa"/>
            <w:tcBorders/>
            <w:vAlign w:val="center"/>
          </w:tcPr>
          <w:p>
            <w:pPr>
              <w:pStyle w:val="TableContents"/>
              <w:bidi w:val="0"/>
              <w:spacing w:before="0" w:after="0"/>
              <w:jc w:val="left"/>
              <w:rPr>
                <w:color w:val="000000"/>
              </w:rPr>
            </w:pPr>
            <w:r>
              <w:rPr>
                <w:color w:val="000000"/>
              </w:rPr>
              <w:t>☐</w:t>
            </w:r>
          </w:p>
        </w:tc>
      </w:tr>
    </w:tbl>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shell company (as defined in Rule 12b-2 of the Exchange Act). Yes ☐ No ☒</w:t>
      </w:r>
    </w:p>
    <w:p>
      <w:pPr>
        <w:pStyle w:val="TextBody"/>
        <w:bidi w:val="0"/>
        <w:spacing w:before="0" w:after="0"/>
        <w:jc w:val="center"/>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As of May 4, 2026, the registrant had 19,145,754 shares of common stock, par value $1.00 per share, outstanding.</w:t>
      </w:r>
    </w:p>
    <w:p>
      <w:pPr>
        <w:pStyle w:val="HorizontalLine"/>
        <w:bidi w:val="0"/>
        <w:jc w:val="center"/>
        <w:rPr/>
      </w:pPr>
      <w:r>
        <w:rPr/>
      </w:r>
    </w:p>
    <w:p>
      <w:pPr>
        <w:pStyle w:val="HorizontalLine"/>
        <w:bidi w:val="0"/>
        <w:spacing w:before="200" w:after="200"/>
        <w:jc w:val="center"/>
        <w:rPr/>
      </w:pPr>
      <w:r>
        <w:rPr/>
      </w:r>
    </w:p>
    <w:p>
      <w:pPr>
        <w:pStyle w:val="TextBody"/>
        <w:bidi w:val="0"/>
        <w:spacing w:before="0" w:after="0"/>
        <w:jc w:val="center"/>
        <w:rPr>
          <w:rFonts w:ascii="Times New Roman" w:hAnsi="Times New Roman"/>
          <w:b/>
          <w:color w:val="000000"/>
          <w:sz w:val="20"/>
          <w:shd w:fill="FFFFFF" w:val="clear"/>
        </w:rPr>
      </w:pPr>
      <w:bookmarkStart w:id="14" w:name="TABLEOFCONTENTS"/>
      <w:bookmarkEnd w:id="14"/>
      <w:r>
        <w:rPr>
          <w:rFonts w:ascii="Times New Roman" w:hAnsi="Times New Roman"/>
          <w:b/>
          <w:color w:val="000000"/>
          <w:sz w:val="20"/>
          <w:shd w:fill="FFFFFF" w:val="clear"/>
        </w:rPr>
        <w:t>TABLE OF CONTENTS</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5" w:name="z798205059a184232b76a71d5f940bc8f"/>
      <w:bookmarkStart w:id="16" w:name="z798205059a184232b76a71d5f940bc8f"/>
      <w:bookmarkEnd w:id="16"/>
    </w:p>
    <w:tbl>
      <w:tblPr>
        <w:tblW w:w="10155" w:type="dxa"/>
        <w:jc w:val="center"/>
        <w:tblInd w:w="0" w:type="dxa"/>
        <w:tblLayout w:type="fixed"/>
        <w:tblCellMar>
          <w:top w:w="0" w:type="dxa"/>
          <w:left w:w="0" w:type="dxa"/>
          <w:bottom w:w="0" w:type="dxa"/>
          <w:right w:w="0" w:type="dxa"/>
        </w:tblCellMar>
      </w:tblPr>
      <w:tblGrid>
        <w:gridCol w:w="1040"/>
        <w:gridCol w:w="8525"/>
        <w:gridCol w:w="590"/>
      </w:tblGrid>
      <w:tr>
        <w:trPr/>
        <w:tc>
          <w:tcPr>
            <w:tcW w:w="104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Page</w:t>
            </w:r>
          </w:p>
        </w:tc>
      </w:tr>
      <w:tr>
        <w:trPr/>
        <w:tc>
          <w:tcPr>
            <w:tcW w:w="1040" w:type="dxa"/>
            <w:tcBorders/>
            <w:shd w:fill="CCEEFF" w:val="clear"/>
            <w:vAlign w:val="center"/>
          </w:tcPr>
          <w:p>
            <w:pPr>
              <w:pStyle w:val="TableContents"/>
              <w:bidi w:val="0"/>
              <w:spacing w:before="0" w:after="0"/>
              <w:jc w:val="left"/>
              <w:rPr>
                <w:b/>
                <w:color w:val="000000"/>
              </w:rPr>
            </w:pPr>
            <w:r>
              <w:rPr>
                <w:b/>
                <w:color w:val="000000"/>
              </w:rPr>
              <w:t>PART I.</w:t>
            </w:r>
          </w:p>
        </w:tc>
        <w:tc>
          <w:tcPr>
            <w:tcW w:w="8525" w:type="dxa"/>
            <w:tcBorders/>
            <w:shd w:fill="CCEEFF" w:val="clear"/>
            <w:vAlign w:val="center"/>
          </w:tcPr>
          <w:p>
            <w:pPr>
              <w:pStyle w:val="TableContents"/>
              <w:bidi w:val="0"/>
              <w:spacing w:before="0" w:after="0"/>
              <w:jc w:val="left"/>
              <w:rPr/>
            </w:pPr>
            <w:hyperlink w:anchor="PARTI.FINANCIALINFORMATIO">
              <w:r>
                <w:rPr>
                  <w:rStyle w:val="InternetLink"/>
                  <w:color w:val="000000"/>
                </w:rPr>
                <w:t>FINANCIAL INFORMATION</w:t>
              </w:r>
            </w:hyperlink>
          </w:p>
        </w:tc>
        <w:tc>
          <w:tcPr>
            <w:tcW w:w="590" w:type="dxa"/>
            <w:tcBorders/>
            <w:shd w:fill="CCEEFF" w:val="clear"/>
            <w:vAlign w:val="center"/>
          </w:tcPr>
          <w:p>
            <w:pPr>
              <w:pStyle w:val="TableContents"/>
              <w:bidi w:val="0"/>
              <w:spacing w:before="0" w:after="0"/>
              <w:jc w:val="center"/>
              <w:rPr>
                <w:color w:val="000000"/>
              </w:rPr>
            </w:pPr>
            <w:r>
              <w:rPr>
                <w:color w:val="000000"/>
              </w:rPr>
              <w:t>3</w:t>
            </w:r>
          </w:p>
        </w:tc>
      </w:tr>
      <w:tr>
        <w:trPr/>
        <w:tc>
          <w:tcPr>
            <w:tcW w:w="1040" w:type="dxa"/>
            <w:tcBorders/>
            <w:vAlign w:val="center"/>
          </w:tcPr>
          <w:p>
            <w:pPr>
              <w:pStyle w:val="TableContents"/>
              <w:bidi w:val="0"/>
              <w:spacing w:before="0" w:after="0"/>
              <w:jc w:val="left"/>
              <w:rPr>
                <w:color w:val="000000"/>
              </w:rPr>
            </w:pPr>
            <w:r>
              <w:rPr>
                <w:color w:val="000000"/>
              </w:rPr>
              <w:t>Item 1.</w:t>
            </w:r>
          </w:p>
        </w:tc>
        <w:tc>
          <w:tcPr>
            <w:tcW w:w="8525" w:type="dxa"/>
            <w:tcBorders/>
            <w:vAlign w:val="center"/>
          </w:tcPr>
          <w:p>
            <w:pPr>
              <w:pStyle w:val="TableContents"/>
              <w:bidi w:val="0"/>
              <w:spacing w:before="0" w:after="0"/>
              <w:jc w:val="left"/>
              <w:rPr/>
            </w:pPr>
            <w:hyperlink w:anchor="ConsolidatedFinancialStat">
              <w:r>
                <w:rPr>
                  <w:rStyle w:val="InternetLink"/>
                  <w:color w:val="000000"/>
                </w:rPr>
                <w:t>Consolidated Financial Statements</w:t>
              </w:r>
            </w:hyperlink>
          </w:p>
        </w:tc>
        <w:tc>
          <w:tcPr>
            <w:tcW w:w="590" w:type="dxa"/>
            <w:tcBorders/>
            <w:vAlign w:val="center"/>
          </w:tcPr>
          <w:p>
            <w:pPr>
              <w:pStyle w:val="TableContents"/>
              <w:bidi w:val="0"/>
              <w:spacing w:before="0" w:after="0"/>
              <w:jc w:val="center"/>
              <w:rPr>
                <w:color w:val="000000"/>
              </w:rPr>
            </w:pPr>
            <w:r>
              <w:rPr>
                <w:color w:val="000000"/>
              </w:rPr>
              <w:t>3</w:t>
            </w:r>
          </w:p>
        </w:tc>
      </w:tr>
      <w:tr>
        <w:trPr/>
        <w:tc>
          <w:tcPr>
            <w:tcW w:w="1040" w:type="dxa"/>
            <w:tcBorders/>
            <w:shd w:fill="CCEEFF" w:val="clear"/>
            <w:vAlign w:val="center"/>
          </w:tcPr>
          <w:p>
            <w:pPr>
              <w:pStyle w:val="TableContents"/>
              <w:bidi w:val="0"/>
              <w:spacing w:before="0" w:after="283"/>
              <w:jc w:val="left"/>
              <w:rPr/>
            </w:pPr>
            <w:r>
              <w:rPr/>
              <w:t> </w:t>
            </w:r>
          </w:p>
        </w:tc>
        <w:tc>
          <w:tcPr>
            <w:tcW w:w="8525" w:type="dxa"/>
            <w:tcBorders/>
            <w:shd w:fill="CCEEFF" w:val="clear"/>
            <w:vAlign w:val="center"/>
          </w:tcPr>
          <w:p>
            <w:pPr>
              <w:pStyle w:val="TableContents"/>
              <w:bidi w:val="0"/>
              <w:spacing w:before="0" w:after="0"/>
              <w:ind w:left="360" w:right="0" w:hanging="0"/>
              <w:jc w:val="left"/>
              <w:rPr/>
            </w:pPr>
            <w:hyperlink w:anchor="BALANCESHEETS">
              <w:r>
                <w:rPr>
                  <w:rStyle w:val="InternetLink"/>
                  <w:color w:val="000000"/>
                </w:rPr>
                <w:t>Consolidated Balance Sheets (Unaudited)</w:t>
              </w:r>
            </w:hyperlink>
          </w:p>
        </w:tc>
        <w:tc>
          <w:tcPr>
            <w:tcW w:w="590" w:type="dxa"/>
            <w:tcBorders/>
            <w:shd w:fill="CCEEFF" w:val="clear"/>
            <w:vAlign w:val="center"/>
          </w:tcPr>
          <w:p>
            <w:pPr>
              <w:pStyle w:val="TableContents"/>
              <w:bidi w:val="0"/>
              <w:spacing w:before="0" w:after="0"/>
              <w:jc w:val="center"/>
              <w:rPr>
                <w:color w:val="000000"/>
              </w:rPr>
            </w:pPr>
            <w:r>
              <w:rPr>
                <w:color w:val="000000"/>
              </w:rPr>
              <w:t>3</w:t>
            </w:r>
          </w:p>
        </w:tc>
      </w:tr>
      <w:tr>
        <w:trPr/>
        <w:tc>
          <w:tcPr>
            <w:tcW w:w="104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0"/>
              <w:ind w:left="360" w:right="0" w:hanging="0"/>
              <w:jc w:val="left"/>
              <w:rPr/>
            </w:pPr>
            <w:hyperlink w:anchor="COMPREHENSIVEINCOME">
              <w:r>
                <w:rPr>
                  <w:rStyle w:val="InternetLink"/>
                  <w:color w:val="000000"/>
                </w:rPr>
                <w:t>Consolidated Statements of Comprehensive Income (Unaudited)</w:t>
              </w:r>
            </w:hyperlink>
          </w:p>
        </w:tc>
        <w:tc>
          <w:tcPr>
            <w:tcW w:w="590" w:type="dxa"/>
            <w:tcBorders/>
            <w:vAlign w:val="center"/>
          </w:tcPr>
          <w:p>
            <w:pPr>
              <w:pStyle w:val="TableContents"/>
              <w:bidi w:val="0"/>
              <w:spacing w:before="0" w:after="0"/>
              <w:jc w:val="center"/>
              <w:rPr>
                <w:color w:val="000000"/>
              </w:rPr>
            </w:pPr>
            <w:r>
              <w:rPr>
                <w:color w:val="000000"/>
              </w:rPr>
              <w:t>4</w:t>
            </w:r>
          </w:p>
        </w:tc>
      </w:tr>
      <w:tr>
        <w:trPr/>
        <w:tc>
          <w:tcPr>
            <w:tcW w:w="1040" w:type="dxa"/>
            <w:tcBorders/>
            <w:shd w:fill="CCEEFF" w:val="clear"/>
            <w:vAlign w:val="center"/>
          </w:tcPr>
          <w:p>
            <w:pPr>
              <w:pStyle w:val="TableContents"/>
              <w:bidi w:val="0"/>
              <w:spacing w:before="0" w:after="283"/>
              <w:jc w:val="left"/>
              <w:rPr/>
            </w:pPr>
            <w:r>
              <w:rPr/>
              <w:t> </w:t>
            </w:r>
          </w:p>
        </w:tc>
        <w:tc>
          <w:tcPr>
            <w:tcW w:w="8525" w:type="dxa"/>
            <w:tcBorders/>
            <w:shd w:fill="CCEEFF" w:val="clear"/>
            <w:vAlign w:val="center"/>
          </w:tcPr>
          <w:p>
            <w:pPr>
              <w:pStyle w:val="TableContents"/>
              <w:bidi w:val="0"/>
              <w:spacing w:before="0" w:after="0"/>
              <w:ind w:left="360" w:right="0" w:hanging="0"/>
              <w:jc w:val="left"/>
              <w:rPr/>
            </w:pPr>
            <w:hyperlink w:anchor="CHANGESINSTOCKHOLDERSEQUI">
              <w:r>
                <w:rPr>
                  <w:rStyle w:val="InternetLink"/>
                  <w:color w:val="000000"/>
                </w:rPr>
                <w:t>Consolidated Statements of Changes in Stockholders’ Equity (Unaudited)</w:t>
              </w:r>
            </w:hyperlink>
          </w:p>
        </w:tc>
        <w:tc>
          <w:tcPr>
            <w:tcW w:w="590" w:type="dxa"/>
            <w:tcBorders/>
            <w:shd w:fill="CCEEFF" w:val="clear"/>
            <w:vAlign w:val="center"/>
          </w:tcPr>
          <w:p>
            <w:pPr>
              <w:pStyle w:val="TableContents"/>
              <w:bidi w:val="0"/>
              <w:spacing w:before="0" w:after="0"/>
              <w:jc w:val="center"/>
              <w:rPr>
                <w:color w:val="000000"/>
              </w:rPr>
            </w:pPr>
            <w:r>
              <w:rPr>
                <w:color w:val="000000"/>
              </w:rPr>
              <w:t>5</w:t>
            </w:r>
          </w:p>
        </w:tc>
      </w:tr>
      <w:tr>
        <w:trPr/>
        <w:tc>
          <w:tcPr>
            <w:tcW w:w="104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0"/>
              <w:ind w:left="360" w:right="0" w:hanging="0"/>
              <w:jc w:val="left"/>
              <w:rPr/>
            </w:pPr>
            <w:hyperlink w:anchor="CASHFLOWS">
              <w:r>
                <w:rPr>
                  <w:rStyle w:val="InternetLink"/>
                  <w:color w:val="000000"/>
                </w:rPr>
                <w:t>Consolidated Statements of Cash Flows (Unaudited)</w:t>
              </w:r>
            </w:hyperlink>
          </w:p>
        </w:tc>
        <w:tc>
          <w:tcPr>
            <w:tcW w:w="590" w:type="dxa"/>
            <w:tcBorders/>
            <w:vAlign w:val="center"/>
          </w:tcPr>
          <w:p>
            <w:pPr>
              <w:pStyle w:val="TableContents"/>
              <w:bidi w:val="0"/>
              <w:spacing w:before="0" w:after="0"/>
              <w:jc w:val="center"/>
              <w:rPr>
                <w:color w:val="000000"/>
              </w:rPr>
            </w:pPr>
            <w:r>
              <w:rPr>
                <w:color w:val="000000"/>
              </w:rPr>
              <w:t>6</w:t>
            </w:r>
          </w:p>
        </w:tc>
      </w:tr>
      <w:tr>
        <w:trPr/>
        <w:tc>
          <w:tcPr>
            <w:tcW w:w="1040" w:type="dxa"/>
            <w:tcBorders/>
            <w:shd w:fill="CCEEFF" w:val="clear"/>
            <w:vAlign w:val="center"/>
          </w:tcPr>
          <w:p>
            <w:pPr>
              <w:pStyle w:val="TableContents"/>
              <w:bidi w:val="0"/>
              <w:spacing w:before="0" w:after="283"/>
              <w:jc w:val="left"/>
              <w:rPr/>
            </w:pPr>
            <w:r>
              <w:rPr/>
              <w:t> </w:t>
            </w:r>
          </w:p>
        </w:tc>
        <w:tc>
          <w:tcPr>
            <w:tcW w:w="8525" w:type="dxa"/>
            <w:tcBorders/>
            <w:shd w:fill="CCEEFF" w:val="clear"/>
            <w:vAlign w:val="center"/>
          </w:tcPr>
          <w:p>
            <w:pPr>
              <w:pStyle w:val="TableContents"/>
              <w:bidi w:val="0"/>
              <w:spacing w:before="0" w:after="0"/>
              <w:ind w:left="360" w:right="0" w:hanging="0"/>
              <w:jc w:val="left"/>
              <w:rPr/>
            </w:pPr>
            <w:hyperlink w:anchor="NOTES">
              <w:r>
                <w:rPr>
                  <w:rStyle w:val="InternetLink"/>
                  <w:color w:val="000000"/>
                </w:rPr>
                <w:t>Notes to Consolidated Financial Statements (Unaudited)</w:t>
              </w:r>
            </w:hyperlink>
          </w:p>
        </w:tc>
        <w:tc>
          <w:tcPr>
            <w:tcW w:w="590" w:type="dxa"/>
            <w:tcBorders/>
            <w:shd w:fill="CCEEFF" w:val="clear"/>
            <w:vAlign w:val="center"/>
          </w:tcPr>
          <w:p>
            <w:pPr>
              <w:pStyle w:val="TableContents"/>
              <w:bidi w:val="0"/>
              <w:spacing w:before="0" w:after="283"/>
              <w:jc w:val="center"/>
              <w:rPr/>
            </w:pPr>
            <w:r>
              <w:rPr/>
              <w:t>7</w:t>
            </w:r>
          </w:p>
        </w:tc>
      </w:tr>
      <w:tr>
        <w:trPr/>
        <w:tc>
          <w:tcPr>
            <w:tcW w:w="1040" w:type="dxa"/>
            <w:tcBorders/>
            <w:vAlign w:val="center"/>
          </w:tcPr>
          <w:p>
            <w:pPr>
              <w:pStyle w:val="TableContents"/>
              <w:bidi w:val="0"/>
              <w:spacing w:before="0" w:after="0"/>
              <w:jc w:val="left"/>
              <w:rPr>
                <w:color w:val="000000"/>
              </w:rPr>
            </w:pPr>
            <w:r>
              <w:rPr>
                <w:color w:val="000000"/>
              </w:rPr>
              <w:t>Item 2.</w:t>
            </w:r>
          </w:p>
        </w:tc>
        <w:tc>
          <w:tcPr>
            <w:tcW w:w="8525" w:type="dxa"/>
            <w:tcBorders/>
            <w:vAlign w:val="center"/>
          </w:tcPr>
          <w:p>
            <w:pPr>
              <w:pStyle w:val="TableContents"/>
              <w:bidi w:val="0"/>
              <w:spacing w:before="0" w:after="0"/>
              <w:jc w:val="left"/>
              <w:rPr/>
            </w:pPr>
            <w:hyperlink w:anchor="ManagementsDiscussionandA">
              <w:r>
                <w:rPr>
                  <w:rStyle w:val="InternetLink"/>
                  <w:color w:val="000000"/>
                </w:rPr>
                <w:t>Management’s Discussion and Analysis of Financial Condition and Results of Operations</w:t>
              </w:r>
            </w:hyperlink>
          </w:p>
        </w:tc>
        <w:tc>
          <w:tcPr>
            <w:tcW w:w="590" w:type="dxa"/>
            <w:tcBorders/>
            <w:vAlign w:val="center"/>
          </w:tcPr>
          <w:p>
            <w:pPr>
              <w:pStyle w:val="TableContents"/>
              <w:bidi w:val="0"/>
              <w:spacing w:before="0" w:after="0"/>
              <w:jc w:val="center"/>
              <w:rPr>
                <w:color w:val="000000"/>
              </w:rPr>
            </w:pPr>
            <w:r>
              <w:rPr>
                <w:color w:val="000000"/>
              </w:rPr>
              <w:t>26</w:t>
            </w:r>
          </w:p>
        </w:tc>
      </w:tr>
      <w:tr>
        <w:trPr/>
        <w:tc>
          <w:tcPr>
            <w:tcW w:w="1040" w:type="dxa"/>
            <w:tcBorders/>
            <w:shd w:fill="CCEEFF" w:val="clear"/>
            <w:vAlign w:val="center"/>
          </w:tcPr>
          <w:p>
            <w:pPr>
              <w:pStyle w:val="TableContents"/>
              <w:bidi w:val="0"/>
              <w:spacing w:before="0" w:after="0"/>
              <w:jc w:val="left"/>
              <w:rPr>
                <w:color w:val="000000"/>
              </w:rPr>
            </w:pPr>
            <w:r>
              <w:rPr>
                <w:color w:val="000000"/>
              </w:rPr>
              <w:t>Item 3.</w:t>
            </w:r>
          </w:p>
        </w:tc>
        <w:tc>
          <w:tcPr>
            <w:tcW w:w="8525" w:type="dxa"/>
            <w:tcBorders/>
            <w:shd w:fill="CCEEFF" w:val="clear"/>
            <w:vAlign w:val="center"/>
          </w:tcPr>
          <w:p>
            <w:pPr>
              <w:pStyle w:val="TableContents"/>
              <w:bidi w:val="0"/>
              <w:spacing w:before="0" w:after="0"/>
              <w:jc w:val="left"/>
              <w:rPr/>
            </w:pPr>
            <w:hyperlink w:anchor="QuantitativeandQualitativ">
              <w:r>
                <w:rPr>
                  <w:rStyle w:val="InternetLink"/>
                  <w:color w:val="000000"/>
                </w:rPr>
                <w:t>Quantitative and Qualitative Disclosures About Market Risk</w:t>
              </w:r>
            </w:hyperlink>
          </w:p>
        </w:tc>
        <w:tc>
          <w:tcPr>
            <w:tcW w:w="590" w:type="dxa"/>
            <w:tcBorders/>
            <w:shd w:fill="CCEEFF" w:val="clear"/>
            <w:vAlign w:val="center"/>
          </w:tcPr>
          <w:p>
            <w:pPr>
              <w:pStyle w:val="TableContents"/>
              <w:bidi w:val="0"/>
              <w:spacing w:before="0" w:after="283"/>
              <w:jc w:val="center"/>
              <w:rPr/>
            </w:pPr>
            <w:r>
              <w:rPr/>
              <w:t>45</w:t>
            </w:r>
          </w:p>
        </w:tc>
      </w:tr>
      <w:tr>
        <w:trPr/>
        <w:tc>
          <w:tcPr>
            <w:tcW w:w="1040" w:type="dxa"/>
            <w:tcBorders/>
            <w:vAlign w:val="center"/>
          </w:tcPr>
          <w:p>
            <w:pPr>
              <w:pStyle w:val="TableContents"/>
              <w:bidi w:val="0"/>
              <w:spacing w:before="0" w:after="0"/>
              <w:jc w:val="left"/>
              <w:rPr>
                <w:color w:val="000000"/>
              </w:rPr>
            </w:pPr>
            <w:r>
              <w:rPr>
                <w:color w:val="000000"/>
              </w:rPr>
              <w:t>Item 4.</w:t>
            </w:r>
          </w:p>
        </w:tc>
        <w:tc>
          <w:tcPr>
            <w:tcW w:w="8525" w:type="dxa"/>
            <w:tcBorders/>
            <w:vAlign w:val="center"/>
          </w:tcPr>
          <w:p>
            <w:pPr>
              <w:pStyle w:val="TableContents"/>
              <w:bidi w:val="0"/>
              <w:spacing w:before="0" w:after="0"/>
              <w:jc w:val="left"/>
              <w:rPr/>
            </w:pPr>
            <w:hyperlink w:anchor="ControlsandProcedures">
              <w:r>
                <w:rPr>
                  <w:rStyle w:val="InternetLink"/>
                  <w:color w:val="000000"/>
                </w:rPr>
                <w:t>Controls and Procedures</w:t>
              </w:r>
            </w:hyperlink>
          </w:p>
        </w:tc>
        <w:tc>
          <w:tcPr>
            <w:tcW w:w="590" w:type="dxa"/>
            <w:tcBorders/>
            <w:vAlign w:val="center"/>
          </w:tcPr>
          <w:p>
            <w:pPr>
              <w:pStyle w:val="TableContents"/>
              <w:bidi w:val="0"/>
              <w:spacing w:before="0" w:after="283"/>
              <w:jc w:val="center"/>
              <w:rPr/>
            </w:pPr>
            <w:r>
              <w:rPr/>
              <w:t>45</w:t>
            </w:r>
          </w:p>
        </w:tc>
      </w:tr>
      <w:tr>
        <w:trPr/>
        <w:tc>
          <w:tcPr>
            <w:tcW w:w="1040" w:type="dxa"/>
            <w:tcBorders/>
            <w:shd w:fill="CCEEFF" w:val="clear"/>
            <w:vAlign w:val="center"/>
          </w:tcPr>
          <w:p>
            <w:pPr>
              <w:pStyle w:val="TableContents"/>
              <w:bidi w:val="0"/>
              <w:spacing w:before="0" w:after="0"/>
              <w:jc w:val="left"/>
              <w:rPr>
                <w:b/>
                <w:color w:val="000000"/>
              </w:rPr>
            </w:pPr>
            <w:r>
              <w:rPr>
                <w:b/>
                <w:color w:val="000000"/>
              </w:rPr>
              <w:t>PART II.</w:t>
            </w:r>
          </w:p>
        </w:tc>
        <w:tc>
          <w:tcPr>
            <w:tcW w:w="8525" w:type="dxa"/>
            <w:tcBorders/>
            <w:shd w:fill="CCEEFF" w:val="clear"/>
            <w:vAlign w:val="center"/>
          </w:tcPr>
          <w:p>
            <w:pPr>
              <w:pStyle w:val="TableContents"/>
              <w:bidi w:val="0"/>
              <w:spacing w:before="0" w:after="0"/>
              <w:jc w:val="left"/>
              <w:rPr/>
            </w:pPr>
            <w:hyperlink w:anchor="PARTII.OTHERINFORMATION">
              <w:r>
                <w:rPr>
                  <w:rStyle w:val="InternetLink"/>
                  <w:color w:val="000000"/>
                </w:rPr>
                <w:t>OTHER INFORMATION</w:t>
              </w:r>
            </w:hyperlink>
          </w:p>
        </w:tc>
        <w:tc>
          <w:tcPr>
            <w:tcW w:w="590" w:type="dxa"/>
            <w:tcBorders/>
            <w:shd w:fill="CCEEFF" w:val="clear"/>
            <w:vAlign w:val="center"/>
          </w:tcPr>
          <w:p>
            <w:pPr>
              <w:pStyle w:val="TableContents"/>
              <w:bidi w:val="0"/>
              <w:spacing w:before="0" w:after="283"/>
              <w:jc w:val="center"/>
              <w:rPr/>
            </w:pPr>
            <w:r>
              <w:rPr/>
              <w:t>46</w:t>
            </w:r>
          </w:p>
        </w:tc>
      </w:tr>
      <w:tr>
        <w:trPr/>
        <w:tc>
          <w:tcPr>
            <w:tcW w:w="1040" w:type="dxa"/>
            <w:tcBorders/>
            <w:vAlign w:val="center"/>
          </w:tcPr>
          <w:p>
            <w:pPr>
              <w:pStyle w:val="TableContents"/>
              <w:bidi w:val="0"/>
              <w:spacing w:before="0" w:after="0"/>
              <w:jc w:val="left"/>
              <w:rPr>
                <w:color w:val="000000"/>
              </w:rPr>
            </w:pPr>
            <w:r>
              <w:rPr>
                <w:color w:val="000000"/>
              </w:rPr>
              <w:t>Item 1.</w:t>
            </w:r>
          </w:p>
        </w:tc>
        <w:tc>
          <w:tcPr>
            <w:tcW w:w="8525" w:type="dxa"/>
            <w:tcBorders/>
            <w:vAlign w:val="center"/>
          </w:tcPr>
          <w:p>
            <w:pPr>
              <w:pStyle w:val="TableContents"/>
              <w:bidi w:val="0"/>
              <w:spacing w:before="0" w:after="0"/>
              <w:jc w:val="left"/>
              <w:rPr/>
            </w:pPr>
            <w:hyperlink w:anchor="LegalProceedings">
              <w:r>
                <w:rPr>
                  <w:rStyle w:val="InternetLink"/>
                  <w:color w:val="000000"/>
                </w:rPr>
                <w:t>Legal Proceedings</w:t>
              </w:r>
            </w:hyperlink>
          </w:p>
        </w:tc>
        <w:tc>
          <w:tcPr>
            <w:tcW w:w="590" w:type="dxa"/>
            <w:tcBorders/>
            <w:vAlign w:val="center"/>
          </w:tcPr>
          <w:p>
            <w:pPr>
              <w:pStyle w:val="TableContents"/>
              <w:bidi w:val="0"/>
              <w:spacing w:before="0" w:after="283"/>
              <w:jc w:val="center"/>
              <w:rPr/>
            </w:pPr>
            <w:r>
              <w:rPr/>
              <w:t>46</w:t>
            </w:r>
          </w:p>
        </w:tc>
      </w:tr>
      <w:tr>
        <w:trPr/>
        <w:tc>
          <w:tcPr>
            <w:tcW w:w="1040" w:type="dxa"/>
            <w:tcBorders/>
            <w:shd w:fill="CCEEFF" w:val="clear"/>
            <w:vAlign w:val="center"/>
          </w:tcPr>
          <w:p>
            <w:pPr>
              <w:pStyle w:val="TableContents"/>
              <w:bidi w:val="0"/>
              <w:spacing w:before="0" w:after="0"/>
              <w:jc w:val="left"/>
              <w:rPr>
                <w:color w:val="000000"/>
              </w:rPr>
            </w:pPr>
            <w:r>
              <w:rPr>
                <w:color w:val="000000"/>
              </w:rPr>
              <w:t>Item 1A.</w:t>
            </w:r>
          </w:p>
        </w:tc>
        <w:tc>
          <w:tcPr>
            <w:tcW w:w="8525" w:type="dxa"/>
            <w:tcBorders/>
            <w:shd w:fill="CCEEFF" w:val="clear"/>
            <w:vAlign w:val="center"/>
          </w:tcPr>
          <w:p>
            <w:pPr>
              <w:pStyle w:val="TableContents"/>
              <w:bidi w:val="0"/>
              <w:spacing w:before="0" w:after="0"/>
              <w:jc w:val="left"/>
              <w:rPr/>
            </w:pPr>
            <w:hyperlink w:anchor="RiskFactors">
              <w:r>
                <w:rPr>
                  <w:rStyle w:val="InternetLink"/>
                  <w:color w:val="000000"/>
                </w:rPr>
                <w:t>Risk Factors</w:t>
              </w:r>
            </w:hyperlink>
          </w:p>
        </w:tc>
        <w:tc>
          <w:tcPr>
            <w:tcW w:w="590" w:type="dxa"/>
            <w:tcBorders/>
            <w:shd w:fill="CCEEFF" w:val="clear"/>
            <w:vAlign w:val="center"/>
          </w:tcPr>
          <w:p>
            <w:pPr>
              <w:pStyle w:val="TableContents"/>
              <w:bidi w:val="0"/>
              <w:spacing w:before="0" w:after="283"/>
              <w:jc w:val="center"/>
              <w:rPr/>
            </w:pPr>
            <w:r>
              <w:rPr/>
              <w:t>46</w:t>
            </w:r>
          </w:p>
        </w:tc>
      </w:tr>
      <w:tr>
        <w:trPr/>
        <w:tc>
          <w:tcPr>
            <w:tcW w:w="1040" w:type="dxa"/>
            <w:tcBorders/>
            <w:vAlign w:val="center"/>
          </w:tcPr>
          <w:p>
            <w:pPr>
              <w:pStyle w:val="TableContents"/>
              <w:bidi w:val="0"/>
              <w:spacing w:before="0" w:after="0"/>
              <w:jc w:val="left"/>
              <w:rPr>
                <w:color w:val="000000"/>
              </w:rPr>
            </w:pPr>
            <w:r>
              <w:rPr>
                <w:color w:val="000000"/>
              </w:rPr>
              <w:t>Item 2.</w:t>
            </w:r>
          </w:p>
        </w:tc>
        <w:tc>
          <w:tcPr>
            <w:tcW w:w="8525" w:type="dxa"/>
            <w:tcBorders/>
            <w:vAlign w:val="center"/>
          </w:tcPr>
          <w:p>
            <w:pPr>
              <w:pStyle w:val="TableContents"/>
              <w:bidi w:val="0"/>
              <w:spacing w:before="0" w:after="0"/>
              <w:jc w:val="left"/>
              <w:rPr/>
            </w:pPr>
            <w:hyperlink w:anchor="UnregisteredSalesofEquity">
              <w:r>
                <w:rPr>
                  <w:rStyle w:val="InternetLink"/>
                  <w:color w:val="000000"/>
                </w:rPr>
                <w:t>Unregistered Sales of Equity Securities and Use of Proceeds</w:t>
              </w:r>
            </w:hyperlink>
          </w:p>
        </w:tc>
        <w:tc>
          <w:tcPr>
            <w:tcW w:w="590" w:type="dxa"/>
            <w:tcBorders/>
            <w:vAlign w:val="center"/>
          </w:tcPr>
          <w:p>
            <w:pPr>
              <w:pStyle w:val="TableContents"/>
              <w:bidi w:val="0"/>
              <w:spacing w:before="0" w:after="283"/>
              <w:jc w:val="center"/>
              <w:rPr/>
            </w:pPr>
            <w:r>
              <w:rPr/>
              <w:t>46</w:t>
            </w:r>
          </w:p>
        </w:tc>
      </w:tr>
      <w:tr>
        <w:trPr/>
        <w:tc>
          <w:tcPr>
            <w:tcW w:w="1040" w:type="dxa"/>
            <w:tcBorders/>
            <w:shd w:fill="CCEEFF" w:val="clear"/>
            <w:vAlign w:val="center"/>
          </w:tcPr>
          <w:p>
            <w:pPr>
              <w:pStyle w:val="TableContents"/>
              <w:bidi w:val="0"/>
              <w:spacing w:before="0" w:after="0"/>
              <w:jc w:val="left"/>
              <w:rPr>
                <w:color w:val="000000"/>
              </w:rPr>
            </w:pPr>
            <w:r>
              <w:rPr>
                <w:color w:val="000000"/>
              </w:rPr>
              <w:t>Item 3.</w:t>
            </w:r>
          </w:p>
        </w:tc>
        <w:tc>
          <w:tcPr>
            <w:tcW w:w="8525" w:type="dxa"/>
            <w:tcBorders/>
            <w:shd w:fill="CCEEFF" w:val="clear"/>
            <w:vAlign w:val="center"/>
          </w:tcPr>
          <w:p>
            <w:pPr>
              <w:pStyle w:val="TableContents"/>
              <w:bidi w:val="0"/>
              <w:spacing w:before="0" w:after="0"/>
              <w:jc w:val="left"/>
              <w:rPr/>
            </w:pPr>
            <w:hyperlink w:anchor="DefaultsuponSeniorSecurit">
              <w:r>
                <w:rPr>
                  <w:rStyle w:val="InternetLink"/>
                  <w:color w:val="000000"/>
                </w:rPr>
                <w:t>Defaults Upon Senior Securities</w:t>
              </w:r>
            </w:hyperlink>
          </w:p>
        </w:tc>
        <w:tc>
          <w:tcPr>
            <w:tcW w:w="590" w:type="dxa"/>
            <w:tcBorders/>
            <w:shd w:fill="CCEEFF" w:val="clear"/>
            <w:vAlign w:val="center"/>
          </w:tcPr>
          <w:p>
            <w:pPr>
              <w:pStyle w:val="TableContents"/>
              <w:bidi w:val="0"/>
              <w:spacing w:before="0" w:after="283"/>
              <w:jc w:val="center"/>
              <w:rPr/>
            </w:pPr>
            <w:r>
              <w:rPr/>
              <w:t>46</w:t>
            </w:r>
          </w:p>
        </w:tc>
      </w:tr>
      <w:tr>
        <w:trPr/>
        <w:tc>
          <w:tcPr>
            <w:tcW w:w="1040" w:type="dxa"/>
            <w:tcBorders/>
            <w:vAlign w:val="center"/>
          </w:tcPr>
          <w:p>
            <w:pPr>
              <w:pStyle w:val="TableContents"/>
              <w:bidi w:val="0"/>
              <w:spacing w:before="0" w:after="0"/>
              <w:jc w:val="left"/>
              <w:rPr>
                <w:color w:val="000000"/>
              </w:rPr>
            </w:pPr>
            <w:r>
              <w:rPr>
                <w:color w:val="000000"/>
              </w:rPr>
              <w:t>Item 4.</w:t>
            </w:r>
          </w:p>
        </w:tc>
        <w:tc>
          <w:tcPr>
            <w:tcW w:w="8525" w:type="dxa"/>
            <w:tcBorders/>
            <w:vAlign w:val="center"/>
          </w:tcPr>
          <w:p>
            <w:pPr>
              <w:pStyle w:val="TableContents"/>
              <w:bidi w:val="0"/>
              <w:spacing w:before="0" w:after="0"/>
              <w:jc w:val="left"/>
              <w:rPr/>
            </w:pPr>
            <w:hyperlink w:anchor="MineSafetyDisclosures">
              <w:r>
                <w:rPr>
                  <w:rStyle w:val="InternetLink"/>
                  <w:color w:val="000000"/>
                </w:rPr>
                <w:t>Mine Safety Disclosures</w:t>
              </w:r>
            </w:hyperlink>
          </w:p>
        </w:tc>
        <w:tc>
          <w:tcPr>
            <w:tcW w:w="590" w:type="dxa"/>
            <w:tcBorders/>
            <w:vAlign w:val="center"/>
          </w:tcPr>
          <w:p>
            <w:pPr>
              <w:pStyle w:val="TableContents"/>
              <w:bidi w:val="0"/>
              <w:spacing w:before="0" w:after="0"/>
              <w:jc w:val="center"/>
              <w:rPr>
                <w:color w:val="000000"/>
              </w:rPr>
            </w:pPr>
            <w:r>
              <w:rPr>
                <w:color w:val="000000"/>
              </w:rPr>
              <w:t>46</w:t>
            </w:r>
          </w:p>
        </w:tc>
      </w:tr>
      <w:tr>
        <w:trPr/>
        <w:tc>
          <w:tcPr>
            <w:tcW w:w="1040" w:type="dxa"/>
            <w:tcBorders/>
            <w:shd w:fill="CCEEFF" w:val="clear"/>
            <w:vAlign w:val="center"/>
          </w:tcPr>
          <w:p>
            <w:pPr>
              <w:pStyle w:val="TableContents"/>
              <w:bidi w:val="0"/>
              <w:spacing w:before="0" w:after="0"/>
              <w:jc w:val="left"/>
              <w:rPr>
                <w:color w:val="000000"/>
              </w:rPr>
            </w:pPr>
            <w:r>
              <w:rPr>
                <w:color w:val="000000"/>
              </w:rPr>
              <w:t>Item 5.</w:t>
            </w:r>
          </w:p>
        </w:tc>
        <w:tc>
          <w:tcPr>
            <w:tcW w:w="8525" w:type="dxa"/>
            <w:tcBorders/>
            <w:shd w:fill="CCEEFF" w:val="clear"/>
            <w:vAlign w:val="center"/>
          </w:tcPr>
          <w:p>
            <w:pPr>
              <w:pStyle w:val="TableContents"/>
              <w:bidi w:val="0"/>
              <w:spacing w:before="0" w:after="0"/>
              <w:jc w:val="left"/>
              <w:rPr/>
            </w:pPr>
            <w:hyperlink w:anchor="OtherInformation">
              <w:r>
                <w:rPr>
                  <w:rStyle w:val="InternetLink"/>
                  <w:color w:val="000000"/>
                </w:rPr>
                <w:t>Other Information</w:t>
              </w:r>
            </w:hyperlink>
          </w:p>
        </w:tc>
        <w:tc>
          <w:tcPr>
            <w:tcW w:w="590" w:type="dxa"/>
            <w:tcBorders/>
            <w:shd w:fill="CCEEFF" w:val="clear"/>
            <w:vAlign w:val="center"/>
          </w:tcPr>
          <w:p>
            <w:pPr>
              <w:pStyle w:val="TableContents"/>
              <w:bidi w:val="0"/>
              <w:spacing w:before="0" w:after="0"/>
              <w:jc w:val="center"/>
              <w:rPr>
                <w:color w:val="000000"/>
              </w:rPr>
            </w:pPr>
            <w:r>
              <w:rPr>
                <w:color w:val="000000"/>
              </w:rPr>
              <w:t>46</w:t>
            </w:r>
          </w:p>
        </w:tc>
      </w:tr>
      <w:tr>
        <w:trPr/>
        <w:tc>
          <w:tcPr>
            <w:tcW w:w="1040" w:type="dxa"/>
            <w:tcBorders/>
            <w:vAlign w:val="center"/>
          </w:tcPr>
          <w:p>
            <w:pPr>
              <w:pStyle w:val="TableContents"/>
              <w:bidi w:val="0"/>
              <w:spacing w:before="0" w:after="0"/>
              <w:jc w:val="left"/>
              <w:rPr>
                <w:color w:val="000000"/>
              </w:rPr>
            </w:pPr>
            <w:r>
              <w:rPr>
                <w:color w:val="000000"/>
              </w:rPr>
              <w:t>Item 6.</w:t>
            </w:r>
          </w:p>
        </w:tc>
        <w:tc>
          <w:tcPr>
            <w:tcW w:w="8525" w:type="dxa"/>
            <w:tcBorders/>
            <w:vAlign w:val="center"/>
          </w:tcPr>
          <w:p>
            <w:pPr>
              <w:pStyle w:val="TableContents"/>
              <w:bidi w:val="0"/>
              <w:spacing w:before="0" w:after="0"/>
              <w:jc w:val="left"/>
              <w:rPr/>
            </w:pPr>
            <w:hyperlink w:anchor="Exhibits">
              <w:r>
                <w:rPr>
                  <w:rStyle w:val="InternetLink"/>
                  <w:color w:val="000000"/>
                </w:rPr>
                <w:t>Exhibits</w:t>
              </w:r>
            </w:hyperlink>
          </w:p>
        </w:tc>
        <w:tc>
          <w:tcPr>
            <w:tcW w:w="590" w:type="dxa"/>
            <w:tcBorders/>
            <w:vAlign w:val="center"/>
          </w:tcPr>
          <w:p>
            <w:pPr>
              <w:pStyle w:val="TableContents"/>
              <w:bidi w:val="0"/>
              <w:spacing w:before="0" w:after="0"/>
              <w:jc w:val="center"/>
              <w:rPr>
                <w:color w:val="000000"/>
              </w:rPr>
            </w:pPr>
            <w:r>
              <w:rPr>
                <w:color w:val="000000"/>
              </w:rPr>
              <w:t>47</w:t>
            </w:r>
          </w:p>
        </w:tc>
      </w:tr>
      <w:tr>
        <w:trPr/>
        <w:tc>
          <w:tcPr>
            <w:tcW w:w="9565" w:type="dxa"/>
            <w:gridSpan w:val="2"/>
            <w:tcBorders/>
            <w:shd w:fill="CCEEFF" w:val="clear"/>
            <w:vAlign w:val="center"/>
          </w:tcPr>
          <w:p>
            <w:pPr>
              <w:pStyle w:val="TableContents"/>
              <w:bidi w:val="0"/>
              <w:spacing w:before="0" w:after="0"/>
              <w:jc w:val="left"/>
              <w:rPr/>
            </w:pPr>
            <w:hyperlink w:anchor="SIGNATURES">
              <w:r>
                <w:rPr>
                  <w:rStyle w:val="InternetLink"/>
                  <w:color w:val="000000"/>
                </w:rPr>
                <w:t>Signatures</w:t>
              </w:r>
            </w:hyperlink>
          </w:p>
        </w:tc>
        <w:tc>
          <w:tcPr>
            <w:tcW w:w="590" w:type="dxa"/>
            <w:tcBorders/>
            <w:shd w:fill="CCEEFF" w:val="clear"/>
            <w:vAlign w:val="center"/>
          </w:tcPr>
          <w:p>
            <w:pPr>
              <w:pStyle w:val="TableContents"/>
              <w:bidi w:val="0"/>
              <w:spacing w:before="0" w:after="0"/>
              <w:jc w:val="center"/>
              <w:rPr>
                <w:color w:val="000000"/>
              </w:rPr>
            </w:pPr>
            <w:r>
              <w:rPr>
                <w:color w:val="000000"/>
              </w:rPr>
              <w:t>48</w:t>
            </w:r>
          </w:p>
        </w:tc>
      </w:tr>
    </w:tbl>
    <w:p>
      <w:pPr>
        <w:pStyle w:val="TextBody"/>
        <w:bidi w:val="0"/>
        <w:spacing w:before="0" w:after="0"/>
        <w:jc w:val="left"/>
        <w:rPr>
          <w:i/>
          <w:sz w:val="16"/>
        </w:rPr>
      </w:pPr>
      <w:r>
        <w:rPr>
          <w:i/>
          <w:sz w:val="16"/>
        </w:rPr>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bookmarkStart w:id="17" w:name="PARTI.FINANCIALINFORMATIO"/>
      <w:bookmarkEnd w:id="17"/>
      <w:r>
        <w:rPr>
          <w:rFonts w:ascii="Times New Roman" w:hAnsi="Times New Roman"/>
          <w:b/>
          <w:color w:val="000000"/>
          <w:sz w:val="20"/>
          <w:shd w:fill="FFFFFF" w:val="clear"/>
        </w:rPr>
        <w:t>PART I. FINANCIAL INFORMATION</w:t>
      </w:r>
    </w:p>
    <w:p>
      <w:pPr>
        <w:pStyle w:val="TextBody"/>
        <w:bidi w:val="0"/>
        <w:spacing w:before="0" w:after="0"/>
        <w:jc w:val="left"/>
        <w:rPr>
          <w:b/>
          <w:color w:val="000000"/>
        </w:rPr>
      </w:pPr>
      <w:r>
        <w:rPr>
          <w:b/>
          <w:color w:val="000000"/>
        </w:rPr>
      </w:r>
    </w:p>
    <w:p>
      <w:pPr>
        <w:pStyle w:val="Normal"/>
        <w:bidi w:val="0"/>
        <w:spacing w:before="0" w:after="0"/>
        <w:jc w:val="center"/>
        <w:rPr>
          <w:sz w:val="4"/>
          <w:szCs w:val="4"/>
        </w:rPr>
      </w:pPr>
      <w:r>
        <w:rPr>
          <w:sz w:val="4"/>
          <w:szCs w:val="4"/>
        </w:rPr>
      </w:r>
      <w:bookmarkStart w:id="18" w:name="z1ad5cdff1b434bb980652641f21c02eb"/>
      <w:bookmarkStart w:id="19" w:name="ConsolidatedFinancialStat"/>
      <w:bookmarkStart w:id="20" w:name="z1ad5cdff1b434bb980652641f21c02eb"/>
      <w:bookmarkStart w:id="21" w:name="ConsolidatedFinancialStat"/>
      <w:bookmarkEnd w:id="20"/>
      <w:bookmarkEnd w:id="21"/>
    </w:p>
    <w:tbl>
      <w:tblPr>
        <w:tblW w:w="4375" w:type="dxa"/>
        <w:jc w:val="center"/>
        <w:tblInd w:w="0" w:type="dxa"/>
        <w:tblLayout w:type="fixed"/>
        <w:tblCellMar>
          <w:top w:w="0" w:type="dxa"/>
          <w:left w:w="0" w:type="dxa"/>
          <w:bottom w:w="0" w:type="dxa"/>
          <w:right w:w="0" w:type="dxa"/>
        </w:tblCellMar>
      </w:tblPr>
      <w:tblGrid>
        <w:gridCol w:w="770"/>
        <w:gridCol w:w="3605"/>
      </w:tblGrid>
      <w:tr>
        <w:trPr/>
        <w:tc>
          <w:tcPr>
            <w:tcW w:w="770" w:type="dxa"/>
            <w:tcBorders/>
            <w:vAlign w:val="center"/>
          </w:tcPr>
          <w:p>
            <w:pPr>
              <w:pStyle w:val="TableContents"/>
              <w:bidi w:val="0"/>
              <w:spacing w:before="0" w:after="0"/>
              <w:jc w:val="left"/>
              <w:rPr>
                <w:b/>
                <w:color w:val="000000"/>
              </w:rPr>
            </w:pPr>
            <w:r>
              <w:rPr>
                <w:b/>
                <w:color w:val="000000"/>
              </w:rPr>
              <w:t>Item 1.</w:t>
            </w:r>
          </w:p>
        </w:tc>
        <w:tc>
          <w:tcPr>
            <w:tcW w:w="3605" w:type="dxa"/>
            <w:tcBorders/>
            <w:vAlign w:val="center"/>
          </w:tcPr>
          <w:p>
            <w:pPr>
              <w:pStyle w:val="TableContents"/>
              <w:bidi w:val="0"/>
              <w:spacing w:before="0" w:after="0"/>
              <w:jc w:val="left"/>
              <w:rPr>
                <w:b/>
                <w:color w:val="000000"/>
              </w:rPr>
            </w:pPr>
            <w:r>
              <w:rPr>
                <w:b/>
                <w:color w:val="000000"/>
              </w:rPr>
              <w:t>Consolidated Financial Statements</w:t>
            </w:r>
          </w:p>
        </w:tc>
      </w:tr>
    </w:tbl>
    <w:p>
      <w:pPr>
        <w:pStyle w:val="TextBody"/>
        <w:bidi w:val="0"/>
        <w:spacing w:before="0" w:after="0"/>
        <w:jc w:val="center"/>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SOUTH PLAINS FINANCIAL, INC. AND SUBSIDIARIES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CONSOLIDATED BALANCE SHEETS</w:t>
      </w:r>
      <w:bookmarkStart w:id="22" w:name="BALANCESHEETS"/>
      <w:bookmarkEnd w:id="22"/>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(Dollars in thousands, except per share data)</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23" w:name="z4eb9c73212ec4bbb98565f937715639b"/>
      <w:bookmarkStart w:id="24" w:name="z4eb9c73212ec4bbb98565f937715639b"/>
      <w:bookmarkEnd w:id="24"/>
    </w:p>
    <w:tbl>
      <w:tblPr>
        <w:tblW w:w="10205" w:type="dxa"/>
        <w:jc w:val="center"/>
        <w:tblInd w:w="0" w:type="dxa"/>
        <w:tblLayout w:type="fixed"/>
        <w:tblCellMar>
          <w:top w:w="0" w:type="dxa"/>
          <w:left w:w="0" w:type="dxa"/>
          <w:bottom w:w="0" w:type="dxa"/>
          <w:right w:w="0" w:type="dxa"/>
        </w:tblCellMar>
      </w:tblPr>
      <w:tblGrid>
        <w:gridCol w:w="7228"/>
        <w:gridCol w:w="90"/>
        <w:gridCol w:w="176"/>
        <w:gridCol w:w="1054"/>
        <w:gridCol w:w="125"/>
        <w:gridCol w:w="90"/>
        <w:gridCol w:w="183"/>
        <w:gridCol w:w="1088"/>
        <w:gridCol w:w="171"/>
      </w:tblGrid>
      <w:tr>
        <w:trPr/>
        <w:tc>
          <w:tcPr>
            <w:tcW w:w="722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March 31,</w:t>
            </w:r>
          </w:p>
          <w:p>
            <w:pPr>
              <w:pStyle w:val="TableContents"/>
              <w:bidi w:val="0"/>
              <w:spacing w:before="0" w:after="0"/>
              <w:jc w:val="center"/>
              <w:rPr>
                <w:b/>
                <w:color w:val="000000"/>
              </w:rPr>
            </w:pPr>
            <w:r>
              <w:rPr>
                <w:b/>
                <w:color w:val="000000"/>
              </w:rPr>
              <w:t>2026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7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w:t>
            </w:r>
          </w:p>
          <w:p>
            <w:pPr>
              <w:pStyle w:val="TableContents"/>
              <w:bidi w:val="0"/>
              <w:spacing w:before="0" w:after="0"/>
              <w:jc w:val="center"/>
              <w:rPr>
                <w:b/>
                <w:color w:val="000000"/>
              </w:rPr>
            </w:pPr>
            <w:r>
              <w:rPr>
                <w:b/>
                <w:color w:val="000000"/>
              </w:rPr>
              <w:t>2025</w:t>
            </w:r>
          </w:p>
        </w:tc>
        <w:tc>
          <w:tcPr>
            <w:tcW w:w="171" w:type="dxa"/>
            <w:tcBorders/>
            <w:vAlign w:val="bottom"/>
          </w:tcPr>
          <w:p>
            <w:pPr>
              <w:pStyle w:val="TableContents"/>
              <w:bidi w:val="0"/>
              <w:spacing w:before="0" w:after="283"/>
              <w:jc w:val="left"/>
              <w:rPr/>
            </w:pPr>
            <w:r>
              <w:rPr/>
              <w:t> </w:t>
            </w:r>
          </w:p>
        </w:tc>
      </w:tr>
      <w:tr>
        <w:trPr/>
        <w:tc>
          <w:tcPr>
            <w:tcW w:w="722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0" w:type="dxa"/>
            <w:gridSpan w:val="2"/>
            <w:tcBorders/>
            <w:vAlign w:val="bottom"/>
          </w:tcPr>
          <w:p>
            <w:pPr>
              <w:pStyle w:val="TableContents"/>
              <w:bidi w:val="0"/>
              <w:spacing w:before="0" w:after="0"/>
              <w:jc w:val="center"/>
              <w:rPr>
                <w:b/>
                <w:color w:val="000000"/>
              </w:rPr>
            </w:pPr>
            <w:r>
              <w:rPr>
                <w:b/>
                <w:color w:val="000000"/>
              </w:rPr>
              <w:t>(Unaudited)</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71" w:type="dxa"/>
            <w:gridSpan w:val="2"/>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r>
      <w:tr>
        <w:trPr/>
        <w:tc>
          <w:tcPr>
            <w:tcW w:w="7228" w:type="dxa"/>
            <w:tcBorders/>
            <w:vAlign w:val="bottom"/>
          </w:tcPr>
          <w:p>
            <w:pPr>
              <w:pStyle w:val="TableContents"/>
              <w:bidi w:val="0"/>
              <w:spacing w:before="0" w:after="0"/>
              <w:ind w:left="144" w:right="0" w:hanging="144"/>
              <w:jc w:val="left"/>
              <w:rPr>
                <w:color w:val="000000"/>
                <w:u w:val="single"/>
              </w:rPr>
            </w:pPr>
            <w:r>
              <w:rPr>
                <w:color w:val="000000"/>
                <w:u w:val="single"/>
              </w:rPr>
              <w:t>ASSETS</w:t>
            </w:r>
          </w:p>
        </w:tc>
        <w:tc>
          <w:tcPr>
            <w:tcW w:w="90" w:type="dxa"/>
            <w:tcBorders/>
            <w:vAlign w:val="bottom"/>
          </w:tcPr>
          <w:p>
            <w:pPr>
              <w:pStyle w:val="TableContents"/>
              <w:bidi w:val="0"/>
              <w:spacing w:before="0" w:after="283"/>
              <w:jc w:val="left"/>
              <w:rPr/>
            </w:pPr>
            <w:r>
              <w:rPr/>
              <w:t> </w:t>
            </w:r>
          </w:p>
        </w:tc>
        <w:tc>
          <w:tcPr>
            <w:tcW w:w="123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71" w:type="dxa"/>
            <w:gridSpan w:val="2"/>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r>
      <w:tr>
        <w:trPr/>
        <w:tc>
          <w:tcPr>
            <w:tcW w:w="7228" w:type="dxa"/>
            <w:tcBorders/>
            <w:shd w:fill="CCEEFF" w:val="clear"/>
            <w:vAlign w:val="bottom"/>
          </w:tcPr>
          <w:p>
            <w:pPr>
              <w:pStyle w:val="TableContents"/>
              <w:bidi w:val="0"/>
              <w:spacing w:before="0" w:after="0"/>
              <w:ind w:left="144" w:right="0" w:hanging="144"/>
              <w:jc w:val="left"/>
              <w:rPr>
                <w:color w:val="000000"/>
              </w:rPr>
            </w:pPr>
            <w:r>
              <w:rPr>
                <w:color w:val="000000"/>
              </w:rPr>
              <w:t>Cash and due from banks</w:t>
            </w:r>
          </w:p>
        </w:tc>
        <w:tc>
          <w:tcPr>
            <w:tcW w:w="9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0"/>
              <w:jc w:val="left"/>
              <w:rPr>
                <w:color w:val="000000"/>
              </w:rPr>
            </w:pPr>
            <w:r>
              <w:rPr>
                <w:color w:val="000000"/>
              </w:rPr>
              <w:t>$</w:t>
            </w:r>
          </w:p>
        </w:tc>
        <w:tc>
          <w:tcPr>
            <w:tcW w:w="1054" w:type="dxa"/>
            <w:tcBorders/>
            <w:shd w:fill="CCEEFF" w:val="clear"/>
            <w:vAlign w:val="bottom"/>
          </w:tcPr>
          <w:p>
            <w:pPr>
              <w:pStyle w:val="TableContents"/>
              <w:bidi w:val="0"/>
              <w:spacing w:before="0" w:after="0"/>
              <w:jc w:val="right"/>
              <w:rPr>
                <w:color w:val="000000"/>
              </w:rPr>
            </w:pPr>
            <w:r>
              <w:rPr>
                <w:color w:val="000000"/>
              </w:rPr>
              <w:t>45,881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0"/>
              <w:jc w:val="left"/>
              <w:rPr>
                <w:color w:val="000000"/>
              </w:rPr>
            </w:pPr>
            <w:r>
              <w:rPr>
                <w:color w:val="000000"/>
              </w:rPr>
              <w:t>$</w:t>
            </w:r>
          </w:p>
        </w:tc>
        <w:tc>
          <w:tcPr>
            <w:tcW w:w="1088" w:type="dxa"/>
            <w:tcBorders/>
            <w:shd w:fill="CCEEFF" w:val="clear"/>
            <w:vAlign w:val="bottom"/>
          </w:tcPr>
          <w:p>
            <w:pPr>
              <w:pStyle w:val="TableContents"/>
              <w:bidi w:val="0"/>
              <w:spacing w:before="0" w:after="0"/>
              <w:jc w:val="right"/>
              <w:rPr>
                <w:color w:val="000000"/>
              </w:rPr>
            </w:pPr>
            <w:r>
              <w:rPr>
                <w:color w:val="000000"/>
              </w:rPr>
              <w:t>58,318</w:t>
            </w:r>
          </w:p>
        </w:tc>
        <w:tc>
          <w:tcPr>
            <w:tcW w:w="171" w:type="dxa"/>
            <w:tcBorders/>
            <w:shd w:fill="CCEEFF" w:val="clear"/>
            <w:vAlign w:val="bottom"/>
          </w:tcPr>
          <w:p>
            <w:pPr>
              <w:pStyle w:val="TableContents"/>
              <w:bidi w:val="0"/>
              <w:spacing w:before="0" w:after="283"/>
              <w:jc w:val="left"/>
              <w:rPr/>
            </w:pPr>
            <w:r>
              <w:rPr/>
              <w:t> </w:t>
            </w:r>
          </w:p>
        </w:tc>
      </w:tr>
      <w:tr>
        <w:trPr/>
        <w:tc>
          <w:tcPr>
            <w:tcW w:w="7228" w:type="dxa"/>
            <w:tcBorders/>
            <w:vAlign w:val="bottom"/>
          </w:tcPr>
          <w:p>
            <w:pPr>
              <w:pStyle w:val="TableContents"/>
              <w:bidi w:val="0"/>
              <w:spacing w:before="0" w:after="0"/>
              <w:ind w:left="144" w:right="0" w:hanging="144"/>
              <w:jc w:val="left"/>
              <w:rPr>
                <w:color w:val="000000"/>
              </w:rPr>
            </w:pPr>
            <w:r>
              <w:rPr>
                <w:color w:val="000000"/>
              </w:rPr>
              <w:t>Interest-bearing deposits in banks</w:t>
            </w:r>
          </w:p>
        </w:tc>
        <w:tc>
          <w:tcPr>
            <w:tcW w:w="9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676,119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494,121</w:t>
            </w:r>
          </w:p>
        </w:tc>
        <w:tc>
          <w:tcPr>
            <w:tcW w:w="171" w:type="dxa"/>
            <w:tcBorders/>
            <w:vAlign w:val="bottom"/>
          </w:tcPr>
          <w:p>
            <w:pPr>
              <w:pStyle w:val="TableContents"/>
              <w:bidi w:val="0"/>
              <w:spacing w:before="0" w:after="283"/>
              <w:jc w:val="left"/>
              <w:rPr/>
            </w:pPr>
            <w:r>
              <w:rPr/>
              <w:t> </w:t>
            </w:r>
          </w:p>
        </w:tc>
      </w:tr>
      <w:tr>
        <w:trPr/>
        <w:tc>
          <w:tcPr>
            <w:tcW w:w="7228" w:type="dxa"/>
            <w:tcBorders/>
            <w:shd w:fill="CCEEFF" w:val="clear"/>
            <w:vAlign w:val="bottom"/>
          </w:tcPr>
          <w:p>
            <w:pPr>
              <w:pStyle w:val="TableContents"/>
              <w:bidi w:val="0"/>
              <w:spacing w:before="0" w:after="0"/>
              <w:ind w:left="324" w:right="0" w:hanging="144"/>
              <w:jc w:val="left"/>
              <w:rPr>
                <w:color w:val="000000"/>
              </w:rPr>
            </w:pPr>
            <w:r>
              <w:rPr>
                <w:color w:val="000000"/>
              </w:rPr>
              <w:t>Cash and cash equivalents</w:t>
            </w:r>
          </w:p>
        </w:tc>
        <w:tc>
          <w:tcPr>
            <w:tcW w:w="9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0"/>
              <w:jc w:val="right"/>
              <w:rPr>
                <w:color w:val="000000"/>
              </w:rPr>
            </w:pPr>
            <w:r>
              <w:rPr>
                <w:color w:val="000000"/>
              </w:rPr>
              <w:t>722,000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0"/>
              <w:jc w:val="right"/>
              <w:rPr>
                <w:color w:val="000000"/>
              </w:rPr>
            </w:pPr>
            <w:r>
              <w:rPr>
                <w:color w:val="000000"/>
              </w:rPr>
              <w:t>552,439</w:t>
            </w:r>
          </w:p>
        </w:tc>
        <w:tc>
          <w:tcPr>
            <w:tcW w:w="171" w:type="dxa"/>
            <w:tcBorders/>
            <w:shd w:fill="CCEEFF" w:val="clear"/>
            <w:vAlign w:val="bottom"/>
          </w:tcPr>
          <w:p>
            <w:pPr>
              <w:pStyle w:val="TableContents"/>
              <w:bidi w:val="0"/>
              <w:spacing w:before="0" w:after="283"/>
              <w:jc w:val="left"/>
              <w:rPr/>
            </w:pPr>
            <w:r>
              <w:rPr/>
              <w:t> </w:t>
            </w:r>
          </w:p>
        </w:tc>
      </w:tr>
      <w:tr>
        <w:trPr/>
        <w:tc>
          <w:tcPr>
            <w:tcW w:w="7228" w:type="dxa"/>
            <w:tcBorders/>
            <w:vAlign w:val="bottom"/>
          </w:tcPr>
          <w:p>
            <w:pPr>
              <w:pStyle w:val="TableContents"/>
              <w:bidi w:val="0"/>
              <w:spacing w:before="0" w:after="0"/>
              <w:ind w:left="144" w:right="0" w:hanging="144"/>
              <w:jc w:val="left"/>
              <w:rPr>
                <w:color w:val="000000"/>
              </w:rPr>
            </w:pPr>
            <w:r>
              <w:rPr>
                <w:color w:val="000000"/>
              </w:rPr>
              <w:t>Securities available for sale</w:t>
            </w:r>
          </w:p>
        </w:tc>
        <w:tc>
          <w:tcPr>
            <w:tcW w:w="9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0"/>
              <w:jc w:val="right"/>
              <w:rPr>
                <w:color w:val="000000"/>
              </w:rPr>
            </w:pPr>
            <w:r>
              <w:rPr>
                <w:color w:val="000000"/>
              </w:rPr>
              <w:t>602,852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0"/>
              <w:jc w:val="right"/>
              <w:rPr>
                <w:color w:val="000000"/>
              </w:rPr>
            </w:pPr>
            <w:r>
              <w:rPr>
                <w:color w:val="000000"/>
              </w:rPr>
              <w:t>567,540</w:t>
            </w:r>
          </w:p>
        </w:tc>
        <w:tc>
          <w:tcPr>
            <w:tcW w:w="171" w:type="dxa"/>
            <w:tcBorders/>
            <w:vAlign w:val="bottom"/>
          </w:tcPr>
          <w:p>
            <w:pPr>
              <w:pStyle w:val="TableContents"/>
              <w:bidi w:val="0"/>
              <w:spacing w:before="0" w:after="283"/>
              <w:jc w:val="left"/>
              <w:rPr/>
            </w:pPr>
            <w:r>
              <w:rPr/>
              <w:t> </w:t>
            </w:r>
          </w:p>
        </w:tc>
      </w:tr>
      <w:tr>
        <w:trPr/>
        <w:tc>
          <w:tcPr>
            <w:tcW w:w="7228" w:type="dxa"/>
            <w:tcBorders/>
            <w:shd w:fill="CCEEFF" w:val="clear"/>
            <w:vAlign w:val="bottom"/>
          </w:tcPr>
          <w:p>
            <w:pPr>
              <w:pStyle w:val="TableContents"/>
              <w:bidi w:val="0"/>
              <w:spacing w:before="0" w:after="0"/>
              <w:ind w:left="144" w:right="0" w:hanging="144"/>
              <w:jc w:val="left"/>
              <w:rPr>
                <w:color w:val="000000"/>
              </w:rPr>
            </w:pPr>
            <w:r>
              <w:rPr>
                <w:color w:val="000000"/>
              </w:rPr>
              <w:t>Loans held for sale ($15,471 and $7,796 at fair value at March 31, 2026 and December 31, 2025, respectively)</w:t>
            </w:r>
          </w:p>
        </w:tc>
        <w:tc>
          <w:tcPr>
            <w:tcW w:w="9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0"/>
              <w:jc w:val="right"/>
              <w:rPr>
                <w:color w:val="000000"/>
              </w:rPr>
            </w:pPr>
            <w:r>
              <w:rPr>
                <w:color w:val="000000"/>
              </w:rPr>
              <w:t>17,203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0"/>
              <w:jc w:val="right"/>
              <w:rPr>
                <w:color w:val="000000"/>
              </w:rPr>
            </w:pPr>
            <w:r>
              <w:rPr>
                <w:color w:val="000000"/>
              </w:rPr>
              <w:t>9,993</w:t>
            </w:r>
          </w:p>
        </w:tc>
        <w:tc>
          <w:tcPr>
            <w:tcW w:w="171" w:type="dxa"/>
            <w:tcBorders/>
            <w:shd w:fill="CCEEFF" w:val="clear"/>
            <w:vAlign w:val="bottom"/>
          </w:tcPr>
          <w:p>
            <w:pPr>
              <w:pStyle w:val="TableContents"/>
              <w:bidi w:val="0"/>
              <w:spacing w:before="0" w:after="283"/>
              <w:jc w:val="left"/>
              <w:rPr/>
            </w:pPr>
            <w:r>
              <w:rPr/>
              <w:t> </w:t>
            </w:r>
          </w:p>
        </w:tc>
      </w:tr>
      <w:tr>
        <w:trPr/>
        <w:tc>
          <w:tcPr>
            <w:tcW w:w="7228" w:type="dxa"/>
            <w:tcBorders/>
            <w:vAlign w:val="bottom"/>
          </w:tcPr>
          <w:p>
            <w:pPr>
              <w:pStyle w:val="TableContents"/>
              <w:bidi w:val="0"/>
              <w:spacing w:before="0" w:after="0"/>
              <w:ind w:left="144" w:right="0" w:hanging="144"/>
              <w:jc w:val="left"/>
              <w:rPr>
                <w:color w:val="000000"/>
              </w:rPr>
            </w:pPr>
            <w:r>
              <w:rPr>
                <w:color w:val="000000"/>
              </w:rPr>
              <w:t>Loans held for investment</w:t>
            </w:r>
          </w:p>
        </w:tc>
        <w:tc>
          <w:tcPr>
            <w:tcW w:w="9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0"/>
              <w:jc w:val="right"/>
              <w:rPr>
                <w:color w:val="000000"/>
              </w:rPr>
            </w:pPr>
            <w:r>
              <w:rPr>
                <w:color w:val="000000"/>
              </w:rPr>
              <w:t>3,103,529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0"/>
              <w:jc w:val="right"/>
              <w:rPr>
                <w:color w:val="000000"/>
              </w:rPr>
            </w:pPr>
            <w:r>
              <w:rPr>
                <w:color w:val="000000"/>
              </w:rPr>
              <w:t>3,144,502</w:t>
            </w:r>
          </w:p>
        </w:tc>
        <w:tc>
          <w:tcPr>
            <w:tcW w:w="171" w:type="dxa"/>
            <w:tcBorders/>
            <w:vAlign w:val="bottom"/>
          </w:tcPr>
          <w:p>
            <w:pPr>
              <w:pStyle w:val="TableContents"/>
              <w:bidi w:val="0"/>
              <w:spacing w:before="0" w:after="283"/>
              <w:jc w:val="left"/>
              <w:rPr/>
            </w:pPr>
            <w:r>
              <w:rPr/>
              <w:t> </w:t>
            </w:r>
          </w:p>
        </w:tc>
      </w:tr>
      <w:tr>
        <w:trPr/>
        <w:tc>
          <w:tcPr>
            <w:tcW w:w="7228" w:type="dxa"/>
            <w:tcBorders/>
            <w:shd w:fill="CCEEFF" w:val="clear"/>
            <w:vAlign w:val="bottom"/>
          </w:tcPr>
          <w:p>
            <w:pPr>
              <w:pStyle w:val="TableContents"/>
              <w:bidi w:val="0"/>
              <w:spacing w:before="0" w:after="0"/>
              <w:ind w:left="324" w:right="0" w:hanging="144"/>
              <w:jc w:val="left"/>
              <w:rPr>
                <w:color w:val="000000"/>
              </w:rPr>
            </w:pPr>
            <w:r>
              <w:rPr>
                <w:color w:val="000000"/>
              </w:rPr>
              <w:t>Allowance for credit losses on loans</w:t>
            </w:r>
          </w:p>
        </w:tc>
        <w:tc>
          <w:tcPr>
            <w:tcW w:w="9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(44,822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(45,131</w:t>
            </w:r>
          </w:p>
        </w:tc>
        <w:tc>
          <w:tcPr>
            <w:tcW w:w="171" w:type="dxa"/>
            <w:tcBorders/>
            <w:shd w:fill="CCEEFF" w:val="clear"/>
            <w:vAlign w:val="bottom"/>
          </w:tcPr>
          <w:p>
            <w:pPr>
              <w:pStyle w:val="TableContents"/>
              <w:bidi w:val="0"/>
              <w:spacing w:before="0" w:after="0"/>
              <w:jc w:val="left"/>
              <w:rPr>
                <w:color w:val="000000"/>
              </w:rPr>
            </w:pPr>
            <w:r>
              <w:rPr>
                <w:color w:val="000000"/>
              </w:rPr>
              <w:t>)</w:t>
            </w:r>
          </w:p>
        </w:tc>
      </w:tr>
      <w:tr>
        <w:trPr/>
        <w:tc>
          <w:tcPr>
            <w:tcW w:w="7228" w:type="dxa"/>
            <w:tcBorders/>
            <w:vAlign w:val="bottom"/>
          </w:tcPr>
          <w:p>
            <w:pPr>
              <w:pStyle w:val="TableContents"/>
              <w:bidi w:val="0"/>
              <w:spacing w:before="0" w:after="0"/>
              <w:ind w:left="324" w:right="0" w:hanging="144"/>
              <w:jc w:val="left"/>
              <w:rPr>
                <w:color w:val="000000"/>
              </w:rPr>
            </w:pPr>
            <w:r>
              <w:rPr>
                <w:color w:val="000000"/>
              </w:rPr>
              <w:t>Loans held for investment, net</w:t>
            </w:r>
          </w:p>
        </w:tc>
        <w:tc>
          <w:tcPr>
            <w:tcW w:w="9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0"/>
              <w:jc w:val="right"/>
              <w:rPr>
                <w:color w:val="000000"/>
              </w:rPr>
            </w:pPr>
            <w:r>
              <w:rPr>
                <w:color w:val="000000"/>
              </w:rPr>
              <w:t>3,058,707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0"/>
              <w:jc w:val="right"/>
              <w:rPr>
                <w:color w:val="000000"/>
              </w:rPr>
            </w:pPr>
            <w:r>
              <w:rPr>
                <w:color w:val="000000"/>
              </w:rPr>
              <w:t>3,099,371</w:t>
            </w:r>
          </w:p>
        </w:tc>
        <w:tc>
          <w:tcPr>
            <w:tcW w:w="171" w:type="dxa"/>
            <w:tcBorders/>
            <w:vAlign w:val="bottom"/>
          </w:tcPr>
          <w:p>
            <w:pPr>
              <w:pStyle w:val="TableContents"/>
              <w:bidi w:val="0"/>
              <w:spacing w:before="0" w:after="283"/>
              <w:jc w:val="left"/>
              <w:rPr/>
            </w:pPr>
            <w:r>
              <w:rPr/>
              <w:t> </w:t>
            </w:r>
          </w:p>
        </w:tc>
      </w:tr>
      <w:tr>
        <w:trPr/>
        <w:tc>
          <w:tcPr>
            <w:tcW w:w="7228" w:type="dxa"/>
            <w:tcBorders/>
            <w:shd w:fill="CCEEFF" w:val="clear"/>
            <w:vAlign w:val="bottom"/>
          </w:tcPr>
          <w:p>
            <w:pPr>
              <w:pStyle w:val="TableContents"/>
              <w:bidi w:val="0"/>
              <w:spacing w:before="0" w:after="0"/>
              <w:ind w:left="144" w:right="0" w:hanging="144"/>
              <w:jc w:val="left"/>
              <w:rPr>
                <w:color w:val="000000"/>
              </w:rPr>
            </w:pPr>
            <w:r>
              <w:rPr>
                <w:color w:val="000000"/>
              </w:rPr>
              <w:t>Accrued interest receivable</w:t>
            </w:r>
          </w:p>
        </w:tc>
        <w:tc>
          <w:tcPr>
            <w:tcW w:w="9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0"/>
              <w:jc w:val="right"/>
              <w:rPr>
                <w:color w:val="000000"/>
              </w:rPr>
            </w:pPr>
            <w:r>
              <w:rPr>
                <w:color w:val="000000"/>
              </w:rPr>
              <w:t>17,009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0"/>
              <w:jc w:val="right"/>
              <w:rPr>
                <w:color w:val="000000"/>
              </w:rPr>
            </w:pPr>
            <w:r>
              <w:rPr>
                <w:color w:val="000000"/>
              </w:rPr>
              <w:t>20,931</w:t>
            </w:r>
          </w:p>
        </w:tc>
        <w:tc>
          <w:tcPr>
            <w:tcW w:w="171" w:type="dxa"/>
            <w:tcBorders/>
            <w:shd w:fill="CCEEFF" w:val="clear"/>
            <w:vAlign w:val="bottom"/>
          </w:tcPr>
          <w:p>
            <w:pPr>
              <w:pStyle w:val="TableContents"/>
              <w:bidi w:val="0"/>
              <w:spacing w:before="0" w:after="283"/>
              <w:jc w:val="left"/>
              <w:rPr/>
            </w:pPr>
            <w:r>
              <w:rPr/>
              <w:t> </w:t>
            </w:r>
          </w:p>
        </w:tc>
      </w:tr>
      <w:tr>
        <w:trPr/>
        <w:tc>
          <w:tcPr>
            <w:tcW w:w="7228" w:type="dxa"/>
            <w:tcBorders/>
            <w:vAlign w:val="bottom"/>
          </w:tcPr>
          <w:p>
            <w:pPr>
              <w:pStyle w:val="TableContents"/>
              <w:bidi w:val="0"/>
              <w:spacing w:before="0" w:after="0"/>
              <w:ind w:left="144" w:right="0" w:hanging="144"/>
              <w:jc w:val="left"/>
              <w:rPr>
                <w:color w:val="000000"/>
              </w:rPr>
            </w:pPr>
            <w:r>
              <w:rPr>
                <w:color w:val="000000"/>
              </w:rPr>
              <w:t>Premises and equipment, net</w:t>
            </w:r>
          </w:p>
        </w:tc>
        <w:tc>
          <w:tcPr>
            <w:tcW w:w="9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0"/>
              <w:jc w:val="right"/>
              <w:rPr>
                <w:color w:val="000000"/>
              </w:rPr>
            </w:pPr>
            <w:r>
              <w:rPr>
                <w:color w:val="000000"/>
              </w:rPr>
              <w:t>51,585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0"/>
              <w:jc w:val="right"/>
              <w:rPr>
                <w:color w:val="000000"/>
              </w:rPr>
            </w:pPr>
            <w:r>
              <w:rPr>
                <w:color w:val="000000"/>
              </w:rPr>
              <w:t>51,563</w:t>
            </w:r>
          </w:p>
        </w:tc>
        <w:tc>
          <w:tcPr>
            <w:tcW w:w="171" w:type="dxa"/>
            <w:tcBorders/>
            <w:vAlign w:val="bottom"/>
          </w:tcPr>
          <w:p>
            <w:pPr>
              <w:pStyle w:val="TableContents"/>
              <w:bidi w:val="0"/>
              <w:spacing w:before="0" w:after="283"/>
              <w:jc w:val="left"/>
              <w:rPr/>
            </w:pPr>
            <w:r>
              <w:rPr/>
              <w:t> </w:t>
            </w:r>
          </w:p>
        </w:tc>
      </w:tr>
      <w:tr>
        <w:trPr/>
        <w:tc>
          <w:tcPr>
            <w:tcW w:w="7228" w:type="dxa"/>
            <w:tcBorders/>
            <w:shd w:fill="CCEEFF" w:val="clear"/>
            <w:vAlign w:val="bottom"/>
          </w:tcPr>
          <w:p>
            <w:pPr>
              <w:pStyle w:val="TableContents"/>
              <w:bidi w:val="0"/>
              <w:spacing w:before="0" w:after="0"/>
              <w:ind w:left="144" w:right="0" w:hanging="144"/>
              <w:jc w:val="left"/>
              <w:rPr>
                <w:color w:val="000000"/>
              </w:rPr>
            </w:pPr>
            <w:r>
              <w:rPr>
                <w:color w:val="000000"/>
              </w:rPr>
              <w:t>Bank-owned life insurance</w:t>
            </w:r>
          </w:p>
        </w:tc>
        <w:tc>
          <w:tcPr>
            <w:tcW w:w="9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0"/>
              <w:jc w:val="right"/>
              <w:rPr>
                <w:color w:val="000000"/>
              </w:rPr>
            </w:pPr>
            <w:r>
              <w:rPr>
                <w:color w:val="000000"/>
              </w:rPr>
              <w:t>78,119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0"/>
              <w:jc w:val="right"/>
              <w:rPr>
                <w:color w:val="000000"/>
              </w:rPr>
            </w:pPr>
            <w:r>
              <w:rPr>
                <w:color w:val="000000"/>
              </w:rPr>
              <w:t>77,694</w:t>
            </w:r>
          </w:p>
        </w:tc>
        <w:tc>
          <w:tcPr>
            <w:tcW w:w="171" w:type="dxa"/>
            <w:tcBorders/>
            <w:shd w:fill="CCEEFF" w:val="clear"/>
            <w:vAlign w:val="bottom"/>
          </w:tcPr>
          <w:p>
            <w:pPr>
              <w:pStyle w:val="TableContents"/>
              <w:bidi w:val="0"/>
              <w:spacing w:before="0" w:after="283"/>
              <w:jc w:val="left"/>
              <w:rPr/>
            </w:pPr>
            <w:r>
              <w:rPr/>
              <w:t> </w:t>
            </w:r>
          </w:p>
        </w:tc>
      </w:tr>
      <w:tr>
        <w:trPr/>
        <w:tc>
          <w:tcPr>
            <w:tcW w:w="7228" w:type="dxa"/>
            <w:tcBorders/>
            <w:vAlign w:val="bottom"/>
          </w:tcPr>
          <w:p>
            <w:pPr>
              <w:pStyle w:val="TableContents"/>
              <w:bidi w:val="0"/>
              <w:spacing w:before="0" w:after="0"/>
              <w:ind w:left="144" w:right="0" w:hanging="144"/>
              <w:jc w:val="left"/>
              <w:rPr>
                <w:color w:val="000000"/>
              </w:rPr>
            </w:pPr>
            <w:r>
              <w:rPr>
                <w:color w:val="000000"/>
              </w:rPr>
              <w:t>Goodwill</w:t>
            </w:r>
          </w:p>
        </w:tc>
        <w:tc>
          <w:tcPr>
            <w:tcW w:w="9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0"/>
              <w:jc w:val="right"/>
              <w:rPr>
                <w:color w:val="000000"/>
              </w:rPr>
            </w:pPr>
            <w:r>
              <w:rPr>
                <w:color w:val="000000"/>
              </w:rPr>
              <w:t>19,315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0"/>
              <w:jc w:val="right"/>
              <w:rPr>
                <w:color w:val="000000"/>
              </w:rPr>
            </w:pPr>
            <w:r>
              <w:rPr>
                <w:color w:val="000000"/>
              </w:rPr>
              <w:t>19,315</w:t>
            </w:r>
          </w:p>
        </w:tc>
        <w:tc>
          <w:tcPr>
            <w:tcW w:w="171" w:type="dxa"/>
            <w:tcBorders/>
            <w:vAlign w:val="bottom"/>
          </w:tcPr>
          <w:p>
            <w:pPr>
              <w:pStyle w:val="TableContents"/>
              <w:bidi w:val="0"/>
              <w:spacing w:before="0" w:after="283"/>
              <w:jc w:val="left"/>
              <w:rPr/>
            </w:pPr>
            <w:r>
              <w:rPr/>
              <w:t> </w:t>
            </w:r>
          </w:p>
        </w:tc>
      </w:tr>
      <w:tr>
        <w:trPr/>
        <w:tc>
          <w:tcPr>
            <w:tcW w:w="7228" w:type="dxa"/>
            <w:tcBorders/>
            <w:shd w:fill="CCEEFF" w:val="clear"/>
            <w:vAlign w:val="bottom"/>
          </w:tcPr>
          <w:p>
            <w:pPr>
              <w:pStyle w:val="TableContents"/>
              <w:bidi w:val="0"/>
              <w:spacing w:before="0" w:after="0"/>
              <w:ind w:left="144" w:right="0" w:hanging="144"/>
              <w:jc w:val="left"/>
              <w:rPr>
                <w:color w:val="000000"/>
              </w:rPr>
            </w:pPr>
            <w:r>
              <w:rPr>
                <w:color w:val="000000"/>
              </w:rPr>
              <w:t>Intangible assets, net</w:t>
            </w:r>
          </w:p>
        </w:tc>
        <w:tc>
          <w:tcPr>
            <w:tcW w:w="9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0"/>
              <w:jc w:val="right"/>
              <w:rPr>
                <w:color w:val="000000"/>
              </w:rPr>
            </w:pPr>
            <w:r>
              <w:rPr>
                <w:color w:val="000000"/>
              </w:rPr>
              <w:t>1,012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0"/>
              <w:jc w:val="right"/>
              <w:rPr>
                <w:color w:val="000000"/>
              </w:rPr>
            </w:pPr>
            <w:r>
              <w:rPr>
                <w:color w:val="000000"/>
              </w:rPr>
              <w:t>1,133</w:t>
            </w:r>
          </w:p>
        </w:tc>
        <w:tc>
          <w:tcPr>
            <w:tcW w:w="171" w:type="dxa"/>
            <w:tcBorders/>
            <w:shd w:fill="CCEEFF" w:val="clear"/>
            <w:vAlign w:val="bottom"/>
          </w:tcPr>
          <w:p>
            <w:pPr>
              <w:pStyle w:val="TableContents"/>
              <w:bidi w:val="0"/>
              <w:spacing w:before="0" w:after="283"/>
              <w:jc w:val="left"/>
              <w:rPr/>
            </w:pPr>
            <w:r>
              <w:rPr/>
              <w:t> </w:t>
            </w:r>
          </w:p>
        </w:tc>
      </w:tr>
      <w:tr>
        <w:trPr/>
        <w:tc>
          <w:tcPr>
            <w:tcW w:w="7228" w:type="dxa"/>
            <w:tcBorders/>
            <w:vAlign w:val="bottom"/>
          </w:tcPr>
          <w:p>
            <w:pPr>
              <w:pStyle w:val="TableContents"/>
              <w:bidi w:val="0"/>
              <w:spacing w:before="0" w:after="0"/>
              <w:ind w:left="144" w:right="0" w:hanging="144"/>
              <w:jc w:val="left"/>
              <w:rPr>
                <w:color w:val="000000"/>
              </w:rPr>
            </w:pPr>
            <w:r>
              <w:rPr>
                <w:color w:val="000000"/>
              </w:rPr>
              <w:t>Mortgage servicing rights</w:t>
            </w:r>
          </w:p>
        </w:tc>
        <w:tc>
          <w:tcPr>
            <w:tcW w:w="9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0"/>
              <w:jc w:val="right"/>
              <w:rPr>
                <w:color w:val="000000"/>
              </w:rPr>
            </w:pPr>
            <w:r>
              <w:rPr>
                <w:color w:val="000000"/>
              </w:rPr>
              <w:t>24,611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0"/>
              <w:jc w:val="right"/>
              <w:rPr>
                <w:color w:val="000000"/>
              </w:rPr>
            </w:pPr>
            <w:r>
              <w:rPr>
                <w:color w:val="000000"/>
              </w:rPr>
              <w:t>24,041</w:t>
            </w:r>
          </w:p>
        </w:tc>
        <w:tc>
          <w:tcPr>
            <w:tcW w:w="171" w:type="dxa"/>
            <w:tcBorders/>
            <w:vAlign w:val="bottom"/>
          </w:tcPr>
          <w:p>
            <w:pPr>
              <w:pStyle w:val="TableContents"/>
              <w:bidi w:val="0"/>
              <w:spacing w:before="0" w:after="283"/>
              <w:jc w:val="left"/>
              <w:rPr/>
            </w:pPr>
            <w:r>
              <w:rPr/>
              <w:t> </w:t>
            </w:r>
          </w:p>
        </w:tc>
      </w:tr>
      <w:tr>
        <w:trPr/>
        <w:tc>
          <w:tcPr>
            <w:tcW w:w="7228" w:type="dxa"/>
            <w:tcBorders/>
            <w:shd w:fill="CCEEFF" w:val="clear"/>
            <w:vAlign w:val="bottom"/>
          </w:tcPr>
          <w:p>
            <w:pPr>
              <w:pStyle w:val="TableContents"/>
              <w:bidi w:val="0"/>
              <w:spacing w:before="0" w:after="0"/>
              <w:ind w:left="144" w:right="0" w:hanging="144"/>
              <w:jc w:val="left"/>
              <w:rPr>
                <w:color w:val="000000"/>
              </w:rPr>
            </w:pPr>
            <w:r>
              <w:rPr>
                <w:color w:val="000000"/>
              </w:rPr>
              <w:t>Deferred tax asset, net</w:t>
            </w:r>
          </w:p>
        </w:tc>
        <w:tc>
          <w:tcPr>
            <w:tcW w:w="9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0"/>
              <w:jc w:val="right"/>
              <w:rPr>
                <w:color w:val="000000"/>
              </w:rPr>
            </w:pPr>
            <w:r>
              <w:rPr>
                <w:color w:val="000000"/>
              </w:rPr>
              <w:t>20,244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0"/>
              <w:jc w:val="right"/>
              <w:rPr>
                <w:color w:val="000000"/>
              </w:rPr>
            </w:pPr>
            <w:r>
              <w:rPr>
                <w:color w:val="000000"/>
              </w:rPr>
              <w:t>20,433</w:t>
            </w:r>
          </w:p>
        </w:tc>
        <w:tc>
          <w:tcPr>
            <w:tcW w:w="171" w:type="dxa"/>
            <w:tcBorders/>
            <w:shd w:fill="CCEEFF" w:val="clear"/>
            <w:vAlign w:val="bottom"/>
          </w:tcPr>
          <w:p>
            <w:pPr>
              <w:pStyle w:val="TableContents"/>
              <w:bidi w:val="0"/>
              <w:spacing w:before="0" w:after="283"/>
              <w:jc w:val="left"/>
              <w:rPr/>
            </w:pPr>
            <w:r>
              <w:rPr/>
              <w:t> </w:t>
            </w:r>
          </w:p>
        </w:tc>
      </w:tr>
      <w:tr>
        <w:trPr/>
        <w:tc>
          <w:tcPr>
            <w:tcW w:w="7228" w:type="dxa"/>
            <w:tcBorders/>
            <w:vAlign w:val="bottom"/>
          </w:tcPr>
          <w:p>
            <w:pPr>
              <w:pStyle w:val="TableContents"/>
              <w:bidi w:val="0"/>
              <w:spacing w:before="0" w:after="0"/>
              <w:ind w:left="144" w:right="0" w:hanging="144"/>
              <w:jc w:val="left"/>
              <w:rPr>
                <w:color w:val="000000"/>
              </w:rPr>
            </w:pPr>
            <w:r>
              <w:rPr>
                <w:color w:val="000000"/>
              </w:rPr>
              <w:t>Other assets</w:t>
            </w:r>
          </w:p>
        </w:tc>
        <w:tc>
          <w:tcPr>
            <w:tcW w:w="9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33,717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36,047</w:t>
            </w:r>
          </w:p>
        </w:tc>
        <w:tc>
          <w:tcPr>
            <w:tcW w:w="171" w:type="dxa"/>
            <w:tcBorders/>
            <w:vAlign w:val="bottom"/>
          </w:tcPr>
          <w:p>
            <w:pPr>
              <w:pStyle w:val="TableContents"/>
              <w:bidi w:val="0"/>
              <w:spacing w:before="0" w:after="283"/>
              <w:jc w:val="left"/>
              <w:rPr/>
            </w:pPr>
            <w:r>
              <w:rPr/>
              <w:t> </w:t>
            </w:r>
          </w:p>
        </w:tc>
      </w:tr>
      <w:tr>
        <w:trPr/>
        <w:tc>
          <w:tcPr>
            <w:tcW w:w="7228" w:type="dxa"/>
            <w:tcBorders/>
            <w:shd w:fill="CCEEFF" w:val="clear"/>
            <w:vAlign w:val="bottom"/>
          </w:tcPr>
          <w:p>
            <w:pPr>
              <w:pStyle w:val="TableContents"/>
              <w:bidi w:val="0"/>
              <w:spacing w:before="0" w:after="0"/>
              <w:ind w:left="504" w:right="0" w:hanging="144"/>
              <w:jc w:val="left"/>
              <w:rPr>
                <w:color w:val="000000"/>
              </w:rPr>
            </w:pPr>
            <w:r>
              <w:rPr>
                <w:color w:val="000000"/>
              </w:rPr>
              <w:t>Total assets</w:t>
            </w:r>
          </w:p>
        </w:tc>
        <w:tc>
          <w:tcPr>
            <w:tcW w:w="90" w:type="dxa"/>
            <w:tcBorders/>
            <w:shd w:fill="CCEEFF" w:val="clear"/>
            <w:vAlign w:val="bottom"/>
          </w:tcPr>
          <w:p>
            <w:pPr>
              <w:pStyle w:val="TableContents"/>
              <w:bidi w:val="0"/>
              <w:spacing w:before="0" w:after="283"/>
              <w:jc w:val="left"/>
              <w:rPr/>
            </w:pPr>
            <w:r>
              <w:rPr/>
              <w:t> </w:t>
            </w:r>
          </w:p>
        </w:tc>
        <w:tc>
          <w:tcPr>
            <w:tcW w:w="17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5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4,646,374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8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4,480,500</w:t>
            </w:r>
          </w:p>
        </w:tc>
        <w:tc>
          <w:tcPr>
            <w:tcW w:w="171" w:type="dxa"/>
            <w:tcBorders/>
            <w:shd w:fill="CCEEFF" w:val="clear"/>
            <w:vAlign w:val="bottom"/>
          </w:tcPr>
          <w:p>
            <w:pPr>
              <w:pStyle w:val="TableContents"/>
              <w:bidi w:val="0"/>
              <w:spacing w:before="0" w:after="283"/>
              <w:jc w:val="left"/>
              <w:rPr/>
            </w:pPr>
            <w:r>
              <w:rPr/>
              <w:t> </w:t>
            </w:r>
          </w:p>
        </w:tc>
      </w:tr>
      <w:tr>
        <w:trPr/>
        <w:tc>
          <w:tcPr>
            <w:tcW w:w="722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pPr>
            <w:r>
              <w:rPr/>
              <w:t> </w:t>
            </w:r>
          </w:p>
        </w:tc>
        <w:tc>
          <w:tcPr>
            <w:tcW w:w="171" w:type="dxa"/>
            <w:tcBorders/>
            <w:vAlign w:val="bottom"/>
          </w:tcPr>
          <w:p>
            <w:pPr>
              <w:pStyle w:val="TableContents"/>
              <w:bidi w:val="0"/>
              <w:spacing w:before="0" w:after="283"/>
              <w:jc w:val="left"/>
              <w:rPr/>
            </w:pPr>
            <w:r>
              <w:rPr/>
              <w:t> </w:t>
            </w:r>
          </w:p>
        </w:tc>
      </w:tr>
      <w:tr>
        <w:trPr/>
        <w:tc>
          <w:tcPr>
            <w:tcW w:w="7228" w:type="dxa"/>
            <w:tcBorders/>
            <w:shd w:fill="CCEEFF" w:val="clear"/>
            <w:vAlign w:val="bottom"/>
          </w:tcPr>
          <w:p>
            <w:pPr>
              <w:pStyle w:val="TableContents"/>
              <w:bidi w:val="0"/>
              <w:spacing w:before="0" w:after="0"/>
              <w:ind w:left="144" w:right="0" w:hanging="144"/>
              <w:jc w:val="left"/>
              <w:rPr>
                <w:color w:val="000000"/>
                <w:u w:val="single"/>
              </w:rPr>
            </w:pPr>
            <w:r>
              <w:rPr>
                <w:color w:val="000000"/>
                <w:u w:val="single"/>
              </w:rPr>
              <w:t>LIABILITIES AND STOCKHOLDERS’ EQUITY</w:t>
            </w:r>
          </w:p>
        </w:tc>
        <w:tc>
          <w:tcPr>
            <w:tcW w:w="9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pPr>
            <w:r>
              <w:rPr/>
              <w:t> </w:t>
            </w:r>
          </w:p>
        </w:tc>
        <w:tc>
          <w:tcPr>
            <w:tcW w:w="171" w:type="dxa"/>
            <w:tcBorders/>
            <w:shd w:fill="CCEEFF" w:val="clear"/>
            <w:vAlign w:val="bottom"/>
          </w:tcPr>
          <w:p>
            <w:pPr>
              <w:pStyle w:val="TableContents"/>
              <w:bidi w:val="0"/>
              <w:spacing w:before="0" w:after="283"/>
              <w:jc w:val="left"/>
              <w:rPr/>
            </w:pPr>
            <w:r>
              <w:rPr/>
              <w:t> </w:t>
            </w:r>
          </w:p>
        </w:tc>
      </w:tr>
      <w:tr>
        <w:trPr/>
        <w:tc>
          <w:tcPr>
            <w:tcW w:w="722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pPr>
            <w:r>
              <w:rPr/>
              <w:t> </w:t>
            </w:r>
          </w:p>
        </w:tc>
        <w:tc>
          <w:tcPr>
            <w:tcW w:w="171" w:type="dxa"/>
            <w:tcBorders/>
            <w:vAlign w:val="bottom"/>
          </w:tcPr>
          <w:p>
            <w:pPr>
              <w:pStyle w:val="TableContents"/>
              <w:bidi w:val="0"/>
              <w:spacing w:before="0" w:after="283"/>
              <w:jc w:val="left"/>
              <w:rPr/>
            </w:pPr>
            <w:r>
              <w:rPr/>
              <w:t> </w:t>
            </w:r>
          </w:p>
        </w:tc>
      </w:tr>
      <w:tr>
        <w:trPr/>
        <w:tc>
          <w:tcPr>
            <w:tcW w:w="7228" w:type="dxa"/>
            <w:tcBorders/>
            <w:shd w:fill="CCEEFF" w:val="clear"/>
            <w:vAlign w:val="bottom"/>
          </w:tcPr>
          <w:p>
            <w:pPr>
              <w:pStyle w:val="TableContents"/>
              <w:bidi w:val="0"/>
              <w:spacing w:before="0" w:after="0"/>
              <w:ind w:left="144" w:right="0" w:hanging="144"/>
              <w:jc w:val="left"/>
              <w:rPr>
                <w:color w:val="000000"/>
              </w:rPr>
            </w:pPr>
            <w:r>
              <w:rPr>
                <w:color w:val="000000"/>
              </w:rPr>
              <w:t>Deposits:</w:t>
            </w:r>
          </w:p>
        </w:tc>
        <w:tc>
          <w:tcPr>
            <w:tcW w:w="9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pPr>
            <w:r>
              <w:rPr/>
              <w:t> </w:t>
            </w:r>
          </w:p>
        </w:tc>
        <w:tc>
          <w:tcPr>
            <w:tcW w:w="171" w:type="dxa"/>
            <w:tcBorders/>
            <w:shd w:fill="CCEEFF" w:val="clear"/>
            <w:vAlign w:val="bottom"/>
          </w:tcPr>
          <w:p>
            <w:pPr>
              <w:pStyle w:val="TableContents"/>
              <w:bidi w:val="0"/>
              <w:spacing w:before="0" w:after="283"/>
              <w:jc w:val="left"/>
              <w:rPr/>
            </w:pPr>
            <w:r>
              <w:rPr/>
              <w:t> </w:t>
            </w:r>
          </w:p>
        </w:tc>
      </w:tr>
      <w:tr>
        <w:trPr/>
        <w:tc>
          <w:tcPr>
            <w:tcW w:w="7228" w:type="dxa"/>
            <w:tcBorders/>
            <w:vAlign w:val="bottom"/>
          </w:tcPr>
          <w:p>
            <w:pPr>
              <w:pStyle w:val="TableContents"/>
              <w:bidi w:val="0"/>
              <w:spacing w:before="0" w:after="0"/>
              <w:ind w:left="324" w:right="0" w:hanging="144"/>
              <w:jc w:val="left"/>
              <w:rPr>
                <w:color w:val="000000"/>
              </w:rPr>
            </w:pPr>
            <w:r>
              <w:rPr>
                <w:color w:val="000000"/>
              </w:rPr>
              <w:t>Noninterest-bearing</w:t>
            </w:r>
          </w:p>
        </w:tc>
        <w:tc>
          <w:tcPr>
            <w:tcW w:w="9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0"/>
              <w:jc w:val="left"/>
              <w:rPr>
                <w:color w:val="000000"/>
              </w:rPr>
            </w:pPr>
            <w:r>
              <w:rPr>
                <w:color w:val="000000"/>
              </w:rPr>
              <w:t>$</w:t>
            </w:r>
          </w:p>
        </w:tc>
        <w:tc>
          <w:tcPr>
            <w:tcW w:w="1054" w:type="dxa"/>
            <w:tcBorders/>
            <w:vAlign w:val="bottom"/>
          </w:tcPr>
          <w:p>
            <w:pPr>
              <w:pStyle w:val="TableContents"/>
              <w:bidi w:val="0"/>
              <w:spacing w:before="0" w:after="0"/>
              <w:jc w:val="right"/>
              <w:rPr>
                <w:color w:val="000000"/>
              </w:rPr>
            </w:pPr>
            <w:r>
              <w:rPr>
                <w:color w:val="000000"/>
              </w:rPr>
              <w:t>1,034,117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0"/>
              <w:jc w:val="left"/>
              <w:rPr>
                <w:color w:val="000000"/>
              </w:rPr>
            </w:pPr>
            <w:r>
              <w:rPr>
                <w:color w:val="000000"/>
              </w:rPr>
              <w:t>$</w:t>
            </w:r>
          </w:p>
        </w:tc>
        <w:tc>
          <w:tcPr>
            <w:tcW w:w="1088" w:type="dxa"/>
            <w:tcBorders/>
            <w:vAlign w:val="bottom"/>
          </w:tcPr>
          <w:p>
            <w:pPr>
              <w:pStyle w:val="TableContents"/>
              <w:bidi w:val="0"/>
              <w:spacing w:before="0" w:after="0"/>
              <w:jc w:val="right"/>
              <w:rPr>
                <w:color w:val="000000"/>
              </w:rPr>
            </w:pPr>
            <w:r>
              <w:rPr>
                <w:color w:val="000000"/>
              </w:rPr>
              <w:t>1,023,517</w:t>
            </w:r>
          </w:p>
        </w:tc>
        <w:tc>
          <w:tcPr>
            <w:tcW w:w="171" w:type="dxa"/>
            <w:tcBorders/>
            <w:vAlign w:val="bottom"/>
          </w:tcPr>
          <w:p>
            <w:pPr>
              <w:pStyle w:val="TableContents"/>
              <w:bidi w:val="0"/>
              <w:spacing w:before="0" w:after="283"/>
              <w:jc w:val="left"/>
              <w:rPr/>
            </w:pPr>
            <w:r>
              <w:rPr/>
              <w:t> </w:t>
            </w:r>
          </w:p>
        </w:tc>
      </w:tr>
      <w:tr>
        <w:trPr/>
        <w:tc>
          <w:tcPr>
            <w:tcW w:w="7228" w:type="dxa"/>
            <w:tcBorders/>
            <w:shd w:fill="CCEEFF" w:val="clear"/>
            <w:vAlign w:val="bottom"/>
          </w:tcPr>
          <w:p>
            <w:pPr>
              <w:pStyle w:val="TableContents"/>
              <w:bidi w:val="0"/>
              <w:spacing w:before="0" w:after="0"/>
              <w:ind w:left="324" w:right="0" w:hanging="144"/>
              <w:jc w:val="left"/>
              <w:rPr>
                <w:color w:val="000000"/>
              </w:rPr>
            </w:pPr>
            <w:r>
              <w:rPr>
                <w:color w:val="000000"/>
              </w:rPr>
              <w:t>Interest-bearing</w:t>
            </w:r>
          </w:p>
        </w:tc>
        <w:tc>
          <w:tcPr>
            <w:tcW w:w="9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2,993,469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2,850,560</w:t>
            </w:r>
          </w:p>
        </w:tc>
        <w:tc>
          <w:tcPr>
            <w:tcW w:w="171" w:type="dxa"/>
            <w:tcBorders/>
            <w:shd w:fill="CCEEFF" w:val="clear"/>
            <w:vAlign w:val="bottom"/>
          </w:tcPr>
          <w:p>
            <w:pPr>
              <w:pStyle w:val="TableContents"/>
              <w:bidi w:val="0"/>
              <w:spacing w:before="0" w:after="283"/>
              <w:jc w:val="left"/>
              <w:rPr/>
            </w:pPr>
            <w:r>
              <w:rPr/>
              <w:t> </w:t>
            </w:r>
          </w:p>
        </w:tc>
      </w:tr>
      <w:tr>
        <w:trPr/>
        <w:tc>
          <w:tcPr>
            <w:tcW w:w="7228" w:type="dxa"/>
            <w:tcBorders/>
            <w:vAlign w:val="bottom"/>
          </w:tcPr>
          <w:p>
            <w:pPr>
              <w:pStyle w:val="TableContents"/>
              <w:bidi w:val="0"/>
              <w:spacing w:before="0" w:after="0"/>
              <w:ind w:left="504" w:right="0" w:hanging="144"/>
              <w:jc w:val="left"/>
              <w:rPr>
                <w:color w:val="000000"/>
              </w:rPr>
            </w:pPr>
            <w:r>
              <w:rPr>
                <w:color w:val="000000"/>
              </w:rPr>
              <w:t>Total deposits</w:t>
            </w:r>
          </w:p>
        </w:tc>
        <w:tc>
          <w:tcPr>
            <w:tcW w:w="9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0"/>
              <w:jc w:val="right"/>
              <w:rPr>
                <w:color w:val="000000"/>
              </w:rPr>
            </w:pPr>
            <w:r>
              <w:rPr>
                <w:color w:val="000000"/>
              </w:rPr>
              <w:t>4,027,586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0"/>
              <w:jc w:val="right"/>
              <w:rPr>
                <w:color w:val="000000"/>
              </w:rPr>
            </w:pPr>
            <w:r>
              <w:rPr>
                <w:color w:val="000000"/>
              </w:rPr>
              <w:t>3,874,077</w:t>
            </w:r>
          </w:p>
        </w:tc>
        <w:tc>
          <w:tcPr>
            <w:tcW w:w="171" w:type="dxa"/>
            <w:tcBorders/>
            <w:vAlign w:val="bottom"/>
          </w:tcPr>
          <w:p>
            <w:pPr>
              <w:pStyle w:val="TableContents"/>
              <w:bidi w:val="0"/>
              <w:spacing w:before="0" w:after="283"/>
              <w:jc w:val="left"/>
              <w:rPr/>
            </w:pPr>
            <w:r>
              <w:rPr/>
              <w:t> </w:t>
            </w:r>
          </w:p>
        </w:tc>
      </w:tr>
      <w:tr>
        <w:trPr/>
        <w:tc>
          <w:tcPr>
            <w:tcW w:w="7228" w:type="dxa"/>
            <w:tcBorders/>
            <w:shd w:fill="CCEEFF" w:val="clear"/>
            <w:vAlign w:val="bottom"/>
          </w:tcPr>
          <w:p>
            <w:pPr>
              <w:pStyle w:val="TableContents"/>
              <w:bidi w:val="0"/>
              <w:spacing w:before="0" w:after="0"/>
              <w:ind w:left="144" w:right="0" w:hanging="144"/>
              <w:jc w:val="left"/>
              <w:rPr>
                <w:color w:val="000000"/>
              </w:rPr>
            </w:pPr>
            <w:r>
              <w:rPr>
                <w:color w:val="000000"/>
              </w:rPr>
              <w:t>Accrued expenses and other liabilities</w:t>
            </w:r>
          </w:p>
        </w:tc>
        <w:tc>
          <w:tcPr>
            <w:tcW w:w="9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0"/>
              <w:jc w:val="right"/>
              <w:rPr>
                <w:color w:val="000000"/>
              </w:rPr>
            </w:pPr>
            <w:r>
              <w:rPr>
                <w:color w:val="000000"/>
              </w:rPr>
              <w:t>53,356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0"/>
              <w:jc w:val="right"/>
              <w:rPr>
                <w:color w:val="000000"/>
              </w:rPr>
            </w:pPr>
            <w:r>
              <w:rPr>
                <w:color w:val="000000"/>
              </w:rPr>
              <w:t>52,093</w:t>
            </w:r>
          </w:p>
        </w:tc>
        <w:tc>
          <w:tcPr>
            <w:tcW w:w="171" w:type="dxa"/>
            <w:tcBorders/>
            <w:shd w:fill="CCEEFF" w:val="clear"/>
            <w:vAlign w:val="bottom"/>
          </w:tcPr>
          <w:p>
            <w:pPr>
              <w:pStyle w:val="TableContents"/>
              <w:bidi w:val="0"/>
              <w:spacing w:before="0" w:after="283"/>
              <w:jc w:val="left"/>
              <w:rPr/>
            </w:pPr>
            <w:r>
              <w:rPr/>
              <w:t> </w:t>
            </w:r>
          </w:p>
        </w:tc>
      </w:tr>
      <w:tr>
        <w:trPr/>
        <w:tc>
          <w:tcPr>
            <w:tcW w:w="7228" w:type="dxa"/>
            <w:tcBorders/>
            <w:vAlign w:val="bottom"/>
          </w:tcPr>
          <w:p>
            <w:pPr>
              <w:pStyle w:val="TableContents"/>
              <w:bidi w:val="0"/>
              <w:spacing w:before="0" w:after="0"/>
              <w:ind w:left="144" w:right="0" w:hanging="144"/>
              <w:jc w:val="left"/>
              <w:rPr>
                <w:color w:val="000000"/>
              </w:rPr>
            </w:pPr>
            <w:r>
              <w:rPr>
                <w:color w:val="000000"/>
              </w:rPr>
              <w:t>Subordinated debt</w:t>
            </w:r>
          </w:p>
        </w:tc>
        <w:tc>
          <w:tcPr>
            <w:tcW w:w="9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0"/>
              <w:jc w:val="right"/>
              <w:rPr>
                <w:color w:val="000000"/>
              </w:rPr>
            </w:pPr>
            <w:r>
              <w:rPr>
                <w:color w:val="000000"/>
              </w:rPr>
              <w:t>14,100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0"/>
              <w:jc w:val="right"/>
              <w:rPr>
                <w:color w:val="000000"/>
              </w:rPr>
            </w:pPr>
            <w:r>
              <w:rPr>
                <w:color w:val="000000"/>
              </w:rPr>
              <w:t>14,100</w:t>
            </w:r>
          </w:p>
        </w:tc>
        <w:tc>
          <w:tcPr>
            <w:tcW w:w="171" w:type="dxa"/>
            <w:tcBorders/>
            <w:vAlign w:val="bottom"/>
          </w:tcPr>
          <w:p>
            <w:pPr>
              <w:pStyle w:val="TableContents"/>
              <w:bidi w:val="0"/>
              <w:spacing w:before="0" w:after="283"/>
              <w:jc w:val="left"/>
              <w:rPr/>
            </w:pPr>
            <w:r>
              <w:rPr/>
              <w:t> </w:t>
            </w:r>
          </w:p>
        </w:tc>
      </w:tr>
      <w:tr>
        <w:trPr/>
        <w:tc>
          <w:tcPr>
            <w:tcW w:w="7228" w:type="dxa"/>
            <w:tcBorders/>
            <w:shd w:fill="CCEEFF" w:val="clear"/>
            <w:vAlign w:val="bottom"/>
          </w:tcPr>
          <w:p>
            <w:pPr>
              <w:pStyle w:val="TableContents"/>
              <w:bidi w:val="0"/>
              <w:spacing w:before="0" w:after="0"/>
              <w:ind w:left="144" w:right="0" w:hanging="144"/>
              <w:jc w:val="left"/>
              <w:rPr>
                <w:color w:val="000000"/>
              </w:rPr>
            </w:pPr>
            <w:r>
              <w:rPr>
                <w:color w:val="000000"/>
              </w:rPr>
              <w:t>Junior subordinated deferrable interest debentures</w:t>
            </w:r>
          </w:p>
        </w:tc>
        <w:tc>
          <w:tcPr>
            <w:tcW w:w="9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46,393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46,393</w:t>
            </w:r>
          </w:p>
        </w:tc>
        <w:tc>
          <w:tcPr>
            <w:tcW w:w="171" w:type="dxa"/>
            <w:tcBorders/>
            <w:shd w:fill="CCEEFF" w:val="clear"/>
            <w:vAlign w:val="bottom"/>
          </w:tcPr>
          <w:p>
            <w:pPr>
              <w:pStyle w:val="TableContents"/>
              <w:bidi w:val="0"/>
              <w:spacing w:before="0" w:after="283"/>
              <w:jc w:val="left"/>
              <w:rPr/>
            </w:pPr>
            <w:r>
              <w:rPr/>
              <w:t> </w:t>
            </w:r>
          </w:p>
        </w:tc>
      </w:tr>
      <w:tr>
        <w:trPr/>
        <w:tc>
          <w:tcPr>
            <w:tcW w:w="7228" w:type="dxa"/>
            <w:tcBorders/>
            <w:vAlign w:val="bottom"/>
          </w:tcPr>
          <w:p>
            <w:pPr>
              <w:pStyle w:val="TableContents"/>
              <w:bidi w:val="0"/>
              <w:spacing w:before="0" w:after="0"/>
              <w:ind w:left="504" w:right="0" w:hanging="144"/>
              <w:jc w:val="left"/>
              <w:rPr>
                <w:color w:val="000000"/>
              </w:rPr>
            </w:pPr>
            <w:r>
              <w:rPr>
                <w:color w:val="000000"/>
              </w:rPr>
              <w:t>Total liabilities</w:t>
            </w:r>
          </w:p>
        </w:tc>
        <w:tc>
          <w:tcPr>
            <w:tcW w:w="9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4,141,435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3,986,663</w:t>
            </w:r>
          </w:p>
        </w:tc>
        <w:tc>
          <w:tcPr>
            <w:tcW w:w="171" w:type="dxa"/>
            <w:tcBorders/>
            <w:vAlign w:val="bottom"/>
          </w:tcPr>
          <w:p>
            <w:pPr>
              <w:pStyle w:val="TableContents"/>
              <w:bidi w:val="0"/>
              <w:spacing w:before="0" w:after="283"/>
              <w:jc w:val="left"/>
              <w:rPr/>
            </w:pPr>
            <w:r>
              <w:rPr/>
              <w:t> </w:t>
            </w:r>
          </w:p>
        </w:tc>
      </w:tr>
      <w:tr>
        <w:trPr/>
        <w:tc>
          <w:tcPr>
            <w:tcW w:w="722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pPr>
            <w:r>
              <w:rPr/>
              <w:t> </w:t>
            </w:r>
          </w:p>
        </w:tc>
        <w:tc>
          <w:tcPr>
            <w:tcW w:w="171" w:type="dxa"/>
            <w:tcBorders/>
            <w:shd w:fill="CCEEFF" w:val="clear"/>
            <w:vAlign w:val="bottom"/>
          </w:tcPr>
          <w:p>
            <w:pPr>
              <w:pStyle w:val="TableContents"/>
              <w:bidi w:val="0"/>
              <w:spacing w:before="0" w:after="283"/>
              <w:jc w:val="left"/>
              <w:rPr/>
            </w:pPr>
            <w:r>
              <w:rPr/>
              <w:t> </w:t>
            </w:r>
          </w:p>
        </w:tc>
      </w:tr>
      <w:tr>
        <w:trPr/>
        <w:tc>
          <w:tcPr>
            <w:tcW w:w="7228" w:type="dxa"/>
            <w:tcBorders/>
            <w:vAlign w:val="bottom"/>
          </w:tcPr>
          <w:p>
            <w:pPr>
              <w:pStyle w:val="TableContents"/>
              <w:bidi w:val="0"/>
              <w:spacing w:before="0" w:after="0"/>
              <w:ind w:left="144" w:right="0" w:hanging="144"/>
              <w:jc w:val="left"/>
              <w:rPr>
                <w:color w:val="000000"/>
              </w:rPr>
            </w:pPr>
            <w:r>
              <w:rPr>
                <w:color w:val="000000"/>
              </w:rPr>
              <w:t>Stockholders’ equity:</w:t>
            </w:r>
          </w:p>
        </w:tc>
        <w:tc>
          <w:tcPr>
            <w:tcW w:w="9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pPr>
            <w:r>
              <w:rPr/>
              <w:t> </w:t>
            </w:r>
          </w:p>
        </w:tc>
        <w:tc>
          <w:tcPr>
            <w:tcW w:w="171" w:type="dxa"/>
            <w:tcBorders/>
            <w:vAlign w:val="bottom"/>
          </w:tcPr>
          <w:p>
            <w:pPr>
              <w:pStyle w:val="TableContents"/>
              <w:bidi w:val="0"/>
              <w:spacing w:before="0" w:after="283"/>
              <w:jc w:val="left"/>
              <w:rPr/>
            </w:pPr>
            <w:r>
              <w:rPr/>
              <w:t> </w:t>
            </w:r>
          </w:p>
        </w:tc>
      </w:tr>
      <w:tr>
        <w:trPr/>
        <w:tc>
          <w:tcPr>
            <w:tcW w:w="7228" w:type="dxa"/>
            <w:tcBorders/>
            <w:shd w:fill="CCEEFF" w:val="clear"/>
            <w:vAlign w:val="bottom"/>
          </w:tcPr>
          <w:p>
            <w:pPr>
              <w:pStyle w:val="TableContents"/>
              <w:bidi w:val="0"/>
              <w:spacing w:before="0" w:after="0"/>
              <w:ind w:left="324" w:right="0" w:hanging="144"/>
              <w:jc w:val="left"/>
              <w:rPr>
                <w:color w:val="000000"/>
              </w:rPr>
            </w:pPr>
            <w:r>
              <w:rPr>
                <w:color w:val="000000"/>
              </w:rPr>
              <w:t>Common stock, $1.00 par value per share, 30,000,000 shares authorized; 16,342,219 and 16,293,577 issued and outstanding at March 31, 2026 and December 31, 2025, respectively</w:t>
            </w:r>
          </w:p>
        </w:tc>
        <w:tc>
          <w:tcPr>
            <w:tcW w:w="9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0"/>
              <w:jc w:val="right"/>
              <w:rPr>
                <w:color w:val="000000"/>
              </w:rPr>
            </w:pPr>
            <w:r>
              <w:rPr>
                <w:color w:val="000000"/>
              </w:rPr>
              <w:t>16,342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0"/>
              <w:jc w:val="right"/>
              <w:rPr>
                <w:color w:val="000000"/>
              </w:rPr>
            </w:pPr>
            <w:r>
              <w:rPr>
                <w:color w:val="000000"/>
              </w:rPr>
              <w:t>16,294</w:t>
            </w:r>
          </w:p>
        </w:tc>
        <w:tc>
          <w:tcPr>
            <w:tcW w:w="171" w:type="dxa"/>
            <w:tcBorders/>
            <w:shd w:fill="CCEEFF" w:val="clear"/>
            <w:vAlign w:val="bottom"/>
          </w:tcPr>
          <w:p>
            <w:pPr>
              <w:pStyle w:val="TableContents"/>
              <w:bidi w:val="0"/>
              <w:spacing w:before="0" w:after="283"/>
              <w:jc w:val="left"/>
              <w:rPr/>
            </w:pPr>
            <w:r>
              <w:rPr/>
              <w:t> </w:t>
            </w:r>
          </w:p>
        </w:tc>
      </w:tr>
      <w:tr>
        <w:trPr/>
        <w:tc>
          <w:tcPr>
            <w:tcW w:w="7228" w:type="dxa"/>
            <w:tcBorders/>
            <w:vAlign w:val="bottom"/>
          </w:tcPr>
          <w:p>
            <w:pPr>
              <w:pStyle w:val="TableContents"/>
              <w:bidi w:val="0"/>
              <w:spacing w:before="0" w:after="0"/>
              <w:ind w:left="324" w:right="0" w:hanging="144"/>
              <w:jc w:val="left"/>
              <w:rPr>
                <w:color w:val="000000"/>
              </w:rPr>
            </w:pPr>
            <w:r>
              <w:rPr>
                <w:color w:val="000000"/>
              </w:rPr>
              <w:t>Additional paid-in capital</w:t>
            </w:r>
          </w:p>
        </w:tc>
        <w:tc>
          <w:tcPr>
            <w:tcW w:w="9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0"/>
              <w:jc w:val="right"/>
              <w:rPr>
                <w:color w:val="000000"/>
              </w:rPr>
            </w:pPr>
            <w:r>
              <w:rPr>
                <w:color w:val="000000"/>
              </w:rPr>
              <w:t>91,244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0"/>
              <w:jc w:val="right"/>
              <w:rPr>
                <w:color w:val="000000"/>
              </w:rPr>
            </w:pPr>
            <w:r>
              <w:rPr>
                <w:color w:val="000000"/>
              </w:rPr>
              <w:t>91,065</w:t>
            </w:r>
          </w:p>
        </w:tc>
        <w:tc>
          <w:tcPr>
            <w:tcW w:w="171" w:type="dxa"/>
            <w:tcBorders/>
            <w:vAlign w:val="bottom"/>
          </w:tcPr>
          <w:p>
            <w:pPr>
              <w:pStyle w:val="TableContents"/>
              <w:bidi w:val="0"/>
              <w:spacing w:before="0" w:after="283"/>
              <w:jc w:val="left"/>
              <w:rPr/>
            </w:pPr>
            <w:r>
              <w:rPr/>
              <w:t> </w:t>
            </w:r>
          </w:p>
        </w:tc>
      </w:tr>
      <w:tr>
        <w:trPr/>
        <w:tc>
          <w:tcPr>
            <w:tcW w:w="7228" w:type="dxa"/>
            <w:tcBorders/>
            <w:shd w:fill="CCEEFF" w:val="clear"/>
            <w:vAlign w:val="bottom"/>
          </w:tcPr>
          <w:p>
            <w:pPr>
              <w:pStyle w:val="TableContents"/>
              <w:bidi w:val="0"/>
              <w:spacing w:before="0" w:after="0"/>
              <w:ind w:left="324" w:right="0" w:hanging="144"/>
              <w:jc w:val="left"/>
              <w:rPr>
                <w:color w:val="000000"/>
              </w:rPr>
            </w:pPr>
            <w:r>
              <w:rPr>
                <w:color w:val="000000"/>
              </w:rPr>
              <w:t>Retained earnings</w:t>
            </w:r>
          </w:p>
        </w:tc>
        <w:tc>
          <w:tcPr>
            <w:tcW w:w="9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0"/>
              <w:jc w:val="right"/>
              <w:rPr>
                <w:color w:val="000000"/>
              </w:rPr>
            </w:pPr>
            <w:r>
              <w:rPr>
                <w:color w:val="000000"/>
              </w:rPr>
              <w:t>445,971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0"/>
              <w:jc w:val="right"/>
              <w:rPr>
                <w:color w:val="000000"/>
              </w:rPr>
            </w:pPr>
            <w:r>
              <w:rPr>
                <w:color w:val="000000"/>
              </w:rPr>
              <w:t>434,197</w:t>
            </w:r>
          </w:p>
        </w:tc>
        <w:tc>
          <w:tcPr>
            <w:tcW w:w="171" w:type="dxa"/>
            <w:tcBorders/>
            <w:shd w:fill="CCEEFF" w:val="clear"/>
            <w:vAlign w:val="bottom"/>
          </w:tcPr>
          <w:p>
            <w:pPr>
              <w:pStyle w:val="TableContents"/>
              <w:bidi w:val="0"/>
              <w:spacing w:before="0" w:after="283"/>
              <w:jc w:val="left"/>
              <w:rPr/>
            </w:pPr>
            <w:r>
              <w:rPr/>
              <w:t> </w:t>
            </w:r>
          </w:p>
        </w:tc>
      </w:tr>
      <w:tr>
        <w:trPr/>
        <w:tc>
          <w:tcPr>
            <w:tcW w:w="7228" w:type="dxa"/>
            <w:tcBorders/>
            <w:vAlign w:val="bottom"/>
          </w:tcPr>
          <w:p>
            <w:pPr>
              <w:pStyle w:val="TableContents"/>
              <w:bidi w:val="0"/>
              <w:spacing w:before="0" w:after="0"/>
              <w:ind w:left="324" w:right="0" w:hanging="144"/>
              <w:jc w:val="left"/>
              <w:rPr>
                <w:color w:val="000000"/>
              </w:rPr>
            </w:pPr>
            <w:r>
              <w:rPr>
                <w:color w:val="000000"/>
              </w:rPr>
              <w:t>Accumulated other comprehensive loss</w:t>
            </w:r>
          </w:p>
        </w:tc>
        <w:tc>
          <w:tcPr>
            <w:tcW w:w="9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(48,618</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8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(47,719</w:t>
            </w:r>
          </w:p>
        </w:tc>
        <w:tc>
          <w:tcPr>
            <w:tcW w:w="171" w:type="dxa"/>
            <w:tcBorders/>
            <w:vAlign w:val="bottom"/>
          </w:tcPr>
          <w:p>
            <w:pPr>
              <w:pStyle w:val="TableContents"/>
              <w:bidi w:val="0"/>
              <w:spacing w:before="0" w:after="0"/>
              <w:jc w:val="left"/>
              <w:rPr>
                <w:color w:val="000000"/>
              </w:rPr>
            </w:pPr>
            <w:r>
              <w:rPr>
                <w:color w:val="000000"/>
              </w:rPr>
              <w:t>)</w:t>
            </w:r>
          </w:p>
        </w:tc>
      </w:tr>
      <w:tr>
        <w:trPr/>
        <w:tc>
          <w:tcPr>
            <w:tcW w:w="7228" w:type="dxa"/>
            <w:tcBorders/>
            <w:shd w:fill="CCEEFF" w:val="clear"/>
            <w:vAlign w:val="bottom"/>
          </w:tcPr>
          <w:p>
            <w:pPr>
              <w:pStyle w:val="TableContents"/>
              <w:bidi w:val="0"/>
              <w:spacing w:before="0" w:after="0"/>
              <w:ind w:left="504" w:right="0" w:hanging="144"/>
              <w:jc w:val="left"/>
              <w:rPr>
                <w:color w:val="000000"/>
              </w:rPr>
            </w:pPr>
            <w:r>
              <w:rPr>
                <w:color w:val="000000"/>
              </w:rPr>
              <w:t>Total stockholders’ equity</w:t>
            </w:r>
          </w:p>
        </w:tc>
        <w:tc>
          <w:tcPr>
            <w:tcW w:w="9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504,939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493,837</w:t>
            </w:r>
          </w:p>
        </w:tc>
        <w:tc>
          <w:tcPr>
            <w:tcW w:w="171" w:type="dxa"/>
            <w:tcBorders/>
            <w:shd w:fill="CCEEFF" w:val="clear"/>
            <w:vAlign w:val="bottom"/>
          </w:tcPr>
          <w:p>
            <w:pPr>
              <w:pStyle w:val="TableContents"/>
              <w:bidi w:val="0"/>
              <w:spacing w:before="0" w:after="283"/>
              <w:jc w:val="left"/>
              <w:rPr/>
            </w:pPr>
            <w:r>
              <w:rPr/>
              <w:t> </w:t>
            </w:r>
          </w:p>
        </w:tc>
      </w:tr>
      <w:tr>
        <w:trPr/>
        <w:tc>
          <w:tcPr>
            <w:tcW w:w="7228" w:type="dxa"/>
            <w:tcBorders/>
            <w:vAlign w:val="bottom"/>
          </w:tcPr>
          <w:p>
            <w:pPr>
              <w:pStyle w:val="TableContents"/>
              <w:bidi w:val="0"/>
              <w:spacing w:before="0" w:after="0"/>
              <w:ind w:left="504" w:right="0" w:hanging="144"/>
              <w:jc w:val="left"/>
              <w:rPr>
                <w:color w:val="000000"/>
              </w:rPr>
            </w:pPr>
            <w:r>
              <w:rPr>
                <w:color w:val="000000"/>
              </w:rPr>
              <w:t>Total liabilities and stockholders’ equity</w:t>
            </w:r>
          </w:p>
        </w:tc>
        <w:tc>
          <w:tcPr>
            <w:tcW w:w="90" w:type="dxa"/>
            <w:tcBorders/>
            <w:vAlign w:val="bottom"/>
          </w:tcPr>
          <w:p>
            <w:pPr>
              <w:pStyle w:val="TableContents"/>
              <w:bidi w:val="0"/>
              <w:spacing w:before="0" w:after="283"/>
              <w:jc w:val="left"/>
              <w:rPr/>
            </w:pPr>
            <w:r>
              <w:rPr/>
              <w:t> </w:t>
            </w:r>
          </w:p>
        </w:tc>
        <w:tc>
          <w:tcPr>
            <w:tcW w:w="17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5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4,646,374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8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4,480,500</w:t>
            </w:r>
          </w:p>
        </w:tc>
        <w:tc>
          <w:tcPr>
            <w:tcW w:w="171" w:type="dxa"/>
            <w:tcBorders/>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SOUTH PLAINS FINANCIAL, INC. AND SUBSIDIARIES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CONSOLIDATED STATEMENTS OF COMPREHENSIVE INCOME</w:t>
      </w:r>
      <w:bookmarkStart w:id="25" w:name="COMPREHENSIVEINCOME"/>
      <w:bookmarkEnd w:id="25"/>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(Dollars in thousands, except per share data)</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26" w:name="zc79170592e7b447bb3d4f832bfdee403"/>
      <w:bookmarkStart w:id="27" w:name="zc79170592e7b447bb3d4f832bfdee403"/>
      <w:bookmarkEnd w:id="27"/>
    </w:p>
    <w:tbl>
      <w:tblPr>
        <w:tblW w:w="7901" w:type="dxa"/>
        <w:jc w:val="center"/>
        <w:tblInd w:w="0" w:type="dxa"/>
        <w:tblLayout w:type="fixed"/>
        <w:tblCellMar>
          <w:top w:w="0" w:type="dxa"/>
          <w:left w:w="0" w:type="dxa"/>
          <w:bottom w:w="0" w:type="dxa"/>
          <w:right w:w="0" w:type="dxa"/>
        </w:tblCellMar>
      </w:tblPr>
      <w:tblGrid>
        <w:gridCol w:w="5405"/>
        <w:gridCol w:w="90"/>
        <w:gridCol w:w="196"/>
        <w:gridCol w:w="819"/>
        <w:gridCol w:w="103"/>
        <w:gridCol w:w="103"/>
        <w:gridCol w:w="196"/>
        <w:gridCol w:w="819"/>
        <w:gridCol w:w="170"/>
      </w:tblGrid>
      <w:tr>
        <w:trPr/>
        <w:tc>
          <w:tcPr>
            <w:tcW w:w="540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36"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w:t>
            </w:r>
          </w:p>
          <w:p>
            <w:pPr>
              <w:pStyle w:val="TableContents"/>
              <w:bidi w:val="0"/>
              <w:spacing w:before="0" w:after="0"/>
              <w:jc w:val="center"/>
              <w:rPr>
                <w:b/>
                <w:color w:val="000000"/>
              </w:rPr>
            </w:pPr>
            <w:r>
              <w:rPr>
                <w:b/>
                <w:color w:val="000000"/>
              </w:rPr>
              <w:t>March 31,</w:t>
            </w:r>
          </w:p>
        </w:tc>
        <w:tc>
          <w:tcPr>
            <w:tcW w:w="170" w:type="dxa"/>
            <w:tcBorders/>
            <w:vAlign w:val="bottom"/>
          </w:tcPr>
          <w:p>
            <w:pPr>
              <w:pStyle w:val="TableContents"/>
              <w:bidi w:val="0"/>
              <w:spacing w:before="0" w:after="283"/>
              <w:jc w:val="left"/>
              <w:rPr/>
            </w:pPr>
            <w:r>
              <w:rPr/>
              <w:t> </w:t>
            </w:r>
          </w:p>
        </w:tc>
      </w:tr>
      <w:tr>
        <w:trPr/>
        <w:tc>
          <w:tcPr>
            <w:tcW w:w="540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70" w:type="dxa"/>
            <w:tcBorders/>
            <w:vAlign w:val="bottom"/>
          </w:tcPr>
          <w:p>
            <w:pPr>
              <w:pStyle w:val="TableContents"/>
              <w:bidi w:val="0"/>
              <w:spacing w:before="0" w:after="283"/>
              <w:jc w:val="left"/>
              <w:rPr/>
            </w:pPr>
            <w:r>
              <w:rPr/>
              <w:t> </w:t>
            </w:r>
          </w:p>
        </w:tc>
      </w:tr>
      <w:tr>
        <w:trPr/>
        <w:tc>
          <w:tcPr>
            <w:tcW w:w="5405" w:type="dxa"/>
            <w:tcBorders/>
            <w:vAlign w:val="bottom"/>
          </w:tcPr>
          <w:p>
            <w:pPr>
              <w:pStyle w:val="TableContents"/>
              <w:bidi w:val="0"/>
              <w:spacing w:before="0" w:after="0"/>
              <w:ind w:left="144" w:right="0" w:hanging="144"/>
              <w:jc w:val="left"/>
              <w:rPr>
                <w:color w:val="000000"/>
              </w:rPr>
            </w:pPr>
            <w:r>
              <w:rPr>
                <w:color w:val="000000"/>
              </w:rPr>
              <w:t>Interest income:</w:t>
            </w:r>
          </w:p>
        </w:tc>
        <w:tc>
          <w:tcPr>
            <w:tcW w:w="9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r>
      <w:tr>
        <w:trPr/>
        <w:tc>
          <w:tcPr>
            <w:tcW w:w="5405" w:type="dxa"/>
            <w:tcBorders/>
            <w:shd w:fill="CCEEFF" w:val="clear"/>
            <w:vAlign w:val="bottom"/>
          </w:tcPr>
          <w:p>
            <w:pPr>
              <w:pStyle w:val="TableContents"/>
              <w:bidi w:val="0"/>
              <w:spacing w:before="0" w:after="0"/>
              <w:ind w:left="324" w:right="0" w:hanging="144"/>
              <w:jc w:val="left"/>
              <w:rPr>
                <w:color w:val="000000"/>
              </w:rPr>
            </w:pPr>
            <w:r>
              <w:rPr>
                <w:color w:val="000000"/>
              </w:rPr>
              <w:t>Loans, including fees</w:t>
            </w:r>
          </w:p>
        </w:tc>
        <w:tc>
          <w:tcPr>
            <w:tcW w:w="9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0"/>
              <w:jc w:val="left"/>
              <w:rPr>
                <w:color w:val="000000"/>
              </w:rPr>
            </w:pPr>
            <w:r>
              <w:rPr>
                <w:color w:val="000000"/>
              </w:rPr>
              <w:t>$</w:t>
            </w:r>
          </w:p>
        </w:tc>
        <w:tc>
          <w:tcPr>
            <w:tcW w:w="819" w:type="dxa"/>
            <w:tcBorders/>
            <w:shd w:fill="CCEEFF" w:val="clear"/>
            <w:vAlign w:val="bottom"/>
          </w:tcPr>
          <w:p>
            <w:pPr>
              <w:pStyle w:val="TableContents"/>
              <w:bidi w:val="0"/>
              <w:spacing w:before="0" w:after="0"/>
              <w:jc w:val="right"/>
              <w:rPr>
                <w:color w:val="000000"/>
              </w:rPr>
            </w:pPr>
            <w:r>
              <w:rPr>
                <w:color w:val="000000"/>
              </w:rPr>
              <w:t>52,677</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0"/>
              <w:jc w:val="left"/>
              <w:rPr>
                <w:color w:val="000000"/>
              </w:rPr>
            </w:pPr>
            <w:r>
              <w:rPr>
                <w:color w:val="000000"/>
              </w:rPr>
              <w:t>$</w:t>
            </w:r>
          </w:p>
        </w:tc>
        <w:tc>
          <w:tcPr>
            <w:tcW w:w="819" w:type="dxa"/>
            <w:tcBorders/>
            <w:shd w:fill="CCEEFF" w:val="clear"/>
            <w:vAlign w:val="bottom"/>
          </w:tcPr>
          <w:p>
            <w:pPr>
              <w:pStyle w:val="TableContents"/>
              <w:bidi w:val="0"/>
              <w:spacing w:before="0" w:after="0"/>
              <w:jc w:val="right"/>
              <w:rPr>
                <w:color w:val="000000"/>
              </w:rPr>
            </w:pPr>
            <w:r>
              <w:rPr>
                <w:color w:val="000000"/>
              </w:rPr>
              <w:t>50,570</w:t>
            </w:r>
          </w:p>
        </w:tc>
        <w:tc>
          <w:tcPr>
            <w:tcW w:w="170" w:type="dxa"/>
            <w:tcBorders/>
            <w:shd w:fill="CCEEFF" w:val="clear"/>
            <w:vAlign w:val="bottom"/>
          </w:tcPr>
          <w:p>
            <w:pPr>
              <w:pStyle w:val="TableContents"/>
              <w:bidi w:val="0"/>
              <w:spacing w:before="0" w:after="283"/>
              <w:jc w:val="left"/>
              <w:rPr/>
            </w:pPr>
            <w:r>
              <w:rPr/>
              <w:t> </w:t>
            </w:r>
          </w:p>
        </w:tc>
      </w:tr>
      <w:tr>
        <w:trPr/>
        <w:tc>
          <w:tcPr>
            <w:tcW w:w="5405" w:type="dxa"/>
            <w:tcBorders/>
            <w:vAlign w:val="bottom"/>
          </w:tcPr>
          <w:p>
            <w:pPr>
              <w:pStyle w:val="TableContents"/>
              <w:bidi w:val="0"/>
              <w:spacing w:before="0" w:after="0"/>
              <w:ind w:left="324" w:right="0" w:hanging="144"/>
              <w:jc w:val="left"/>
              <w:rPr>
                <w:color w:val="000000"/>
              </w:rPr>
            </w:pPr>
            <w:r>
              <w:rPr>
                <w:color w:val="000000"/>
              </w:rPr>
              <w:t>Securities:</w:t>
            </w:r>
          </w:p>
        </w:tc>
        <w:tc>
          <w:tcPr>
            <w:tcW w:w="9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5405" w:type="dxa"/>
            <w:tcBorders/>
            <w:shd w:fill="CCEEFF" w:val="clear"/>
            <w:vAlign w:val="bottom"/>
          </w:tcPr>
          <w:p>
            <w:pPr>
              <w:pStyle w:val="TableContents"/>
              <w:bidi w:val="0"/>
              <w:spacing w:before="0" w:after="0"/>
              <w:ind w:left="504" w:right="0" w:hanging="144"/>
              <w:jc w:val="left"/>
              <w:rPr>
                <w:color w:val="000000"/>
              </w:rPr>
            </w:pPr>
            <w:r>
              <w:rPr>
                <w:color w:val="000000"/>
              </w:rPr>
              <w:t>Taxable</w:t>
            </w:r>
          </w:p>
        </w:tc>
        <w:tc>
          <w:tcPr>
            <w:tcW w:w="9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0"/>
              <w:jc w:val="right"/>
              <w:rPr>
                <w:color w:val="000000"/>
              </w:rPr>
            </w:pPr>
            <w:r>
              <w:rPr>
                <w:color w:val="000000"/>
              </w:rPr>
              <w:t>4,285</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0"/>
              <w:jc w:val="right"/>
              <w:rPr>
                <w:color w:val="000000"/>
              </w:rPr>
            </w:pPr>
            <w:r>
              <w:rPr>
                <w:color w:val="000000"/>
              </w:rPr>
              <w:t>4,692</w:t>
            </w:r>
          </w:p>
        </w:tc>
        <w:tc>
          <w:tcPr>
            <w:tcW w:w="170" w:type="dxa"/>
            <w:tcBorders/>
            <w:shd w:fill="CCEEFF" w:val="clear"/>
            <w:vAlign w:val="bottom"/>
          </w:tcPr>
          <w:p>
            <w:pPr>
              <w:pStyle w:val="TableContents"/>
              <w:bidi w:val="0"/>
              <w:spacing w:before="0" w:after="283"/>
              <w:jc w:val="left"/>
              <w:rPr/>
            </w:pPr>
            <w:r>
              <w:rPr/>
              <w:t> </w:t>
            </w:r>
          </w:p>
        </w:tc>
      </w:tr>
      <w:tr>
        <w:trPr/>
        <w:tc>
          <w:tcPr>
            <w:tcW w:w="5405" w:type="dxa"/>
            <w:tcBorders/>
            <w:vAlign w:val="bottom"/>
          </w:tcPr>
          <w:p>
            <w:pPr>
              <w:pStyle w:val="TableContents"/>
              <w:bidi w:val="0"/>
              <w:spacing w:before="0" w:after="0"/>
              <w:ind w:left="504" w:right="0" w:hanging="144"/>
              <w:jc w:val="left"/>
              <w:rPr>
                <w:color w:val="000000"/>
              </w:rPr>
            </w:pPr>
            <w:r>
              <w:rPr>
                <w:color w:val="000000"/>
              </w:rPr>
              <w:t>Non-taxable</w:t>
            </w:r>
          </w:p>
        </w:tc>
        <w:tc>
          <w:tcPr>
            <w:tcW w:w="9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0"/>
              <w:jc w:val="right"/>
              <w:rPr>
                <w:color w:val="000000"/>
              </w:rPr>
            </w:pPr>
            <w:r>
              <w:rPr>
                <w:color w:val="000000"/>
              </w:rPr>
              <w:t>853</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0"/>
              <w:jc w:val="right"/>
              <w:rPr>
                <w:color w:val="000000"/>
              </w:rPr>
            </w:pPr>
            <w:r>
              <w:rPr>
                <w:color w:val="000000"/>
              </w:rPr>
              <w:t>801</w:t>
            </w:r>
          </w:p>
        </w:tc>
        <w:tc>
          <w:tcPr>
            <w:tcW w:w="170" w:type="dxa"/>
            <w:tcBorders/>
            <w:vAlign w:val="bottom"/>
          </w:tcPr>
          <w:p>
            <w:pPr>
              <w:pStyle w:val="TableContents"/>
              <w:bidi w:val="0"/>
              <w:spacing w:before="0" w:after="283"/>
              <w:jc w:val="left"/>
              <w:rPr/>
            </w:pPr>
            <w:r>
              <w:rPr/>
              <w:t> </w:t>
            </w:r>
          </w:p>
        </w:tc>
      </w:tr>
      <w:tr>
        <w:trPr/>
        <w:tc>
          <w:tcPr>
            <w:tcW w:w="5405" w:type="dxa"/>
            <w:tcBorders/>
            <w:shd w:fill="CCEEFF" w:val="clear"/>
            <w:vAlign w:val="bottom"/>
          </w:tcPr>
          <w:p>
            <w:pPr>
              <w:pStyle w:val="TableContents"/>
              <w:bidi w:val="0"/>
              <w:spacing w:before="0" w:after="0"/>
              <w:ind w:left="324" w:right="0" w:hanging="144"/>
              <w:jc w:val="left"/>
              <w:rPr>
                <w:color w:val="000000"/>
              </w:rPr>
            </w:pPr>
            <w:r>
              <w:rPr>
                <w:color w:val="000000"/>
              </w:rPr>
              <w:t>Federal funds sold and interest-bearing deposits in banks</w:t>
            </w:r>
          </w:p>
        </w:tc>
        <w:tc>
          <w:tcPr>
            <w:tcW w:w="90" w:type="dxa"/>
            <w:tcBorders/>
            <w:shd w:fill="CCEEFF" w:val="clear"/>
            <w:vAlign w:val="bottom"/>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4,817</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3,859</w:t>
            </w:r>
          </w:p>
        </w:tc>
        <w:tc>
          <w:tcPr>
            <w:tcW w:w="170" w:type="dxa"/>
            <w:tcBorders/>
            <w:shd w:fill="CCEEFF" w:val="clear"/>
            <w:vAlign w:val="bottom"/>
          </w:tcPr>
          <w:p>
            <w:pPr>
              <w:pStyle w:val="TableContents"/>
              <w:bidi w:val="0"/>
              <w:spacing w:before="0" w:after="283"/>
              <w:jc w:val="left"/>
              <w:rPr/>
            </w:pPr>
            <w:r>
              <w:rPr/>
              <w:t> </w:t>
            </w:r>
          </w:p>
        </w:tc>
      </w:tr>
      <w:tr>
        <w:trPr/>
        <w:tc>
          <w:tcPr>
            <w:tcW w:w="5405" w:type="dxa"/>
            <w:tcBorders/>
            <w:vAlign w:val="bottom"/>
          </w:tcPr>
          <w:p>
            <w:pPr>
              <w:pStyle w:val="TableContents"/>
              <w:bidi w:val="0"/>
              <w:spacing w:before="0" w:after="0"/>
              <w:ind w:left="684" w:right="0" w:hanging="144"/>
              <w:jc w:val="left"/>
              <w:rPr>
                <w:color w:val="000000"/>
              </w:rPr>
            </w:pPr>
            <w:r>
              <w:rPr>
                <w:color w:val="000000"/>
              </w:rPr>
              <w:t>Total interest income</w:t>
            </w:r>
          </w:p>
        </w:tc>
        <w:tc>
          <w:tcPr>
            <w:tcW w:w="90" w:type="dxa"/>
            <w:tcBorders/>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62,632</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59,922</w:t>
            </w:r>
          </w:p>
        </w:tc>
        <w:tc>
          <w:tcPr>
            <w:tcW w:w="170" w:type="dxa"/>
            <w:tcBorders/>
            <w:vAlign w:val="bottom"/>
          </w:tcPr>
          <w:p>
            <w:pPr>
              <w:pStyle w:val="TableContents"/>
              <w:bidi w:val="0"/>
              <w:spacing w:before="0" w:after="283"/>
              <w:jc w:val="left"/>
              <w:rPr/>
            </w:pPr>
            <w:r>
              <w:rPr/>
              <w:t> </w:t>
            </w:r>
          </w:p>
        </w:tc>
      </w:tr>
      <w:tr>
        <w:trPr/>
        <w:tc>
          <w:tcPr>
            <w:tcW w:w="5405" w:type="dxa"/>
            <w:tcBorders/>
            <w:shd w:fill="CCEEFF" w:val="clear"/>
            <w:vAlign w:val="bottom"/>
          </w:tcPr>
          <w:p>
            <w:pPr>
              <w:pStyle w:val="TableContents"/>
              <w:bidi w:val="0"/>
              <w:spacing w:before="0" w:after="0"/>
              <w:ind w:left="144" w:right="0" w:hanging="144"/>
              <w:jc w:val="left"/>
              <w:rPr>
                <w:color w:val="000000"/>
              </w:rPr>
            </w:pPr>
            <w:r>
              <w:rPr>
                <w:color w:val="000000"/>
              </w:rPr>
              <w:t>Interest expense:</w:t>
            </w:r>
          </w:p>
        </w:tc>
        <w:tc>
          <w:tcPr>
            <w:tcW w:w="9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 </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5405" w:type="dxa"/>
            <w:tcBorders/>
            <w:vAlign w:val="bottom"/>
          </w:tcPr>
          <w:p>
            <w:pPr>
              <w:pStyle w:val="TableContents"/>
              <w:bidi w:val="0"/>
              <w:spacing w:before="0" w:after="0"/>
              <w:ind w:left="324" w:right="0" w:hanging="144"/>
              <w:jc w:val="left"/>
              <w:rPr>
                <w:color w:val="000000"/>
              </w:rPr>
            </w:pPr>
            <w:r>
              <w:rPr>
                <w:color w:val="000000"/>
              </w:rPr>
              <w:t>Deposits</w:t>
            </w:r>
          </w:p>
        </w:tc>
        <w:tc>
          <w:tcPr>
            <w:tcW w:w="9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0"/>
              <w:jc w:val="right"/>
              <w:rPr>
                <w:color w:val="000000"/>
              </w:rPr>
            </w:pPr>
            <w:r>
              <w:rPr>
                <w:color w:val="000000"/>
              </w:rPr>
              <w:t>18,878</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0"/>
              <w:jc w:val="right"/>
              <w:rPr>
                <w:color w:val="000000"/>
              </w:rPr>
            </w:pPr>
            <w:r>
              <w:rPr>
                <w:color w:val="000000"/>
              </w:rPr>
              <w:t>19,827</w:t>
            </w:r>
          </w:p>
        </w:tc>
        <w:tc>
          <w:tcPr>
            <w:tcW w:w="170" w:type="dxa"/>
            <w:tcBorders/>
            <w:vAlign w:val="bottom"/>
          </w:tcPr>
          <w:p>
            <w:pPr>
              <w:pStyle w:val="TableContents"/>
              <w:bidi w:val="0"/>
              <w:spacing w:before="0" w:after="283"/>
              <w:jc w:val="left"/>
              <w:rPr/>
            </w:pPr>
            <w:r>
              <w:rPr/>
              <w:t> </w:t>
            </w:r>
          </w:p>
        </w:tc>
      </w:tr>
      <w:tr>
        <w:trPr/>
        <w:tc>
          <w:tcPr>
            <w:tcW w:w="5405" w:type="dxa"/>
            <w:tcBorders/>
            <w:shd w:fill="CCEEFF" w:val="clear"/>
            <w:vAlign w:val="bottom"/>
          </w:tcPr>
          <w:p>
            <w:pPr>
              <w:pStyle w:val="TableContents"/>
              <w:bidi w:val="0"/>
              <w:spacing w:before="0" w:after="0"/>
              <w:ind w:left="324" w:right="0" w:hanging="144"/>
              <w:jc w:val="left"/>
              <w:rPr>
                <w:color w:val="000000"/>
              </w:rPr>
            </w:pPr>
            <w:r>
              <w:rPr>
                <w:color w:val="000000"/>
              </w:rPr>
              <w:t>Subordinated debt</w:t>
            </w:r>
          </w:p>
        </w:tc>
        <w:tc>
          <w:tcPr>
            <w:tcW w:w="9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0"/>
              <w:jc w:val="right"/>
              <w:rPr>
                <w:color w:val="000000"/>
              </w:rPr>
            </w:pPr>
            <w:r>
              <w:rPr>
                <w:color w:val="000000"/>
              </w:rPr>
              <w:t>243</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0"/>
              <w:jc w:val="right"/>
              <w:rPr>
                <w:color w:val="000000"/>
              </w:rPr>
            </w:pPr>
            <w:r>
              <w:rPr>
                <w:color w:val="000000"/>
              </w:rPr>
              <w:t>835</w:t>
            </w:r>
          </w:p>
        </w:tc>
        <w:tc>
          <w:tcPr>
            <w:tcW w:w="170" w:type="dxa"/>
            <w:tcBorders/>
            <w:shd w:fill="CCEEFF" w:val="clear"/>
            <w:vAlign w:val="bottom"/>
          </w:tcPr>
          <w:p>
            <w:pPr>
              <w:pStyle w:val="TableContents"/>
              <w:bidi w:val="0"/>
              <w:spacing w:before="0" w:after="283"/>
              <w:jc w:val="left"/>
              <w:rPr/>
            </w:pPr>
            <w:r>
              <w:rPr/>
              <w:t> </w:t>
            </w:r>
          </w:p>
        </w:tc>
      </w:tr>
      <w:tr>
        <w:trPr/>
        <w:tc>
          <w:tcPr>
            <w:tcW w:w="5405" w:type="dxa"/>
            <w:tcBorders/>
            <w:vAlign w:val="bottom"/>
          </w:tcPr>
          <w:p>
            <w:pPr>
              <w:pStyle w:val="TableContents"/>
              <w:bidi w:val="0"/>
              <w:spacing w:before="0" w:after="0"/>
              <w:ind w:left="324" w:right="0" w:hanging="144"/>
              <w:jc w:val="left"/>
              <w:rPr>
                <w:color w:val="000000"/>
              </w:rPr>
            </w:pPr>
            <w:r>
              <w:rPr>
                <w:color w:val="000000"/>
              </w:rPr>
              <w:t>Junior subordinated deferrable interest debentures</w:t>
            </w:r>
          </w:p>
        </w:tc>
        <w:tc>
          <w:tcPr>
            <w:tcW w:w="90" w:type="dxa"/>
            <w:tcBorders/>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659</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733</w:t>
            </w:r>
          </w:p>
        </w:tc>
        <w:tc>
          <w:tcPr>
            <w:tcW w:w="170" w:type="dxa"/>
            <w:tcBorders/>
            <w:vAlign w:val="bottom"/>
          </w:tcPr>
          <w:p>
            <w:pPr>
              <w:pStyle w:val="TableContents"/>
              <w:bidi w:val="0"/>
              <w:spacing w:before="0" w:after="283"/>
              <w:jc w:val="left"/>
              <w:rPr/>
            </w:pPr>
            <w:r>
              <w:rPr/>
              <w:t> </w:t>
            </w:r>
          </w:p>
        </w:tc>
      </w:tr>
      <w:tr>
        <w:trPr/>
        <w:tc>
          <w:tcPr>
            <w:tcW w:w="5405" w:type="dxa"/>
            <w:tcBorders/>
            <w:shd w:fill="CCEEFF" w:val="clear"/>
            <w:vAlign w:val="bottom"/>
          </w:tcPr>
          <w:p>
            <w:pPr>
              <w:pStyle w:val="TableContents"/>
              <w:bidi w:val="0"/>
              <w:spacing w:before="0" w:after="0"/>
              <w:ind w:left="684" w:right="0" w:hanging="144"/>
              <w:jc w:val="left"/>
              <w:rPr>
                <w:color w:val="000000"/>
              </w:rPr>
            </w:pPr>
            <w:r>
              <w:rPr>
                <w:color w:val="000000"/>
              </w:rPr>
              <w:t>Total interest expense</w:t>
            </w:r>
          </w:p>
        </w:tc>
        <w:tc>
          <w:tcPr>
            <w:tcW w:w="90" w:type="dxa"/>
            <w:tcBorders/>
            <w:shd w:fill="CCEEFF" w:val="clear"/>
            <w:vAlign w:val="bottom"/>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19,780</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21,395</w:t>
            </w:r>
          </w:p>
        </w:tc>
        <w:tc>
          <w:tcPr>
            <w:tcW w:w="170" w:type="dxa"/>
            <w:tcBorders/>
            <w:shd w:fill="CCEEFF" w:val="clear"/>
            <w:vAlign w:val="bottom"/>
          </w:tcPr>
          <w:p>
            <w:pPr>
              <w:pStyle w:val="TableContents"/>
              <w:bidi w:val="0"/>
              <w:spacing w:before="0" w:after="283"/>
              <w:jc w:val="left"/>
              <w:rPr/>
            </w:pPr>
            <w:r>
              <w:rPr/>
              <w:t> </w:t>
            </w:r>
          </w:p>
        </w:tc>
      </w:tr>
      <w:tr>
        <w:trPr/>
        <w:tc>
          <w:tcPr>
            <w:tcW w:w="5405" w:type="dxa"/>
            <w:tcBorders/>
            <w:vAlign w:val="bottom"/>
          </w:tcPr>
          <w:p>
            <w:pPr>
              <w:pStyle w:val="TableContents"/>
              <w:bidi w:val="0"/>
              <w:spacing w:before="0" w:after="0"/>
              <w:ind w:left="144" w:right="0" w:hanging="144"/>
              <w:jc w:val="left"/>
              <w:rPr>
                <w:color w:val="000000"/>
              </w:rPr>
            </w:pPr>
            <w:r>
              <w:rPr>
                <w:color w:val="000000"/>
              </w:rPr>
              <w:t>Net interest income</w:t>
            </w:r>
          </w:p>
        </w:tc>
        <w:tc>
          <w:tcPr>
            <w:tcW w:w="9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0"/>
              <w:jc w:val="right"/>
              <w:rPr>
                <w:color w:val="000000"/>
              </w:rPr>
            </w:pPr>
            <w:r>
              <w:rPr>
                <w:color w:val="000000"/>
              </w:rPr>
              <w:t>42,852</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0"/>
              <w:jc w:val="right"/>
              <w:rPr>
                <w:color w:val="000000"/>
              </w:rPr>
            </w:pPr>
            <w:r>
              <w:rPr>
                <w:color w:val="000000"/>
              </w:rPr>
              <w:t>38,527</w:t>
            </w:r>
          </w:p>
        </w:tc>
        <w:tc>
          <w:tcPr>
            <w:tcW w:w="170" w:type="dxa"/>
            <w:tcBorders/>
            <w:vAlign w:val="bottom"/>
          </w:tcPr>
          <w:p>
            <w:pPr>
              <w:pStyle w:val="TableContents"/>
              <w:bidi w:val="0"/>
              <w:spacing w:before="0" w:after="283"/>
              <w:jc w:val="left"/>
              <w:rPr/>
            </w:pPr>
            <w:r>
              <w:rPr/>
              <w:t> </w:t>
            </w:r>
          </w:p>
        </w:tc>
      </w:tr>
      <w:tr>
        <w:trPr/>
        <w:tc>
          <w:tcPr>
            <w:tcW w:w="5405" w:type="dxa"/>
            <w:tcBorders/>
            <w:shd w:fill="CCEEFF" w:val="clear"/>
            <w:vAlign w:val="bottom"/>
          </w:tcPr>
          <w:p>
            <w:pPr>
              <w:pStyle w:val="TableContents"/>
              <w:bidi w:val="0"/>
              <w:spacing w:before="0" w:after="0"/>
              <w:ind w:left="144" w:right="0" w:hanging="144"/>
              <w:jc w:val="left"/>
              <w:rPr>
                <w:color w:val="000000"/>
              </w:rPr>
            </w:pPr>
            <w:r>
              <w:rPr>
                <w:color w:val="000000"/>
              </w:rPr>
              <w:t>Provision for credit losses</w:t>
            </w:r>
          </w:p>
        </w:tc>
        <w:tc>
          <w:tcPr>
            <w:tcW w:w="90" w:type="dxa"/>
            <w:tcBorders/>
            <w:shd w:fill="CCEEFF" w:val="clear"/>
            <w:vAlign w:val="bottom"/>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260</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420</w:t>
            </w:r>
          </w:p>
        </w:tc>
        <w:tc>
          <w:tcPr>
            <w:tcW w:w="170" w:type="dxa"/>
            <w:tcBorders/>
            <w:shd w:fill="CCEEFF" w:val="clear"/>
            <w:vAlign w:val="bottom"/>
          </w:tcPr>
          <w:p>
            <w:pPr>
              <w:pStyle w:val="TableContents"/>
              <w:bidi w:val="0"/>
              <w:spacing w:before="0" w:after="283"/>
              <w:jc w:val="left"/>
              <w:rPr/>
            </w:pPr>
            <w:r>
              <w:rPr/>
              <w:t> </w:t>
            </w:r>
          </w:p>
        </w:tc>
      </w:tr>
      <w:tr>
        <w:trPr/>
        <w:tc>
          <w:tcPr>
            <w:tcW w:w="5405" w:type="dxa"/>
            <w:tcBorders/>
            <w:vAlign w:val="bottom"/>
          </w:tcPr>
          <w:p>
            <w:pPr>
              <w:pStyle w:val="TableContents"/>
              <w:bidi w:val="0"/>
              <w:spacing w:before="0" w:after="0"/>
              <w:ind w:left="324" w:right="0" w:hanging="144"/>
              <w:jc w:val="left"/>
              <w:rPr>
                <w:color w:val="000000"/>
              </w:rPr>
            </w:pPr>
            <w:r>
              <w:rPr>
                <w:color w:val="000000"/>
              </w:rPr>
              <w:t>Net interest income, after provision for credit losses</w:t>
            </w:r>
          </w:p>
        </w:tc>
        <w:tc>
          <w:tcPr>
            <w:tcW w:w="90" w:type="dxa"/>
            <w:tcBorders/>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42,592</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38,107</w:t>
            </w:r>
          </w:p>
        </w:tc>
        <w:tc>
          <w:tcPr>
            <w:tcW w:w="170" w:type="dxa"/>
            <w:tcBorders/>
            <w:vAlign w:val="bottom"/>
          </w:tcPr>
          <w:p>
            <w:pPr>
              <w:pStyle w:val="TableContents"/>
              <w:bidi w:val="0"/>
              <w:spacing w:before="0" w:after="283"/>
              <w:jc w:val="left"/>
              <w:rPr/>
            </w:pPr>
            <w:r>
              <w:rPr/>
              <w:t> </w:t>
            </w:r>
          </w:p>
        </w:tc>
      </w:tr>
      <w:tr>
        <w:trPr/>
        <w:tc>
          <w:tcPr>
            <w:tcW w:w="5405" w:type="dxa"/>
            <w:tcBorders/>
            <w:shd w:fill="CCEEFF" w:val="clear"/>
            <w:vAlign w:val="bottom"/>
          </w:tcPr>
          <w:p>
            <w:pPr>
              <w:pStyle w:val="TableContents"/>
              <w:bidi w:val="0"/>
              <w:spacing w:before="0" w:after="0"/>
              <w:ind w:left="144" w:right="0" w:hanging="144"/>
              <w:jc w:val="left"/>
              <w:rPr>
                <w:color w:val="000000"/>
              </w:rPr>
            </w:pPr>
            <w:r>
              <w:rPr>
                <w:color w:val="000000"/>
              </w:rPr>
              <w:t>Noninterest income:</w:t>
            </w:r>
          </w:p>
        </w:tc>
        <w:tc>
          <w:tcPr>
            <w:tcW w:w="9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 </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5405" w:type="dxa"/>
            <w:tcBorders/>
            <w:vAlign w:val="bottom"/>
          </w:tcPr>
          <w:p>
            <w:pPr>
              <w:pStyle w:val="TableContents"/>
              <w:bidi w:val="0"/>
              <w:spacing w:before="0" w:after="0"/>
              <w:ind w:left="324" w:right="0" w:hanging="144"/>
              <w:jc w:val="left"/>
              <w:rPr>
                <w:color w:val="000000"/>
              </w:rPr>
            </w:pPr>
            <w:r>
              <w:rPr>
                <w:color w:val="000000"/>
              </w:rPr>
              <w:t>Service charges on deposit accounts</w:t>
            </w:r>
          </w:p>
        </w:tc>
        <w:tc>
          <w:tcPr>
            <w:tcW w:w="9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0"/>
              <w:jc w:val="right"/>
              <w:rPr>
                <w:color w:val="000000"/>
              </w:rPr>
            </w:pPr>
            <w:r>
              <w:rPr>
                <w:color w:val="000000"/>
              </w:rPr>
              <w:t>2,255</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0"/>
              <w:jc w:val="right"/>
              <w:rPr>
                <w:color w:val="000000"/>
              </w:rPr>
            </w:pPr>
            <w:r>
              <w:rPr>
                <w:color w:val="000000"/>
              </w:rPr>
              <w:t>2,141</w:t>
            </w:r>
          </w:p>
        </w:tc>
        <w:tc>
          <w:tcPr>
            <w:tcW w:w="170" w:type="dxa"/>
            <w:tcBorders/>
            <w:vAlign w:val="bottom"/>
          </w:tcPr>
          <w:p>
            <w:pPr>
              <w:pStyle w:val="TableContents"/>
              <w:bidi w:val="0"/>
              <w:spacing w:before="0" w:after="283"/>
              <w:jc w:val="left"/>
              <w:rPr/>
            </w:pPr>
            <w:r>
              <w:rPr/>
              <w:t> </w:t>
            </w:r>
          </w:p>
        </w:tc>
      </w:tr>
      <w:tr>
        <w:trPr/>
        <w:tc>
          <w:tcPr>
            <w:tcW w:w="5405" w:type="dxa"/>
            <w:tcBorders/>
            <w:shd w:fill="CCEEFF" w:val="clear"/>
            <w:vAlign w:val="bottom"/>
          </w:tcPr>
          <w:p>
            <w:pPr>
              <w:pStyle w:val="TableContents"/>
              <w:bidi w:val="0"/>
              <w:spacing w:before="0" w:after="0"/>
              <w:ind w:left="324" w:right="0" w:hanging="144"/>
              <w:jc w:val="left"/>
              <w:rPr>
                <w:color w:val="000000"/>
              </w:rPr>
            </w:pPr>
            <w:r>
              <w:rPr>
                <w:color w:val="000000"/>
              </w:rPr>
              <w:t>Net gain on sales of loans</w:t>
            </w:r>
          </w:p>
        </w:tc>
        <w:tc>
          <w:tcPr>
            <w:tcW w:w="9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0"/>
              <w:jc w:val="right"/>
              <w:rPr>
                <w:color w:val="000000"/>
              </w:rPr>
            </w:pPr>
            <w:r>
              <w:rPr>
                <w:color w:val="000000"/>
              </w:rPr>
              <w:t>2,332</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0"/>
              <w:jc w:val="right"/>
              <w:rPr>
                <w:color w:val="000000"/>
              </w:rPr>
            </w:pPr>
            <w:r>
              <w:rPr>
                <w:color w:val="000000"/>
              </w:rPr>
              <w:t>2,591</w:t>
            </w:r>
          </w:p>
        </w:tc>
        <w:tc>
          <w:tcPr>
            <w:tcW w:w="170" w:type="dxa"/>
            <w:tcBorders/>
            <w:shd w:fill="CCEEFF" w:val="clear"/>
            <w:vAlign w:val="bottom"/>
          </w:tcPr>
          <w:p>
            <w:pPr>
              <w:pStyle w:val="TableContents"/>
              <w:bidi w:val="0"/>
              <w:spacing w:before="0" w:after="283"/>
              <w:jc w:val="left"/>
              <w:rPr/>
            </w:pPr>
            <w:r>
              <w:rPr/>
              <w:t> </w:t>
            </w:r>
          </w:p>
        </w:tc>
      </w:tr>
      <w:tr>
        <w:trPr/>
        <w:tc>
          <w:tcPr>
            <w:tcW w:w="5405" w:type="dxa"/>
            <w:tcBorders/>
            <w:vAlign w:val="bottom"/>
          </w:tcPr>
          <w:p>
            <w:pPr>
              <w:pStyle w:val="TableContents"/>
              <w:bidi w:val="0"/>
              <w:spacing w:before="0" w:after="0"/>
              <w:ind w:left="324" w:right="0" w:hanging="144"/>
              <w:jc w:val="left"/>
              <w:rPr>
                <w:color w:val="000000"/>
              </w:rPr>
            </w:pPr>
            <w:r>
              <w:rPr>
                <w:color w:val="000000"/>
              </w:rPr>
              <w:t>Bank card services and interchange fees</w:t>
            </w:r>
          </w:p>
        </w:tc>
        <w:tc>
          <w:tcPr>
            <w:tcW w:w="9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0"/>
              <w:jc w:val="right"/>
              <w:rPr>
                <w:color w:val="000000"/>
              </w:rPr>
            </w:pPr>
            <w:r>
              <w:rPr>
                <w:color w:val="000000"/>
              </w:rPr>
              <w:t>3,216</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0"/>
              <w:jc w:val="right"/>
              <w:rPr>
                <w:color w:val="000000"/>
              </w:rPr>
            </w:pPr>
            <w:r>
              <w:rPr>
                <w:color w:val="000000"/>
              </w:rPr>
              <w:t>3,379</w:t>
            </w:r>
          </w:p>
        </w:tc>
        <w:tc>
          <w:tcPr>
            <w:tcW w:w="170" w:type="dxa"/>
            <w:tcBorders/>
            <w:vAlign w:val="bottom"/>
          </w:tcPr>
          <w:p>
            <w:pPr>
              <w:pStyle w:val="TableContents"/>
              <w:bidi w:val="0"/>
              <w:spacing w:before="0" w:after="283"/>
              <w:jc w:val="left"/>
              <w:rPr/>
            </w:pPr>
            <w:r>
              <w:rPr/>
              <w:t> </w:t>
            </w:r>
          </w:p>
        </w:tc>
      </w:tr>
      <w:tr>
        <w:trPr/>
        <w:tc>
          <w:tcPr>
            <w:tcW w:w="5405" w:type="dxa"/>
            <w:tcBorders/>
            <w:shd w:fill="CCEEFF" w:val="clear"/>
            <w:vAlign w:val="bottom"/>
          </w:tcPr>
          <w:p>
            <w:pPr>
              <w:pStyle w:val="TableContents"/>
              <w:bidi w:val="0"/>
              <w:spacing w:before="0" w:after="0"/>
              <w:ind w:left="324" w:right="0" w:hanging="144"/>
              <w:jc w:val="left"/>
              <w:rPr>
                <w:color w:val="000000"/>
              </w:rPr>
            </w:pPr>
            <w:r>
              <w:rPr>
                <w:color w:val="000000"/>
              </w:rPr>
              <w:t>Other mortgage banking income (loss)</w:t>
            </w:r>
          </w:p>
        </w:tc>
        <w:tc>
          <w:tcPr>
            <w:tcW w:w="9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0"/>
              <w:jc w:val="right"/>
              <w:rPr>
                <w:color w:val="000000"/>
              </w:rPr>
            </w:pPr>
            <w:r>
              <w:rPr>
                <w:color w:val="000000"/>
              </w:rPr>
              <w:t>1,586</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0"/>
              <w:jc w:val="right"/>
              <w:rPr>
                <w:color w:val="000000"/>
              </w:rPr>
            </w:pPr>
            <w:r>
              <w:rPr>
                <w:color w:val="000000"/>
              </w:rPr>
              <w:t>(478</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5405" w:type="dxa"/>
            <w:tcBorders/>
            <w:vAlign w:val="bottom"/>
          </w:tcPr>
          <w:p>
            <w:pPr>
              <w:pStyle w:val="TableContents"/>
              <w:bidi w:val="0"/>
              <w:spacing w:before="0" w:after="0"/>
              <w:ind w:left="324" w:right="0" w:hanging="144"/>
              <w:jc w:val="left"/>
              <w:rPr>
                <w:color w:val="000000"/>
              </w:rPr>
            </w:pPr>
            <w:r>
              <w:rPr>
                <w:color w:val="000000"/>
              </w:rPr>
              <w:t>Investment commissions</w:t>
            </w:r>
          </w:p>
        </w:tc>
        <w:tc>
          <w:tcPr>
            <w:tcW w:w="9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0"/>
              <w:jc w:val="right"/>
              <w:rPr>
                <w:color w:val="000000"/>
              </w:rPr>
            </w:pPr>
            <w:r>
              <w:rPr>
                <w:color w:val="000000"/>
              </w:rPr>
              <w:t>555</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0"/>
              <w:jc w:val="right"/>
              <w:rPr>
                <w:color w:val="000000"/>
              </w:rPr>
            </w:pPr>
            <w:r>
              <w:rPr>
                <w:color w:val="000000"/>
              </w:rPr>
              <w:t>434</w:t>
            </w:r>
          </w:p>
        </w:tc>
        <w:tc>
          <w:tcPr>
            <w:tcW w:w="170" w:type="dxa"/>
            <w:tcBorders/>
            <w:vAlign w:val="bottom"/>
          </w:tcPr>
          <w:p>
            <w:pPr>
              <w:pStyle w:val="TableContents"/>
              <w:bidi w:val="0"/>
              <w:spacing w:before="0" w:after="283"/>
              <w:jc w:val="left"/>
              <w:rPr/>
            </w:pPr>
            <w:r>
              <w:rPr/>
              <w:t> </w:t>
            </w:r>
          </w:p>
        </w:tc>
      </w:tr>
      <w:tr>
        <w:trPr/>
        <w:tc>
          <w:tcPr>
            <w:tcW w:w="5405" w:type="dxa"/>
            <w:tcBorders/>
            <w:shd w:fill="CCEEFF" w:val="clear"/>
            <w:vAlign w:val="bottom"/>
          </w:tcPr>
          <w:p>
            <w:pPr>
              <w:pStyle w:val="TableContents"/>
              <w:bidi w:val="0"/>
              <w:spacing w:before="0" w:after="0"/>
              <w:ind w:left="324" w:right="0" w:hanging="144"/>
              <w:jc w:val="left"/>
              <w:rPr>
                <w:color w:val="000000"/>
              </w:rPr>
            </w:pPr>
            <w:r>
              <w:rPr>
                <w:color w:val="000000"/>
              </w:rPr>
              <w:t>Fiduciary fees</w:t>
            </w:r>
          </w:p>
        </w:tc>
        <w:tc>
          <w:tcPr>
            <w:tcW w:w="9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0"/>
              <w:jc w:val="right"/>
              <w:rPr>
                <w:color w:val="000000"/>
              </w:rPr>
            </w:pPr>
            <w:r>
              <w:rPr>
                <w:color w:val="000000"/>
              </w:rPr>
              <w:t>789</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0"/>
              <w:jc w:val="right"/>
              <w:rPr>
                <w:color w:val="000000"/>
              </w:rPr>
            </w:pPr>
            <w:r>
              <w:rPr>
                <w:color w:val="000000"/>
              </w:rPr>
              <w:t>738</w:t>
            </w:r>
          </w:p>
        </w:tc>
        <w:tc>
          <w:tcPr>
            <w:tcW w:w="170" w:type="dxa"/>
            <w:tcBorders/>
            <w:shd w:fill="CCEEFF" w:val="clear"/>
            <w:vAlign w:val="bottom"/>
          </w:tcPr>
          <w:p>
            <w:pPr>
              <w:pStyle w:val="TableContents"/>
              <w:bidi w:val="0"/>
              <w:spacing w:before="0" w:after="283"/>
              <w:jc w:val="left"/>
              <w:rPr/>
            </w:pPr>
            <w:r>
              <w:rPr/>
              <w:t> </w:t>
            </w:r>
          </w:p>
        </w:tc>
      </w:tr>
      <w:tr>
        <w:trPr/>
        <w:tc>
          <w:tcPr>
            <w:tcW w:w="5405" w:type="dxa"/>
            <w:tcBorders/>
            <w:vAlign w:val="bottom"/>
          </w:tcPr>
          <w:p>
            <w:pPr>
              <w:pStyle w:val="TableContents"/>
              <w:bidi w:val="0"/>
              <w:spacing w:before="0" w:after="0"/>
              <w:ind w:left="324" w:right="0" w:hanging="144"/>
              <w:jc w:val="left"/>
              <w:rPr>
                <w:color w:val="000000"/>
              </w:rPr>
            </w:pPr>
            <w:r>
              <w:rPr>
                <w:color w:val="000000"/>
              </w:rPr>
              <w:t>Other</w:t>
            </w:r>
          </w:p>
        </w:tc>
        <w:tc>
          <w:tcPr>
            <w:tcW w:w="90" w:type="dxa"/>
            <w:tcBorders/>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562</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1,820</w:t>
            </w:r>
          </w:p>
        </w:tc>
        <w:tc>
          <w:tcPr>
            <w:tcW w:w="170" w:type="dxa"/>
            <w:tcBorders/>
            <w:vAlign w:val="bottom"/>
          </w:tcPr>
          <w:p>
            <w:pPr>
              <w:pStyle w:val="TableContents"/>
              <w:bidi w:val="0"/>
              <w:spacing w:before="0" w:after="283"/>
              <w:jc w:val="left"/>
              <w:rPr/>
            </w:pPr>
            <w:r>
              <w:rPr/>
              <w:t> </w:t>
            </w:r>
          </w:p>
        </w:tc>
      </w:tr>
      <w:tr>
        <w:trPr/>
        <w:tc>
          <w:tcPr>
            <w:tcW w:w="5405" w:type="dxa"/>
            <w:tcBorders/>
            <w:shd w:fill="CCEEFF" w:val="clear"/>
            <w:vAlign w:val="bottom"/>
          </w:tcPr>
          <w:p>
            <w:pPr>
              <w:pStyle w:val="TableContents"/>
              <w:bidi w:val="0"/>
              <w:spacing w:before="0" w:after="0"/>
              <w:ind w:left="684" w:right="0" w:hanging="144"/>
              <w:jc w:val="left"/>
              <w:rPr>
                <w:color w:val="000000"/>
              </w:rPr>
            </w:pPr>
            <w:r>
              <w:rPr>
                <w:color w:val="000000"/>
              </w:rPr>
              <w:t>Total noninterest income</w:t>
            </w:r>
          </w:p>
        </w:tc>
        <w:tc>
          <w:tcPr>
            <w:tcW w:w="90" w:type="dxa"/>
            <w:tcBorders/>
            <w:shd w:fill="CCEEFF" w:val="clear"/>
            <w:vAlign w:val="bottom"/>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11,295</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10,625</w:t>
            </w:r>
          </w:p>
        </w:tc>
        <w:tc>
          <w:tcPr>
            <w:tcW w:w="170" w:type="dxa"/>
            <w:tcBorders/>
            <w:shd w:fill="CCEEFF" w:val="clear"/>
            <w:vAlign w:val="bottom"/>
          </w:tcPr>
          <w:p>
            <w:pPr>
              <w:pStyle w:val="TableContents"/>
              <w:bidi w:val="0"/>
              <w:spacing w:before="0" w:after="283"/>
              <w:jc w:val="left"/>
              <w:rPr/>
            </w:pPr>
            <w:r>
              <w:rPr/>
              <w:t> </w:t>
            </w:r>
          </w:p>
        </w:tc>
      </w:tr>
      <w:tr>
        <w:trPr/>
        <w:tc>
          <w:tcPr>
            <w:tcW w:w="5405" w:type="dxa"/>
            <w:tcBorders/>
            <w:vAlign w:val="bottom"/>
          </w:tcPr>
          <w:p>
            <w:pPr>
              <w:pStyle w:val="TableContents"/>
              <w:bidi w:val="0"/>
              <w:spacing w:before="0" w:after="0"/>
              <w:ind w:left="144" w:right="0" w:hanging="144"/>
              <w:jc w:val="left"/>
              <w:rPr>
                <w:color w:val="000000"/>
              </w:rPr>
            </w:pPr>
            <w:r>
              <w:rPr>
                <w:color w:val="000000"/>
              </w:rPr>
              <w:t>Noninterest expense:</w:t>
            </w:r>
          </w:p>
        </w:tc>
        <w:tc>
          <w:tcPr>
            <w:tcW w:w="9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5405" w:type="dxa"/>
            <w:tcBorders/>
            <w:shd w:fill="CCEEFF" w:val="clear"/>
            <w:vAlign w:val="bottom"/>
          </w:tcPr>
          <w:p>
            <w:pPr>
              <w:pStyle w:val="TableContents"/>
              <w:bidi w:val="0"/>
              <w:spacing w:before="0" w:after="0"/>
              <w:ind w:left="324" w:right="0" w:hanging="144"/>
              <w:jc w:val="left"/>
              <w:rPr>
                <w:color w:val="000000"/>
              </w:rPr>
            </w:pPr>
            <w:r>
              <w:rPr>
                <w:color w:val="000000"/>
              </w:rPr>
              <w:t>Salaries and employee benefits</w:t>
            </w:r>
          </w:p>
        </w:tc>
        <w:tc>
          <w:tcPr>
            <w:tcW w:w="9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0"/>
              <w:jc w:val="right"/>
              <w:rPr>
                <w:color w:val="000000"/>
              </w:rPr>
            </w:pPr>
            <w:r>
              <w:rPr>
                <w:color w:val="000000"/>
              </w:rPr>
              <w:t>20,154</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0"/>
              <w:jc w:val="right"/>
              <w:rPr>
                <w:color w:val="000000"/>
              </w:rPr>
            </w:pPr>
            <w:r>
              <w:rPr>
                <w:color w:val="000000"/>
              </w:rPr>
              <w:t>19,441</w:t>
            </w:r>
          </w:p>
        </w:tc>
        <w:tc>
          <w:tcPr>
            <w:tcW w:w="170" w:type="dxa"/>
            <w:tcBorders/>
            <w:shd w:fill="CCEEFF" w:val="clear"/>
            <w:vAlign w:val="bottom"/>
          </w:tcPr>
          <w:p>
            <w:pPr>
              <w:pStyle w:val="TableContents"/>
              <w:bidi w:val="0"/>
              <w:spacing w:before="0" w:after="283"/>
              <w:jc w:val="left"/>
              <w:rPr/>
            </w:pPr>
            <w:r>
              <w:rPr/>
              <w:t> </w:t>
            </w:r>
          </w:p>
        </w:tc>
      </w:tr>
      <w:tr>
        <w:trPr/>
        <w:tc>
          <w:tcPr>
            <w:tcW w:w="5405" w:type="dxa"/>
            <w:tcBorders/>
            <w:vAlign w:val="bottom"/>
          </w:tcPr>
          <w:p>
            <w:pPr>
              <w:pStyle w:val="TableContents"/>
              <w:bidi w:val="0"/>
              <w:spacing w:before="0" w:after="0"/>
              <w:ind w:left="324" w:right="0" w:hanging="144"/>
              <w:jc w:val="left"/>
              <w:rPr>
                <w:color w:val="000000"/>
              </w:rPr>
            </w:pPr>
            <w:r>
              <w:rPr>
                <w:color w:val="000000"/>
              </w:rPr>
              <w:t>Occupancy and equipment, net</w:t>
            </w:r>
          </w:p>
        </w:tc>
        <w:tc>
          <w:tcPr>
            <w:tcW w:w="9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0"/>
              <w:jc w:val="right"/>
              <w:rPr>
                <w:color w:val="000000"/>
              </w:rPr>
            </w:pPr>
            <w:r>
              <w:rPr>
                <w:color w:val="000000"/>
              </w:rPr>
              <w:t>3,953</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0"/>
              <w:jc w:val="right"/>
              <w:rPr>
                <w:color w:val="000000"/>
              </w:rPr>
            </w:pPr>
            <w:r>
              <w:rPr>
                <w:color w:val="000000"/>
              </w:rPr>
              <w:t>4,027</w:t>
            </w:r>
          </w:p>
        </w:tc>
        <w:tc>
          <w:tcPr>
            <w:tcW w:w="170" w:type="dxa"/>
            <w:tcBorders/>
            <w:vAlign w:val="bottom"/>
          </w:tcPr>
          <w:p>
            <w:pPr>
              <w:pStyle w:val="TableContents"/>
              <w:bidi w:val="0"/>
              <w:spacing w:before="0" w:after="283"/>
              <w:jc w:val="left"/>
              <w:rPr/>
            </w:pPr>
            <w:r>
              <w:rPr/>
              <w:t> </w:t>
            </w:r>
          </w:p>
        </w:tc>
      </w:tr>
      <w:tr>
        <w:trPr/>
        <w:tc>
          <w:tcPr>
            <w:tcW w:w="5405" w:type="dxa"/>
            <w:tcBorders/>
            <w:shd w:fill="CCEEFF" w:val="clear"/>
            <w:vAlign w:val="bottom"/>
          </w:tcPr>
          <w:p>
            <w:pPr>
              <w:pStyle w:val="TableContents"/>
              <w:bidi w:val="0"/>
              <w:spacing w:before="0" w:after="0"/>
              <w:ind w:left="324" w:right="0" w:hanging="144"/>
              <w:jc w:val="left"/>
              <w:rPr>
                <w:color w:val="000000"/>
              </w:rPr>
            </w:pPr>
            <w:r>
              <w:rPr>
                <w:color w:val="000000"/>
              </w:rPr>
              <w:t>Professional services</w:t>
            </w:r>
          </w:p>
        </w:tc>
        <w:tc>
          <w:tcPr>
            <w:tcW w:w="9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0"/>
              <w:jc w:val="right"/>
              <w:rPr>
                <w:color w:val="000000"/>
              </w:rPr>
            </w:pPr>
            <w:r>
              <w:rPr>
                <w:color w:val="000000"/>
              </w:rPr>
              <w:t>2,955</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0"/>
              <w:jc w:val="right"/>
              <w:rPr>
                <w:color w:val="000000"/>
              </w:rPr>
            </w:pPr>
            <w:r>
              <w:rPr>
                <w:color w:val="000000"/>
              </w:rPr>
              <w:t>1,730</w:t>
            </w:r>
          </w:p>
        </w:tc>
        <w:tc>
          <w:tcPr>
            <w:tcW w:w="170" w:type="dxa"/>
            <w:tcBorders/>
            <w:shd w:fill="CCEEFF" w:val="clear"/>
            <w:vAlign w:val="bottom"/>
          </w:tcPr>
          <w:p>
            <w:pPr>
              <w:pStyle w:val="TableContents"/>
              <w:bidi w:val="0"/>
              <w:spacing w:before="0" w:after="283"/>
              <w:jc w:val="left"/>
              <w:rPr/>
            </w:pPr>
            <w:r>
              <w:rPr/>
              <w:t> </w:t>
            </w:r>
          </w:p>
        </w:tc>
      </w:tr>
      <w:tr>
        <w:trPr/>
        <w:tc>
          <w:tcPr>
            <w:tcW w:w="5405" w:type="dxa"/>
            <w:tcBorders/>
            <w:vAlign w:val="bottom"/>
          </w:tcPr>
          <w:p>
            <w:pPr>
              <w:pStyle w:val="TableContents"/>
              <w:bidi w:val="0"/>
              <w:spacing w:before="0" w:after="0"/>
              <w:ind w:left="324" w:right="0" w:hanging="144"/>
              <w:jc w:val="left"/>
              <w:rPr>
                <w:color w:val="000000"/>
              </w:rPr>
            </w:pPr>
            <w:r>
              <w:rPr>
                <w:color w:val="000000"/>
              </w:rPr>
              <w:t>Marketing and development</w:t>
            </w:r>
          </w:p>
        </w:tc>
        <w:tc>
          <w:tcPr>
            <w:tcW w:w="9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0"/>
              <w:jc w:val="right"/>
              <w:rPr>
                <w:color w:val="000000"/>
              </w:rPr>
            </w:pPr>
            <w:r>
              <w:rPr>
                <w:color w:val="000000"/>
              </w:rPr>
              <w:t>1,001</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0"/>
              <w:jc w:val="right"/>
              <w:rPr>
                <w:color w:val="000000"/>
              </w:rPr>
            </w:pPr>
            <w:r>
              <w:rPr>
                <w:color w:val="000000"/>
              </w:rPr>
              <w:t>905</w:t>
            </w:r>
          </w:p>
        </w:tc>
        <w:tc>
          <w:tcPr>
            <w:tcW w:w="170" w:type="dxa"/>
            <w:tcBorders/>
            <w:vAlign w:val="bottom"/>
          </w:tcPr>
          <w:p>
            <w:pPr>
              <w:pStyle w:val="TableContents"/>
              <w:bidi w:val="0"/>
              <w:spacing w:before="0" w:after="283"/>
              <w:jc w:val="left"/>
              <w:rPr/>
            </w:pPr>
            <w:r>
              <w:rPr/>
              <w:t> </w:t>
            </w:r>
          </w:p>
        </w:tc>
      </w:tr>
      <w:tr>
        <w:trPr/>
        <w:tc>
          <w:tcPr>
            <w:tcW w:w="5405" w:type="dxa"/>
            <w:tcBorders/>
            <w:shd w:fill="CCEEFF" w:val="clear"/>
            <w:vAlign w:val="bottom"/>
          </w:tcPr>
          <w:p>
            <w:pPr>
              <w:pStyle w:val="TableContents"/>
              <w:bidi w:val="0"/>
              <w:spacing w:before="0" w:after="0"/>
              <w:ind w:left="324" w:right="0" w:hanging="144"/>
              <w:jc w:val="left"/>
              <w:rPr>
                <w:color w:val="000000"/>
              </w:rPr>
            </w:pPr>
            <w:r>
              <w:rPr>
                <w:color w:val="000000"/>
              </w:rPr>
              <w:t>IT and data services</w:t>
            </w:r>
          </w:p>
        </w:tc>
        <w:tc>
          <w:tcPr>
            <w:tcW w:w="9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0"/>
              <w:jc w:val="right"/>
              <w:rPr>
                <w:color w:val="000000"/>
              </w:rPr>
            </w:pPr>
            <w:r>
              <w:rPr>
                <w:color w:val="000000"/>
              </w:rPr>
              <w:t>1,381</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0"/>
              <w:jc w:val="right"/>
              <w:rPr>
                <w:color w:val="000000"/>
              </w:rPr>
            </w:pPr>
            <w:r>
              <w:rPr>
                <w:color w:val="000000"/>
              </w:rPr>
              <w:t>1,164</w:t>
            </w:r>
          </w:p>
        </w:tc>
        <w:tc>
          <w:tcPr>
            <w:tcW w:w="170" w:type="dxa"/>
            <w:tcBorders/>
            <w:shd w:fill="CCEEFF" w:val="clear"/>
            <w:vAlign w:val="bottom"/>
          </w:tcPr>
          <w:p>
            <w:pPr>
              <w:pStyle w:val="TableContents"/>
              <w:bidi w:val="0"/>
              <w:spacing w:before="0" w:after="283"/>
              <w:jc w:val="left"/>
              <w:rPr/>
            </w:pPr>
            <w:r>
              <w:rPr/>
              <w:t> </w:t>
            </w:r>
          </w:p>
        </w:tc>
      </w:tr>
      <w:tr>
        <w:trPr/>
        <w:tc>
          <w:tcPr>
            <w:tcW w:w="5405" w:type="dxa"/>
            <w:tcBorders/>
            <w:vAlign w:val="bottom"/>
          </w:tcPr>
          <w:p>
            <w:pPr>
              <w:pStyle w:val="TableContents"/>
              <w:bidi w:val="0"/>
              <w:spacing w:before="0" w:after="0"/>
              <w:ind w:left="324" w:right="0" w:hanging="144"/>
              <w:jc w:val="left"/>
              <w:rPr>
                <w:color w:val="000000"/>
              </w:rPr>
            </w:pPr>
            <w:r>
              <w:rPr>
                <w:color w:val="000000"/>
              </w:rPr>
              <w:t>Bank card expenses</w:t>
            </w:r>
          </w:p>
        </w:tc>
        <w:tc>
          <w:tcPr>
            <w:tcW w:w="9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0"/>
              <w:jc w:val="right"/>
              <w:rPr>
                <w:color w:val="000000"/>
              </w:rPr>
            </w:pPr>
            <w:r>
              <w:rPr>
                <w:color w:val="000000"/>
              </w:rPr>
              <w:t>1,608</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0"/>
              <w:jc w:val="right"/>
              <w:rPr>
                <w:color w:val="000000"/>
              </w:rPr>
            </w:pPr>
            <w:r>
              <w:rPr>
                <w:color w:val="000000"/>
              </w:rPr>
              <w:t>1,454</w:t>
            </w:r>
          </w:p>
        </w:tc>
        <w:tc>
          <w:tcPr>
            <w:tcW w:w="170" w:type="dxa"/>
            <w:tcBorders/>
            <w:vAlign w:val="bottom"/>
          </w:tcPr>
          <w:p>
            <w:pPr>
              <w:pStyle w:val="TableContents"/>
              <w:bidi w:val="0"/>
              <w:spacing w:before="0" w:after="283"/>
              <w:jc w:val="left"/>
              <w:rPr/>
            </w:pPr>
            <w:r>
              <w:rPr/>
              <w:t> </w:t>
            </w:r>
          </w:p>
        </w:tc>
      </w:tr>
      <w:tr>
        <w:trPr/>
        <w:tc>
          <w:tcPr>
            <w:tcW w:w="5405" w:type="dxa"/>
            <w:tcBorders/>
            <w:shd w:fill="CCEEFF" w:val="clear"/>
            <w:vAlign w:val="bottom"/>
          </w:tcPr>
          <w:p>
            <w:pPr>
              <w:pStyle w:val="TableContents"/>
              <w:bidi w:val="0"/>
              <w:spacing w:before="0" w:after="0"/>
              <w:ind w:left="324" w:right="0" w:hanging="144"/>
              <w:jc w:val="left"/>
              <w:rPr>
                <w:color w:val="000000"/>
              </w:rPr>
            </w:pPr>
            <w:r>
              <w:rPr>
                <w:color w:val="000000"/>
              </w:rPr>
              <w:t>Other</w:t>
            </w:r>
          </w:p>
        </w:tc>
        <w:tc>
          <w:tcPr>
            <w:tcW w:w="90" w:type="dxa"/>
            <w:tcBorders/>
            <w:shd w:fill="CCEEFF" w:val="clear"/>
            <w:vAlign w:val="bottom"/>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4,474</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4,309</w:t>
            </w:r>
          </w:p>
        </w:tc>
        <w:tc>
          <w:tcPr>
            <w:tcW w:w="170" w:type="dxa"/>
            <w:tcBorders/>
            <w:shd w:fill="CCEEFF" w:val="clear"/>
            <w:vAlign w:val="bottom"/>
          </w:tcPr>
          <w:p>
            <w:pPr>
              <w:pStyle w:val="TableContents"/>
              <w:bidi w:val="0"/>
              <w:spacing w:before="0" w:after="283"/>
              <w:jc w:val="left"/>
              <w:rPr/>
            </w:pPr>
            <w:r>
              <w:rPr/>
              <w:t> </w:t>
            </w:r>
          </w:p>
        </w:tc>
      </w:tr>
      <w:tr>
        <w:trPr/>
        <w:tc>
          <w:tcPr>
            <w:tcW w:w="5405" w:type="dxa"/>
            <w:tcBorders/>
            <w:vAlign w:val="bottom"/>
          </w:tcPr>
          <w:p>
            <w:pPr>
              <w:pStyle w:val="TableContents"/>
              <w:bidi w:val="0"/>
              <w:spacing w:before="0" w:after="0"/>
              <w:ind w:left="684" w:right="0" w:hanging="144"/>
              <w:jc w:val="left"/>
              <w:rPr>
                <w:color w:val="000000"/>
              </w:rPr>
            </w:pPr>
            <w:r>
              <w:rPr>
                <w:color w:val="000000"/>
              </w:rPr>
              <w:t>Total noninterest expense</w:t>
            </w:r>
          </w:p>
        </w:tc>
        <w:tc>
          <w:tcPr>
            <w:tcW w:w="90" w:type="dxa"/>
            <w:tcBorders/>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35,526</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33,030</w:t>
            </w:r>
          </w:p>
        </w:tc>
        <w:tc>
          <w:tcPr>
            <w:tcW w:w="170" w:type="dxa"/>
            <w:tcBorders/>
            <w:vAlign w:val="bottom"/>
          </w:tcPr>
          <w:p>
            <w:pPr>
              <w:pStyle w:val="TableContents"/>
              <w:bidi w:val="0"/>
              <w:spacing w:before="0" w:after="283"/>
              <w:jc w:val="left"/>
              <w:rPr/>
            </w:pPr>
            <w:r>
              <w:rPr/>
              <w:t> </w:t>
            </w:r>
          </w:p>
        </w:tc>
      </w:tr>
      <w:tr>
        <w:trPr/>
        <w:tc>
          <w:tcPr>
            <w:tcW w:w="5405" w:type="dxa"/>
            <w:tcBorders/>
            <w:shd w:fill="CCEEFF" w:val="clear"/>
            <w:vAlign w:val="bottom"/>
          </w:tcPr>
          <w:p>
            <w:pPr>
              <w:pStyle w:val="TableContents"/>
              <w:bidi w:val="0"/>
              <w:spacing w:before="0" w:after="0"/>
              <w:ind w:left="144" w:right="0" w:hanging="144"/>
              <w:jc w:val="left"/>
              <w:rPr>
                <w:color w:val="000000"/>
              </w:rPr>
            </w:pPr>
            <w:r>
              <w:rPr>
                <w:color w:val="000000"/>
              </w:rPr>
              <w:t>Income before income taxes</w:t>
            </w:r>
          </w:p>
        </w:tc>
        <w:tc>
          <w:tcPr>
            <w:tcW w:w="9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0"/>
              <w:jc w:val="right"/>
              <w:rPr>
                <w:color w:val="000000"/>
              </w:rPr>
            </w:pPr>
            <w:r>
              <w:rPr>
                <w:color w:val="000000"/>
              </w:rPr>
              <w:t>18,361</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0"/>
              <w:jc w:val="right"/>
              <w:rPr>
                <w:color w:val="000000"/>
              </w:rPr>
            </w:pPr>
            <w:r>
              <w:rPr>
                <w:color w:val="000000"/>
              </w:rPr>
              <w:t>15,702</w:t>
            </w:r>
          </w:p>
        </w:tc>
        <w:tc>
          <w:tcPr>
            <w:tcW w:w="170" w:type="dxa"/>
            <w:tcBorders/>
            <w:shd w:fill="CCEEFF" w:val="clear"/>
            <w:vAlign w:val="bottom"/>
          </w:tcPr>
          <w:p>
            <w:pPr>
              <w:pStyle w:val="TableContents"/>
              <w:bidi w:val="0"/>
              <w:spacing w:before="0" w:after="283"/>
              <w:jc w:val="left"/>
              <w:rPr/>
            </w:pPr>
            <w:r>
              <w:rPr/>
              <w:t> </w:t>
            </w:r>
          </w:p>
        </w:tc>
      </w:tr>
      <w:tr>
        <w:trPr/>
        <w:tc>
          <w:tcPr>
            <w:tcW w:w="5405" w:type="dxa"/>
            <w:tcBorders/>
            <w:vAlign w:val="bottom"/>
          </w:tcPr>
          <w:p>
            <w:pPr>
              <w:pStyle w:val="TableContents"/>
              <w:bidi w:val="0"/>
              <w:spacing w:before="0" w:after="0"/>
              <w:ind w:left="144" w:right="0" w:hanging="144"/>
              <w:jc w:val="left"/>
              <w:rPr>
                <w:color w:val="000000"/>
              </w:rPr>
            </w:pPr>
            <w:r>
              <w:rPr>
                <w:color w:val="000000"/>
              </w:rPr>
              <w:t>Income tax expense</w:t>
            </w:r>
          </w:p>
        </w:tc>
        <w:tc>
          <w:tcPr>
            <w:tcW w:w="90" w:type="dxa"/>
            <w:tcBorders/>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3,816</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3,408</w:t>
            </w:r>
          </w:p>
        </w:tc>
        <w:tc>
          <w:tcPr>
            <w:tcW w:w="170" w:type="dxa"/>
            <w:tcBorders/>
            <w:vAlign w:val="bottom"/>
          </w:tcPr>
          <w:p>
            <w:pPr>
              <w:pStyle w:val="TableContents"/>
              <w:bidi w:val="0"/>
              <w:spacing w:before="0" w:after="283"/>
              <w:jc w:val="left"/>
              <w:rPr/>
            </w:pPr>
            <w:r>
              <w:rPr/>
              <w:t> </w:t>
            </w:r>
          </w:p>
        </w:tc>
      </w:tr>
      <w:tr>
        <w:trPr/>
        <w:tc>
          <w:tcPr>
            <w:tcW w:w="5405" w:type="dxa"/>
            <w:tcBorders/>
            <w:shd w:fill="CCEEFF" w:val="clear"/>
            <w:vAlign w:val="bottom"/>
          </w:tcPr>
          <w:p>
            <w:pPr>
              <w:pStyle w:val="TableContents"/>
              <w:bidi w:val="0"/>
              <w:spacing w:before="0" w:after="0"/>
              <w:ind w:left="684" w:right="0" w:hanging="144"/>
              <w:jc w:val="left"/>
              <w:rPr>
                <w:color w:val="000000"/>
              </w:rPr>
            </w:pPr>
            <w:r>
              <w:rPr>
                <w:color w:val="000000"/>
              </w:rPr>
              <w:t>Net income</w:t>
            </w:r>
          </w:p>
        </w:tc>
        <w:tc>
          <w:tcPr>
            <w:tcW w:w="90" w:type="dxa"/>
            <w:tcBorders/>
            <w:shd w:fill="CCEEFF" w:val="clear"/>
            <w:vAlign w:val="bottom"/>
          </w:tcPr>
          <w:p>
            <w:pPr>
              <w:pStyle w:val="TableContents"/>
              <w:bidi w:val="0"/>
              <w:spacing w:before="0" w:after="283"/>
              <w:jc w:val="left"/>
              <w:rPr/>
            </w:pPr>
            <w:r>
              <w:rPr/>
              <w:t> </w:t>
            </w:r>
          </w:p>
        </w:tc>
        <w:tc>
          <w:tcPr>
            <w:tcW w:w="19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1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14,545</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9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1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12,294</w:t>
            </w:r>
          </w:p>
        </w:tc>
        <w:tc>
          <w:tcPr>
            <w:tcW w:w="1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28" w:name="z3ce0c5d081574e7cbdc51cc299dff319"/>
      <w:bookmarkStart w:id="29" w:name="z3ce0c5d081574e7cbdc51cc299dff319"/>
      <w:bookmarkEnd w:id="29"/>
    </w:p>
    <w:tbl>
      <w:tblPr>
        <w:tblW w:w="8630" w:type="dxa"/>
        <w:jc w:val="center"/>
        <w:tblInd w:w="0" w:type="dxa"/>
        <w:tblLayout w:type="fixed"/>
        <w:tblCellMar>
          <w:top w:w="0" w:type="dxa"/>
          <w:left w:w="0" w:type="dxa"/>
          <w:bottom w:w="0" w:type="dxa"/>
          <w:right w:w="0" w:type="dxa"/>
        </w:tblCellMar>
      </w:tblPr>
      <w:tblGrid>
        <w:gridCol w:w="6395"/>
        <w:gridCol w:w="90"/>
        <w:gridCol w:w="170"/>
        <w:gridCol w:w="710"/>
        <w:gridCol w:w="125"/>
        <w:gridCol w:w="90"/>
        <w:gridCol w:w="170"/>
        <w:gridCol w:w="710"/>
        <w:gridCol w:w="170"/>
      </w:tblGrid>
      <w:tr>
        <w:trPr/>
        <w:tc>
          <w:tcPr>
            <w:tcW w:w="6395" w:type="dxa"/>
            <w:tcBorders/>
            <w:vAlign w:val="bottom"/>
          </w:tcPr>
          <w:p>
            <w:pPr>
              <w:pStyle w:val="TableContents"/>
              <w:bidi w:val="0"/>
              <w:spacing w:before="0" w:after="0"/>
              <w:ind w:left="144" w:right="0" w:hanging="144"/>
              <w:jc w:val="left"/>
              <w:rPr>
                <w:color w:val="000000"/>
              </w:rPr>
            </w:pPr>
            <w:r>
              <w:rPr>
                <w:color w:val="000000"/>
              </w:rPr>
              <w:t>Earnings per share:</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r>
      <w:tr>
        <w:trPr/>
        <w:tc>
          <w:tcPr>
            <w:tcW w:w="6395" w:type="dxa"/>
            <w:tcBorders/>
            <w:shd w:fill="CCEEFF" w:val="clear"/>
            <w:vAlign w:val="bottom"/>
          </w:tcPr>
          <w:p>
            <w:pPr>
              <w:pStyle w:val="TableContents"/>
              <w:bidi w:val="0"/>
              <w:spacing w:before="0" w:after="0"/>
              <w:ind w:left="324" w:right="0" w:hanging="144"/>
              <w:jc w:val="left"/>
              <w:rPr>
                <w:color w:val="000000"/>
              </w:rPr>
            </w:pPr>
            <w:r>
              <w:rPr>
                <w:color w:val="000000"/>
              </w:rPr>
              <w:t>Basic</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0.89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0.75</w:t>
            </w:r>
          </w:p>
        </w:tc>
        <w:tc>
          <w:tcPr>
            <w:tcW w:w="170" w:type="dxa"/>
            <w:tcBorders/>
            <w:shd w:fill="CCEEFF" w:val="clear"/>
            <w:vAlign w:val="bottom"/>
          </w:tcPr>
          <w:p>
            <w:pPr>
              <w:pStyle w:val="TableContents"/>
              <w:bidi w:val="0"/>
              <w:spacing w:before="0" w:after="283"/>
              <w:jc w:val="left"/>
              <w:rPr/>
            </w:pPr>
            <w:r>
              <w:rPr/>
              <w:t> </w:t>
            </w:r>
          </w:p>
        </w:tc>
      </w:tr>
      <w:tr>
        <w:trPr/>
        <w:tc>
          <w:tcPr>
            <w:tcW w:w="6395" w:type="dxa"/>
            <w:tcBorders/>
            <w:vAlign w:val="bottom"/>
          </w:tcPr>
          <w:p>
            <w:pPr>
              <w:pStyle w:val="TableContents"/>
              <w:bidi w:val="0"/>
              <w:spacing w:before="0" w:after="0"/>
              <w:ind w:left="324" w:right="0" w:hanging="144"/>
              <w:jc w:val="left"/>
              <w:rPr>
                <w:color w:val="000000"/>
              </w:rPr>
            </w:pPr>
            <w:r>
              <w:rPr>
                <w:color w:val="000000"/>
              </w:rPr>
              <w:t>Diluted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710" w:type="dxa"/>
            <w:tcBorders/>
            <w:vAlign w:val="bottom"/>
          </w:tcPr>
          <w:p>
            <w:pPr>
              <w:pStyle w:val="TableContents"/>
              <w:bidi w:val="0"/>
              <w:spacing w:before="0" w:after="0"/>
              <w:jc w:val="right"/>
              <w:rPr>
                <w:color w:val="000000"/>
              </w:rPr>
            </w:pPr>
            <w:r>
              <w:rPr>
                <w:color w:val="000000"/>
              </w:rPr>
              <w:t>0.85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710" w:type="dxa"/>
            <w:tcBorders/>
            <w:vAlign w:val="bottom"/>
          </w:tcPr>
          <w:p>
            <w:pPr>
              <w:pStyle w:val="TableContents"/>
              <w:bidi w:val="0"/>
              <w:spacing w:before="0" w:after="0"/>
              <w:jc w:val="right"/>
              <w:rPr>
                <w:color w:val="000000"/>
              </w:rPr>
            </w:pPr>
            <w:r>
              <w:rPr>
                <w:color w:val="000000"/>
              </w:rPr>
              <w:t>0.72</w:t>
            </w:r>
          </w:p>
        </w:tc>
        <w:tc>
          <w:tcPr>
            <w:tcW w:w="170" w:type="dxa"/>
            <w:tcBorders/>
            <w:vAlign w:val="bottom"/>
          </w:tcPr>
          <w:p>
            <w:pPr>
              <w:pStyle w:val="TableContents"/>
              <w:bidi w:val="0"/>
              <w:spacing w:before="0" w:after="283"/>
              <w:jc w:val="left"/>
              <w:rPr/>
            </w:pPr>
            <w:r>
              <w:rPr/>
              <w:t> </w:t>
            </w:r>
          </w:p>
        </w:tc>
      </w:tr>
      <w:tr>
        <w:trPr/>
        <w:tc>
          <w:tcPr>
            <w:tcW w:w="639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6395" w:type="dxa"/>
            <w:tcBorders/>
            <w:vAlign w:val="bottom"/>
          </w:tcPr>
          <w:p>
            <w:pPr>
              <w:pStyle w:val="TableContents"/>
              <w:bidi w:val="0"/>
              <w:spacing w:before="0" w:after="0"/>
              <w:ind w:left="144" w:right="0" w:hanging="144"/>
              <w:jc w:val="left"/>
              <w:rPr>
                <w:color w:val="000000"/>
              </w:rPr>
            </w:pPr>
            <w:r>
              <w:rPr>
                <w:color w:val="000000"/>
              </w:rPr>
              <w:t>Net income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710" w:type="dxa"/>
            <w:tcBorders/>
            <w:vAlign w:val="bottom"/>
          </w:tcPr>
          <w:p>
            <w:pPr>
              <w:pStyle w:val="TableContents"/>
              <w:bidi w:val="0"/>
              <w:spacing w:before="0" w:after="0"/>
              <w:jc w:val="right"/>
              <w:rPr>
                <w:color w:val="000000"/>
              </w:rPr>
            </w:pPr>
            <w:r>
              <w:rPr>
                <w:color w:val="000000"/>
              </w:rPr>
              <w:t>14,545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710" w:type="dxa"/>
            <w:tcBorders/>
            <w:vAlign w:val="bottom"/>
          </w:tcPr>
          <w:p>
            <w:pPr>
              <w:pStyle w:val="TableContents"/>
              <w:bidi w:val="0"/>
              <w:spacing w:before="0" w:after="0"/>
              <w:jc w:val="right"/>
              <w:rPr>
                <w:color w:val="000000"/>
              </w:rPr>
            </w:pPr>
            <w:r>
              <w:rPr>
                <w:color w:val="000000"/>
              </w:rPr>
              <w:t>12,294</w:t>
            </w:r>
          </w:p>
        </w:tc>
        <w:tc>
          <w:tcPr>
            <w:tcW w:w="170" w:type="dxa"/>
            <w:tcBorders/>
            <w:vAlign w:val="bottom"/>
          </w:tcPr>
          <w:p>
            <w:pPr>
              <w:pStyle w:val="TableContents"/>
              <w:bidi w:val="0"/>
              <w:spacing w:before="0" w:after="283"/>
              <w:jc w:val="left"/>
              <w:rPr/>
            </w:pPr>
            <w:r>
              <w:rPr/>
              <w:t> </w:t>
            </w:r>
          </w:p>
        </w:tc>
      </w:tr>
      <w:tr>
        <w:trPr/>
        <w:tc>
          <w:tcPr>
            <w:tcW w:w="6395" w:type="dxa"/>
            <w:tcBorders/>
            <w:shd w:fill="CCEEFF" w:val="clear"/>
            <w:vAlign w:val="bottom"/>
          </w:tcPr>
          <w:p>
            <w:pPr>
              <w:pStyle w:val="TableContents"/>
              <w:bidi w:val="0"/>
              <w:spacing w:before="0" w:after="0"/>
              <w:ind w:left="144" w:right="0" w:hanging="144"/>
              <w:jc w:val="left"/>
              <w:rPr>
                <w:color w:val="000000"/>
              </w:rPr>
            </w:pPr>
            <w:r>
              <w:rPr>
                <w:color w:val="000000"/>
              </w:rPr>
              <w:t>Other comprehensive income (loss):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6395" w:type="dxa"/>
            <w:tcBorders/>
            <w:vAlign w:val="bottom"/>
          </w:tcPr>
          <w:p>
            <w:pPr>
              <w:pStyle w:val="TableContents"/>
              <w:bidi w:val="0"/>
              <w:spacing w:before="0" w:after="0"/>
              <w:ind w:left="324" w:right="0" w:hanging="144"/>
              <w:jc w:val="left"/>
              <w:rPr>
                <w:color w:val="000000"/>
              </w:rPr>
            </w:pPr>
            <w:r>
              <w:rPr>
                <w:color w:val="000000"/>
              </w:rPr>
              <w:t>Unrealized gains (losses) on securities available for sale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(1,112</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5,640</w:t>
            </w:r>
          </w:p>
        </w:tc>
        <w:tc>
          <w:tcPr>
            <w:tcW w:w="170" w:type="dxa"/>
            <w:tcBorders/>
            <w:vAlign w:val="bottom"/>
          </w:tcPr>
          <w:p>
            <w:pPr>
              <w:pStyle w:val="TableContents"/>
              <w:bidi w:val="0"/>
              <w:spacing w:before="0" w:after="283"/>
              <w:jc w:val="left"/>
              <w:rPr/>
            </w:pPr>
            <w:r>
              <w:rPr/>
              <w:t> </w:t>
            </w:r>
          </w:p>
        </w:tc>
      </w:tr>
      <w:tr>
        <w:trPr/>
        <w:tc>
          <w:tcPr>
            <w:tcW w:w="6395" w:type="dxa"/>
            <w:tcBorders/>
            <w:shd w:fill="CCEEFF" w:val="clear"/>
            <w:vAlign w:val="bottom"/>
          </w:tcPr>
          <w:p>
            <w:pPr>
              <w:pStyle w:val="TableContents"/>
              <w:bidi w:val="0"/>
              <w:spacing w:before="0" w:after="0"/>
              <w:ind w:left="324" w:right="0" w:hanging="144"/>
              <w:jc w:val="left"/>
              <w:rPr>
                <w:color w:val="000000"/>
              </w:rPr>
            </w:pPr>
            <w:r>
              <w:rPr>
                <w:color w:val="000000"/>
              </w:rPr>
              <w:t>Less: Change in fair value on hedged state and municipal securities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(26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(2,252</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6395" w:type="dxa"/>
            <w:tcBorders/>
            <w:vAlign w:val="bottom"/>
          </w:tcPr>
          <w:p>
            <w:pPr>
              <w:pStyle w:val="TableContents"/>
              <w:bidi w:val="0"/>
              <w:spacing w:before="0" w:after="0"/>
              <w:ind w:left="324" w:right="0" w:hanging="144"/>
              <w:jc w:val="left"/>
              <w:rPr>
                <w:color w:val="000000"/>
              </w:rPr>
            </w:pPr>
            <w:r>
              <w:rPr>
                <w:color w:val="000000"/>
              </w:rPr>
              <w:t>Tax effect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(711</w:t>
            </w:r>
          </w:p>
        </w:tc>
        <w:tc>
          <w:tcPr>
            <w:tcW w:w="170" w:type="dxa"/>
            <w:tcBorders/>
            <w:vAlign w:val="bottom"/>
          </w:tcPr>
          <w:p>
            <w:pPr>
              <w:pStyle w:val="TableContents"/>
              <w:bidi w:val="0"/>
              <w:spacing w:before="0" w:after="0"/>
              <w:jc w:val="left"/>
              <w:rPr>
                <w:color w:val="000000"/>
              </w:rPr>
            </w:pPr>
            <w:r>
              <w:rPr>
                <w:color w:val="000000"/>
              </w:rPr>
              <w:t>)</w:t>
            </w:r>
          </w:p>
        </w:tc>
      </w:tr>
      <w:tr>
        <w:trPr/>
        <w:tc>
          <w:tcPr>
            <w:tcW w:w="6395" w:type="dxa"/>
            <w:tcBorders/>
            <w:shd w:fill="CCEEFF" w:val="clear"/>
            <w:vAlign w:val="bottom"/>
          </w:tcPr>
          <w:p>
            <w:pPr>
              <w:pStyle w:val="TableContents"/>
              <w:bidi w:val="0"/>
              <w:spacing w:before="0" w:after="0"/>
              <w:ind w:left="504" w:right="0" w:hanging="144"/>
              <w:jc w:val="left"/>
              <w:rPr>
                <w:color w:val="000000"/>
              </w:rPr>
            </w:pPr>
            <w:r>
              <w:rPr>
                <w:color w:val="000000"/>
              </w:rPr>
              <w:t>Other comprehensive income (loss)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(899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2,677</w:t>
            </w:r>
          </w:p>
        </w:tc>
        <w:tc>
          <w:tcPr>
            <w:tcW w:w="170" w:type="dxa"/>
            <w:tcBorders/>
            <w:shd w:fill="CCEEFF" w:val="clear"/>
            <w:vAlign w:val="bottom"/>
          </w:tcPr>
          <w:p>
            <w:pPr>
              <w:pStyle w:val="TableContents"/>
              <w:bidi w:val="0"/>
              <w:spacing w:before="0" w:after="283"/>
              <w:jc w:val="left"/>
              <w:rPr/>
            </w:pPr>
            <w:r>
              <w:rPr/>
              <w:t> </w:t>
            </w:r>
          </w:p>
        </w:tc>
      </w:tr>
      <w:tr>
        <w:trPr/>
        <w:tc>
          <w:tcPr>
            <w:tcW w:w="6395" w:type="dxa"/>
            <w:tcBorders/>
            <w:vAlign w:val="bottom"/>
          </w:tcPr>
          <w:p>
            <w:pPr>
              <w:pStyle w:val="TableContents"/>
              <w:bidi w:val="0"/>
              <w:spacing w:before="0" w:after="0"/>
              <w:ind w:left="684" w:right="0" w:hanging="144"/>
              <w:jc w:val="left"/>
              <w:rPr>
                <w:color w:val="000000"/>
              </w:rPr>
            </w:pPr>
            <w:r>
              <w:rPr>
                <w:color w:val="000000"/>
              </w:rPr>
              <w:t>Comprehensive income</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13,646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14,971</w:t>
            </w:r>
          </w:p>
        </w:tc>
        <w:tc>
          <w:tcPr>
            <w:tcW w:w="170" w:type="dxa"/>
            <w:tcBorders/>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SOUTH PLAINS FINANCIAL, INC. AND SUBSIDIARIES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CONSOLIDATED STATEMENTS OF</w:t>
      </w:r>
      <w:bookmarkStart w:id="30" w:name="CHANGESINSTOCKHOLDERSEQUI"/>
      <w:bookmarkEnd w:id="30"/>
      <w:r>
        <w:rPr>
          <w:rFonts w:ascii="Times New Roman" w:hAnsi="Times New Roman"/>
          <w:b/>
          <w:color w:val="000000"/>
          <w:sz w:val="20"/>
          <w:shd w:fill="FFFFFF" w:val="clear"/>
        </w:rPr>
        <w:t xml:space="preserve"> CHANGES IN STOCKHOLDERS’ EQUITY</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(Dollars in thousands, except per share data)</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31" w:name="z09ef2305a9a44f53bb193ef8f8be7208"/>
      <w:bookmarkStart w:id="32" w:name="z09ef2305a9a44f53bb193ef8f8be7208"/>
      <w:bookmarkEnd w:id="32"/>
    </w:p>
    <w:tbl>
      <w:tblPr>
        <w:tblW w:w="10205" w:type="dxa"/>
        <w:jc w:val="center"/>
        <w:tblInd w:w="0" w:type="dxa"/>
        <w:tblLayout w:type="fixed"/>
        <w:tblCellMar>
          <w:top w:w="0" w:type="dxa"/>
          <w:left w:w="0" w:type="dxa"/>
          <w:bottom w:w="0" w:type="dxa"/>
          <w:right w:w="0" w:type="dxa"/>
        </w:tblCellMar>
      </w:tblPr>
      <w:tblGrid>
        <w:gridCol w:w="1990"/>
        <w:gridCol w:w="90"/>
        <w:gridCol w:w="90"/>
        <w:gridCol w:w="1130"/>
        <w:gridCol w:w="125"/>
        <w:gridCol w:w="90"/>
        <w:gridCol w:w="171"/>
        <w:gridCol w:w="719"/>
        <w:gridCol w:w="125"/>
        <w:gridCol w:w="90"/>
        <w:gridCol w:w="218"/>
        <w:gridCol w:w="912"/>
        <w:gridCol w:w="125"/>
        <w:gridCol w:w="90"/>
        <w:gridCol w:w="170"/>
        <w:gridCol w:w="830"/>
        <w:gridCol w:w="125"/>
        <w:gridCol w:w="90"/>
        <w:gridCol w:w="291"/>
        <w:gridCol w:w="1349"/>
        <w:gridCol w:w="125"/>
        <w:gridCol w:w="90"/>
        <w:gridCol w:w="170"/>
        <w:gridCol w:w="830"/>
        <w:gridCol w:w="170"/>
      </w:tblGrid>
      <w:tr>
        <w:trPr/>
        <w:tc>
          <w:tcPr>
            <w:tcW w:w="19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2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Common Stock</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0"/>
              <w:jc w:val="center"/>
              <w:rPr>
                <w:b/>
                <w:color w:val="000000"/>
              </w:rPr>
            </w:pPr>
            <w:r>
              <w:rPr>
                <w:b/>
                <w:color w:val="000000"/>
              </w:rPr>
              <w:t>Additional</w:t>
            </w:r>
          </w:p>
          <w:p>
            <w:pPr>
              <w:pStyle w:val="TableContents"/>
              <w:bidi w:val="0"/>
              <w:spacing w:before="0" w:after="0"/>
              <w:jc w:val="center"/>
              <w:rPr>
                <w:b/>
                <w:color w:val="000000"/>
              </w:rPr>
            </w:pPr>
            <w:r>
              <w:rPr>
                <w:b/>
                <w:color w:val="000000"/>
              </w:rPr>
              <w:t>Paid-in</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0"/>
              <w:jc w:val="center"/>
              <w:rPr>
                <w:b/>
                <w:color w:val="000000"/>
              </w:rPr>
            </w:pPr>
            <w:r>
              <w:rPr>
                <w:b/>
                <w:color w:val="000000"/>
              </w:rPr>
              <w:t>Retained</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0" w:type="dxa"/>
            <w:gridSpan w:val="2"/>
            <w:tcBorders/>
            <w:vAlign w:val="bottom"/>
          </w:tcPr>
          <w:p>
            <w:pPr>
              <w:pStyle w:val="TableContents"/>
              <w:bidi w:val="0"/>
              <w:spacing w:before="0" w:after="0"/>
              <w:jc w:val="center"/>
              <w:rPr>
                <w:b/>
                <w:color w:val="000000"/>
              </w:rPr>
            </w:pPr>
            <w:r>
              <w:rPr>
                <w:b/>
                <w:color w:val="000000"/>
              </w:rPr>
              <w:t>Accumulated</w:t>
            </w:r>
          </w:p>
          <w:p>
            <w:pPr>
              <w:pStyle w:val="TableContents"/>
              <w:bidi w:val="0"/>
              <w:spacing w:before="0" w:after="0"/>
              <w:jc w:val="center"/>
              <w:rPr>
                <w:b/>
                <w:color w:val="000000"/>
              </w:rPr>
            </w:pPr>
            <w:r>
              <w:rPr>
                <w:b/>
                <w:color w:val="000000"/>
              </w:rPr>
              <w:t>Other</w:t>
            </w:r>
          </w:p>
          <w:p>
            <w:pPr>
              <w:pStyle w:val="TableContents"/>
              <w:bidi w:val="0"/>
              <w:spacing w:before="0" w:after="0"/>
              <w:jc w:val="center"/>
              <w:rPr>
                <w:b/>
                <w:color w:val="000000"/>
              </w:rPr>
            </w:pPr>
            <w:r>
              <w:rPr>
                <w:b/>
                <w:color w:val="000000"/>
              </w:rPr>
              <w:t>Comprehensive</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r>
      <w:tr>
        <w:trPr/>
        <w:tc>
          <w:tcPr>
            <w:tcW w:w="19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Shares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Capital</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Earnings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Loss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70" w:type="dxa"/>
            <w:tcBorders/>
            <w:vAlign w:val="bottom"/>
          </w:tcPr>
          <w:p>
            <w:pPr>
              <w:pStyle w:val="TableContents"/>
              <w:bidi w:val="0"/>
              <w:spacing w:before="0" w:after="283"/>
              <w:jc w:val="left"/>
              <w:rPr/>
            </w:pPr>
            <w:r>
              <w:rPr/>
              <w:t> </w:t>
            </w:r>
          </w:p>
        </w:tc>
      </w:tr>
      <w:tr>
        <w:trPr/>
        <w:tc>
          <w:tcPr>
            <w:tcW w:w="1990" w:type="dxa"/>
            <w:tcBorders/>
            <w:vAlign w:val="bottom"/>
          </w:tcPr>
          <w:p>
            <w:pPr>
              <w:pStyle w:val="TableContents"/>
              <w:bidi w:val="0"/>
              <w:spacing w:before="0" w:after="0"/>
              <w:ind w:left="144" w:right="0" w:hanging="144"/>
              <w:jc w:val="left"/>
              <w:rPr>
                <w:b/>
                <w:color w:val="000000"/>
              </w:rPr>
            </w:pPr>
            <w:r>
              <w:rPr>
                <w:b/>
                <w:color w:val="000000"/>
              </w:rPr>
              <w:t>Three Months Ended March 31, 2025</w:t>
            </w:r>
          </w:p>
        </w:tc>
        <w:tc>
          <w:tcPr>
            <w:tcW w:w="9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r>
      <w:tr>
        <w:trPr/>
        <w:tc>
          <w:tcPr>
            <w:tcW w:w="1990" w:type="dxa"/>
            <w:tcBorders/>
            <w:shd w:fill="CCEEFF" w:val="clear"/>
            <w:vAlign w:val="bottom"/>
          </w:tcPr>
          <w:p>
            <w:pPr>
              <w:pStyle w:val="TableContents"/>
              <w:bidi w:val="0"/>
              <w:spacing w:before="0" w:after="0"/>
              <w:ind w:left="144" w:right="0" w:hanging="144"/>
              <w:jc w:val="left"/>
              <w:rPr>
                <w:color w:val="000000"/>
              </w:rPr>
            </w:pPr>
            <w:r>
              <w:rPr>
                <w:color w:val="000000"/>
              </w:rPr>
              <w:t>Balance at beginning of period</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16,455,826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719" w:type="dxa"/>
            <w:tcBorders/>
            <w:shd w:fill="CCEEFF" w:val="clear"/>
            <w:vAlign w:val="bottom"/>
          </w:tcPr>
          <w:p>
            <w:pPr>
              <w:pStyle w:val="TableContents"/>
              <w:bidi w:val="0"/>
              <w:spacing w:before="0" w:after="0"/>
              <w:jc w:val="right"/>
              <w:rPr>
                <w:color w:val="000000"/>
              </w:rPr>
            </w:pPr>
            <w:r>
              <w:rPr>
                <w:color w:val="000000"/>
              </w:rPr>
              <w:t>16,456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0"/>
              <w:jc w:val="left"/>
              <w:rPr>
                <w:color w:val="000000"/>
              </w:rPr>
            </w:pPr>
            <w:r>
              <w:rPr>
                <w:color w:val="000000"/>
              </w:rPr>
              <w:t>$</w:t>
            </w:r>
          </w:p>
        </w:tc>
        <w:tc>
          <w:tcPr>
            <w:tcW w:w="912" w:type="dxa"/>
            <w:tcBorders/>
            <w:shd w:fill="CCEEFF" w:val="clear"/>
            <w:vAlign w:val="bottom"/>
          </w:tcPr>
          <w:p>
            <w:pPr>
              <w:pStyle w:val="TableContents"/>
              <w:bidi w:val="0"/>
              <w:spacing w:before="0" w:after="0"/>
              <w:jc w:val="right"/>
              <w:rPr>
                <w:color w:val="000000"/>
              </w:rPr>
            </w:pPr>
            <w:r>
              <w:rPr>
                <w:color w:val="000000"/>
              </w:rPr>
              <w:t>97,287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385,827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0"/>
              <w:jc w:val="left"/>
              <w:rPr>
                <w:color w:val="000000"/>
              </w:rPr>
            </w:pPr>
            <w:r>
              <w:rPr>
                <w:color w:val="000000"/>
              </w:rPr>
              <w:t>$</w:t>
            </w:r>
          </w:p>
        </w:tc>
        <w:tc>
          <w:tcPr>
            <w:tcW w:w="1349" w:type="dxa"/>
            <w:tcBorders/>
            <w:shd w:fill="CCEEFF" w:val="clear"/>
            <w:vAlign w:val="bottom"/>
          </w:tcPr>
          <w:p>
            <w:pPr>
              <w:pStyle w:val="TableContents"/>
              <w:bidi w:val="0"/>
              <w:spacing w:before="0" w:after="0"/>
              <w:jc w:val="right"/>
              <w:rPr>
                <w:color w:val="000000"/>
              </w:rPr>
            </w:pPr>
            <w:r>
              <w:rPr>
                <w:color w:val="000000"/>
              </w:rPr>
              <w:t>(60,621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438,949</w:t>
            </w:r>
          </w:p>
        </w:tc>
        <w:tc>
          <w:tcPr>
            <w:tcW w:w="170" w:type="dxa"/>
            <w:tcBorders/>
            <w:shd w:fill="CCEEFF" w:val="clear"/>
            <w:vAlign w:val="bottom"/>
          </w:tcPr>
          <w:p>
            <w:pPr>
              <w:pStyle w:val="TableContents"/>
              <w:bidi w:val="0"/>
              <w:spacing w:before="0" w:after="283"/>
              <w:jc w:val="left"/>
              <w:rPr/>
            </w:pPr>
            <w:r>
              <w:rPr/>
              <w:t> </w:t>
            </w:r>
          </w:p>
        </w:tc>
      </w:tr>
      <w:tr>
        <w:trPr/>
        <w:tc>
          <w:tcPr>
            <w:tcW w:w="1990" w:type="dxa"/>
            <w:tcBorders/>
            <w:vAlign w:val="bottom"/>
          </w:tcPr>
          <w:p>
            <w:pPr>
              <w:pStyle w:val="TableContents"/>
              <w:bidi w:val="0"/>
              <w:spacing w:before="0" w:after="0"/>
              <w:ind w:left="144" w:right="0" w:hanging="144"/>
              <w:jc w:val="left"/>
              <w:rPr>
                <w:color w:val="000000"/>
              </w:rPr>
            </w:pPr>
            <w:r>
              <w:rPr>
                <w:color w:val="000000"/>
              </w:rPr>
              <w:t>Net income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12,294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12,294</w:t>
            </w:r>
          </w:p>
        </w:tc>
        <w:tc>
          <w:tcPr>
            <w:tcW w:w="170" w:type="dxa"/>
            <w:tcBorders/>
            <w:vAlign w:val="bottom"/>
          </w:tcPr>
          <w:p>
            <w:pPr>
              <w:pStyle w:val="TableContents"/>
              <w:bidi w:val="0"/>
              <w:spacing w:before="0" w:after="283"/>
              <w:jc w:val="left"/>
              <w:rPr/>
            </w:pPr>
            <w:r>
              <w:rPr/>
              <w:t> </w:t>
            </w:r>
          </w:p>
        </w:tc>
      </w:tr>
      <w:tr>
        <w:trPr/>
        <w:tc>
          <w:tcPr>
            <w:tcW w:w="1990" w:type="dxa"/>
            <w:tcBorders/>
            <w:shd w:fill="CCEEFF" w:val="clear"/>
            <w:vAlign w:val="bottom"/>
          </w:tcPr>
          <w:p>
            <w:pPr>
              <w:pStyle w:val="TableContents"/>
              <w:bidi w:val="0"/>
              <w:spacing w:before="0" w:after="0"/>
              <w:ind w:left="144" w:right="0" w:hanging="144"/>
              <w:jc w:val="left"/>
              <w:rPr>
                <w:color w:val="000000"/>
              </w:rPr>
            </w:pPr>
            <w:r>
              <w:rPr>
                <w:color w:val="000000"/>
              </w:rPr>
              <w:t>Cash dividends declared - $0.15 per share</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(2,469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(2,469</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1990" w:type="dxa"/>
            <w:tcBorders/>
            <w:vAlign w:val="bottom"/>
          </w:tcPr>
          <w:p>
            <w:pPr>
              <w:pStyle w:val="TableContents"/>
              <w:bidi w:val="0"/>
              <w:spacing w:before="0" w:after="0"/>
              <w:ind w:left="144" w:right="0" w:hanging="144"/>
              <w:jc w:val="left"/>
              <w:rPr>
                <w:color w:val="000000"/>
              </w:rPr>
            </w:pPr>
            <w:r>
              <w:rPr>
                <w:color w:val="000000"/>
              </w:rPr>
              <w:t>Other comprehensive income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0"/>
              <w:jc w:val="right"/>
              <w:rPr>
                <w:color w:val="000000"/>
              </w:rPr>
            </w:pPr>
            <w:r>
              <w:rPr>
                <w:color w:val="000000"/>
              </w:rPr>
              <w:t>2,677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2,677</w:t>
            </w:r>
          </w:p>
        </w:tc>
        <w:tc>
          <w:tcPr>
            <w:tcW w:w="170" w:type="dxa"/>
            <w:tcBorders/>
            <w:vAlign w:val="bottom"/>
          </w:tcPr>
          <w:p>
            <w:pPr>
              <w:pStyle w:val="TableContents"/>
              <w:bidi w:val="0"/>
              <w:spacing w:before="0" w:after="283"/>
              <w:jc w:val="left"/>
              <w:rPr/>
            </w:pPr>
            <w:r>
              <w:rPr/>
              <w:t> </w:t>
            </w:r>
          </w:p>
        </w:tc>
      </w:tr>
      <w:tr>
        <w:trPr/>
        <w:tc>
          <w:tcPr>
            <w:tcW w:w="1990" w:type="dxa"/>
            <w:tcBorders/>
            <w:shd w:fill="CCEEFF" w:val="clear"/>
            <w:vAlign w:val="bottom"/>
          </w:tcPr>
          <w:p>
            <w:pPr>
              <w:pStyle w:val="TableContents"/>
              <w:bidi w:val="0"/>
              <w:spacing w:before="0" w:after="0"/>
              <w:ind w:left="144" w:right="0" w:hanging="144"/>
              <w:jc w:val="left"/>
              <w:rPr>
                <w:color w:val="000000"/>
              </w:rPr>
            </w:pPr>
            <w:r>
              <w:rPr>
                <w:color w:val="000000"/>
              </w:rPr>
              <w:t>Net issuance of stock related to stock-based awards</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21,107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21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0"/>
              <w:jc w:val="right"/>
              <w:rPr>
                <w:color w:val="000000"/>
              </w:rPr>
            </w:pPr>
            <w:r>
              <w:rPr>
                <w:color w:val="000000"/>
              </w:rPr>
              <w:t>(283</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(262</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1990" w:type="dxa"/>
            <w:tcBorders/>
            <w:vAlign w:val="bottom"/>
          </w:tcPr>
          <w:p>
            <w:pPr>
              <w:pStyle w:val="TableContents"/>
              <w:bidi w:val="0"/>
              <w:spacing w:before="0" w:after="0"/>
              <w:ind w:left="144" w:right="0" w:hanging="144"/>
              <w:jc w:val="left"/>
              <w:rPr>
                <w:color w:val="000000"/>
              </w:rPr>
            </w:pPr>
            <w:r>
              <w:rPr>
                <w:color w:val="000000"/>
              </w:rPr>
              <w:t>Stock issued under employee stock purchase plan</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8,714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0"/>
              <w:jc w:val="right"/>
              <w:rPr>
                <w:color w:val="000000"/>
              </w:rPr>
            </w:pPr>
            <w:r>
              <w:rPr>
                <w:color w:val="000000"/>
              </w:rPr>
              <w:t>226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235</w:t>
            </w:r>
          </w:p>
        </w:tc>
        <w:tc>
          <w:tcPr>
            <w:tcW w:w="170" w:type="dxa"/>
            <w:tcBorders/>
            <w:vAlign w:val="bottom"/>
          </w:tcPr>
          <w:p>
            <w:pPr>
              <w:pStyle w:val="TableContents"/>
              <w:bidi w:val="0"/>
              <w:spacing w:before="0" w:after="283"/>
              <w:jc w:val="left"/>
              <w:rPr/>
            </w:pPr>
            <w:r>
              <w:rPr/>
              <w:t> </w:t>
            </w:r>
          </w:p>
        </w:tc>
      </w:tr>
      <w:tr>
        <w:trPr/>
        <w:tc>
          <w:tcPr>
            <w:tcW w:w="1990" w:type="dxa"/>
            <w:tcBorders/>
            <w:shd w:fill="CCEEFF" w:val="clear"/>
            <w:vAlign w:val="bottom"/>
          </w:tcPr>
          <w:p>
            <w:pPr>
              <w:pStyle w:val="TableContents"/>
              <w:bidi w:val="0"/>
              <w:spacing w:before="0" w:after="0"/>
              <w:ind w:left="144" w:right="0" w:hanging="144"/>
              <w:jc w:val="left"/>
              <w:rPr>
                <w:color w:val="000000"/>
              </w:rPr>
            </w:pPr>
            <w:r>
              <w:rPr>
                <w:color w:val="000000"/>
              </w:rPr>
              <w:t>Repurchases of common stock</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(250,000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(250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0"/>
              <w:jc w:val="right"/>
              <w:rPr>
                <w:color w:val="000000"/>
              </w:rPr>
            </w:pPr>
            <w:r>
              <w:rPr>
                <w:color w:val="000000"/>
              </w:rPr>
              <w:t>(8,000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(8,250</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1990" w:type="dxa"/>
            <w:tcBorders/>
            <w:vAlign w:val="bottom"/>
          </w:tcPr>
          <w:p>
            <w:pPr>
              <w:pStyle w:val="TableContents"/>
              <w:bidi w:val="0"/>
              <w:spacing w:before="0" w:after="0"/>
              <w:ind w:left="144" w:right="0" w:hanging="144"/>
              <w:jc w:val="left"/>
              <w:rPr>
                <w:color w:val="000000"/>
              </w:rPr>
            </w:pPr>
            <w:r>
              <w:rPr>
                <w:color w:val="000000"/>
              </w:rPr>
              <w:t>Stock-based compensation</w:t>
            </w:r>
          </w:p>
        </w:tc>
        <w:tc>
          <w:tcPr>
            <w:tcW w:w="90" w:type="dxa"/>
            <w:tcBorders/>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bottom w:val="single" w:sz="12" w:space="0" w:color="000000"/>
            </w:tcBorders>
            <w:tcMar>
              <w:bottom w:w="28" w:type="dxa"/>
            </w:tcMar>
            <w:vAlign w:val="bottom"/>
          </w:tcPr>
          <w:p>
            <w:pPr>
              <w:pStyle w:val="TableContents"/>
              <w:bidi w:val="0"/>
              <w:spacing w:before="0" w:after="283"/>
              <w:jc w:val="left"/>
              <w:rPr/>
            </w:pPr>
            <w:r>
              <w:rPr/>
              <w:t> </w:t>
            </w:r>
          </w:p>
        </w:tc>
        <w:tc>
          <w:tcPr>
            <w:tcW w:w="7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8" w:type="dxa"/>
            <w:tcBorders>
              <w:bottom w:val="single" w:sz="12" w:space="0" w:color="000000"/>
            </w:tcBorders>
            <w:tcMar>
              <w:bottom w:w="28" w:type="dxa"/>
            </w:tcMar>
            <w:vAlign w:val="bottom"/>
          </w:tcPr>
          <w:p>
            <w:pPr>
              <w:pStyle w:val="TableContents"/>
              <w:bidi w:val="0"/>
              <w:spacing w:before="0" w:after="283"/>
              <w:jc w:val="left"/>
              <w:rPr/>
            </w:pPr>
            <w:r>
              <w:rPr/>
              <w:t> </w:t>
            </w:r>
          </w:p>
        </w:tc>
        <w:tc>
          <w:tcPr>
            <w:tcW w:w="91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569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1" w:type="dxa"/>
            <w:tcBorders>
              <w:bottom w:val="single" w:sz="12" w:space="0" w:color="000000"/>
            </w:tcBorders>
            <w:tcMar>
              <w:bottom w:w="28" w:type="dxa"/>
            </w:tcMar>
            <w:vAlign w:val="bottom"/>
          </w:tcPr>
          <w:p>
            <w:pPr>
              <w:pStyle w:val="TableContents"/>
              <w:bidi w:val="0"/>
              <w:spacing w:before="0" w:after="283"/>
              <w:jc w:val="left"/>
              <w:rPr/>
            </w:pPr>
            <w:r>
              <w:rPr/>
              <w:t> </w:t>
            </w:r>
          </w:p>
        </w:tc>
        <w:tc>
          <w:tcPr>
            <w:tcW w:w="134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569</w:t>
            </w:r>
          </w:p>
        </w:tc>
        <w:tc>
          <w:tcPr>
            <w:tcW w:w="170" w:type="dxa"/>
            <w:tcBorders/>
            <w:vAlign w:val="bottom"/>
          </w:tcPr>
          <w:p>
            <w:pPr>
              <w:pStyle w:val="TableContents"/>
              <w:bidi w:val="0"/>
              <w:spacing w:before="0" w:after="283"/>
              <w:jc w:val="left"/>
              <w:rPr/>
            </w:pPr>
            <w:r>
              <w:rPr/>
              <w:t> </w:t>
            </w:r>
          </w:p>
        </w:tc>
      </w:tr>
      <w:tr>
        <w:trPr/>
        <w:tc>
          <w:tcPr>
            <w:tcW w:w="1990" w:type="dxa"/>
            <w:tcBorders/>
            <w:shd w:fill="CCEEFF" w:val="clear"/>
            <w:vAlign w:val="bottom"/>
          </w:tcPr>
          <w:p>
            <w:pPr>
              <w:pStyle w:val="TableContents"/>
              <w:bidi w:val="0"/>
              <w:spacing w:before="0" w:after="0"/>
              <w:ind w:left="144" w:right="0" w:hanging="144"/>
              <w:jc w:val="left"/>
              <w:rPr>
                <w:color w:val="000000"/>
              </w:rPr>
            </w:pPr>
            <w:r>
              <w:rPr>
                <w:color w:val="000000"/>
              </w:rPr>
              <w:t>Balance at end of period</w:t>
            </w:r>
          </w:p>
        </w:tc>
        <w:tc>
          <w:tcPr>
            <w:tcW w:w="90" w:type="dxa"/>
            <w:tcBorders/>
            <w:shd w:fill="CCEEFF" w:val="clear"/>
            <w:vAlign w:val="bottom"/>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16,235,647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16,236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1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89,799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395,652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4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(57,944</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443,743</w:t>
            </w:r>
          </w:p>
        </w:tc>
        <w:tc>
          <w:tcPr>
            <w:tcW w:w="170" w:type="dxa"/>
            <w:tcBorders/>
            <w:shd w:fill="CCEEFF" w:val="clear"/>
            <w:vAlign w:val="bottom"/>
          </w:tcPr>
          <w:p>
            <w:pPr>
              <w:pStyle w:val="TableContents"/>
              <w:bidi w:val="0"/>
              <w:spacing w:before="0" w:after="283"/>
              <w:jc w:val="left"/>
              <w:rPr/>
            </w:pPr>
            <w:r>
              <w:rPr/>
              <w:t> </w:t>
            </w:r>
          </w:p>
        </w:tc>
      </w:tr>
      <w:tr>
        <w:trPr/>
        <w:tc>
          <w:tcPr>
            <w:tcW w:w="19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1990" w:type="dxa"/>
            <w:tcBorders/>
            <w:shd w:fill="CCEEFF" w:val="clear"/>
            <w:vAlign w:val="bottom"/>
          </w:tcPr>
          <w:p>
            <w:pPr>
              <w:pStyle w:val="TableContents"/>
              <w:bidi w:val="0"/>
              <w:spacing w:before="0" w:after="0"/>
              <w:ind w:left="144" w:right="0" w:hanging="144"/>
              <w:jc w:val="left"/>
              <w:rPr>
                <w:b/>
                <w:color w:val="000000"/>
              </w:rPr>
            </w:pPr>
            <w:r>
              <w:rPr>
                <w:b/>
                <w:color w:val="000000"/>
              </w:rPr>
              <w:t>Three Months Ended March 31, 2026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1990" w:type="dxa"/>
            <w:tcBorders/>
            <w:vAlign w:val="bottom"/>
          </w:tcPr>
          <w:p>
            <w:pPr>
              <w:pStyle w:val="TableContents"/>
              <w:bidi w:val="0"/>
              <w:spacing w:before="0" w:after="0"/>
              <w:ind w:left="144" w:right="0" w:hanging="144"/>
              <w:jc w:val="left"/>
              <w:rPr>
                <w:color w:val="000000"/>
              </w:rPr>
            </w:pPr>
            <w:r>
              <w:rPr>
                <w:color w:val="000000"/>
              </w:rPr>
              <w:t>Balance at beginning of period</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16,293,577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0"/>
              <w:jc w:val="left"/>
              <w:rPr>
                <w:color w:val="000000"/>
              </w:rPr>
            </w:pPr>
            <w:r>
              <w:rPr>
                <w:color w:val="000000"/>
              </w:rPr>
              <w:t>$</w:t>
            </w:r>
          </w:p>
        </w:tc>
        <w:tc>
          <w:tcPr>
            <w:tcW w:w="719" w:type="dxa"/>
            <w:tcBorders/>
            <w:vAlign w:val="bottom"/>
          </w:tcPr>
          <w:p>
            <w:pPr>
              <w:pStyle w:val="TableContents"/>
              <w:bidi w:val="0"/>
              <w:spacing w:before="0" w:after="0"/>
              <w:jc w:val="right"/>
              <w:rPr>
                <w:color w:val="000000"/>
              </w:rPr>
            </w:pPr>
            <w:r>
              <w:rPr>
                <w:color w:val="000000"/>
              </w:rPr>
              <w:t>16,294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0"/>
              <w:jc w:val="left"/>
              <w:rPr>
                <w:color w:val="000000"/>
              </w:rPr>
            </w:pPr>
            <w:r>
              <w:rPr>
                <w:color w:val="000000"/>
              </w:rPr>
              <w:t>$</w:t>
            </w:r>
          </w:p>
        </w:tc>
        <w:tc>
          <w:tcPr>
            <w:tcW w:w="912" w:type="dxa"/>
            <w:tcBorders/>
            <w:vAlign w:val="bottom"/>
          </w:tcPr>
          <w:p>
            <w:pPr>
              <w:pStyle w:val="TableContents"/>
              <w:bidi w:val="0"/>
              <w:spacing w:before="0" w:after="0"/>
              <w:jc w:val="right"/>
              <w:rPr>
                <w:color w:val="000000"/>
              </w:rPr>
            </w:pPr>
            <w:r>
              <w:rPr>
                <w:color w:val="000000"/>
              </w:rPr>
              <w:t>91,065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434,197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0"/>
              <w:jc w:val="left"/>
              <w:rPr>
                <w:color w:val="000000"/>
              </w:rPr>
            </w:pPr>
            <w:r>
              <w:rPr>
                <w:color w:val="000000"/>
              </w:rPr>
              <w:t>$</w:t>
            </w:r>
          </w:p>
        </w:tc>
        <w:tc>
          <w:tcPr>
            <w:tcW w:w="1349" w:type="dxa"/>
            <w:tcBorders/>
            <w:vAlign w:val="bottom"/>
          </w:tcPr>
          <w:p>
            <w:pPr>
              <w:pStyle w:val="TableContents"/>
              <w:bidi w:val="0"/>
              <w:spacing w:before="0" w:after="0"/>
              <w:jc w:val="right"/>
              <w:rPr>
                <w:color w:val="000000"/>
              </w:rPr>
            </w:pPr>
            <w:r>
              <w:rPr>
                <w:color w:val="000000"/>
              </w:rPr>
              <w:t>(47,719</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493,837</w:t>
            </w:r>
          </w:p>
        </w:tc>
        <w:tc>
          <w:tcPr>
            <w:tcW w:w="170" w:type="dxa"/>
            <w:tcBorders/>
            <w:vAlign w:val="bottom"/>
          </w:tcPr>
          <w:p>
            <w:pPr>
              <w:pStyle w:val="TableContents"/>
              <w:bidi w:val="0"/>
              <w:spacing w:before="0" w:after="283"/>
              <w:jc w:val="left"/>
              <w:rPr/>
            </w:pPr>
            <w:r>
              <w:rPr/>
              <w:t> </w:t>
            </w:r>
          </w:p>
        </w:tc>
      </w:tr>
      <w:tr>
        <w:trPr/>
        <w:tc>
          <w:tcPr>
            <w:tcW w:w="1990" w:type="dxa"/>
            <w:tcBorders/>
            <w:shd w:fill="CCEEFF" w:val="clear"/>
            <w:vAlign w:val="bottom"/>
          </w:tcPr>
          <w:p>
            <w:pPr>
              <w:pStyle w:val="TableContents"/>
              <w:bidi w:val="0"/>
              <w:spacing w:before="0" w:after="0"/>
              <w:ind w:left="144" w:right="0" w:hanging="144"/>
              <w:jc w:val="left"/>
              <w:rPr>
                <w:color w:val="000000"/>
              </w:rPr>
            </w:pPr>
            <w:r>
              <w:rPr>
                <w:color w:val="000000"/>
              </w:rPr>
              <w:t>Net income</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14,545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14,545</w:t>
            </w:r>
          </w:p>
        </w:tc>
        <w:tc>
          <w:tcPr>
            <w:tcW w:w="170" w:type="dxa"/>
            <w:tcBorders/>
            <w:shd w:fill="CCEEFF" w:val="clear"/>
            <w:vAlign w:val="bottom"/>
          </w:tcPr>
          <w:p>
            <w:pPr>
              <w:pStyle w:val="TableContents"/>
              <w:bidi w:val="0"/>
              <w:spacing w:before="0" w:after="283"/>
              <w:jc w:val="left"/>
              <w:rPr/>
            </w:pPr>
            <w:r>
              <w:rPr/>
              <w:t> </w:t>
            </w:r>
          </w:p>
        </w:tc>
      </w:tr>
      <w:tr>
        <w:trPr/>
        <w:tc>
          <w:tcPr>
            <w:tcW w:w="1990" w:type="dxa"/>
            <w:tcBorders/>
            <w:vAlign w:val="bottom"/>
          </w:tcPr>
          <w:p>
            <w:pPr>
              <w:pStyle w:val="TableContents"/>
              <w:bidi w:val="0"/>
              <w:spacing w:before="0" w:after="0"/>
              <w:ind w:left="144" w:right="0" w:hanging="144"/>
              <w:jc w:val="left"/>
              <w:rPr>
                <w:color w:val="000000"/>
              </w:rPr>
            </w:pPr>
            <w:r>
              <w:rPr>
                <w:color w:val="000000"/>
              </w:rPr>
              <w:t>Cash dividends declared - $0.17 per share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(2,771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(2,771</w:t>
            </w:r>
          </w:p>
        </w:tc>
        <w:tc>
          <w:tcPr>
            <w:tcW w:w="170" w:type="dxa"/>
            <w:tcBorders/>
            <w:vAlign w:val="bottom"/>
          </w:tcPr>
          <w:p>
            <w:pPr>
              <w:pStyle w:val="TableContents"/>
              <w:bidi w:val="0"/>
              <w:spacing w:before="0" w:after="0"/>
              <w:jc w:val="left"/>
              <w:rPr>
                <w:color w:val="000000"/>
              </w:rPr>
            </w:pPr>
            <w:r>
              <w:rPr>
                <w:color w:val="000000"/>
              </w:rPr>
              <w:t>)</w:t>
            </w:r>
          </w:p>
        </w:tc>
      </w:tr>
      <w:tr>
        <w:trPr/>
        <w:tc>
          <w:tcPr>
            <w:tcW w:w="1990" w:type="dxa"/>
            <w:tcBorders/>
            <w:shd w:fill="CCEEFF" w:val="clear"/>
            <w:vAlign w:val="bottom"/>
          </w:tcPr>
          <w:p>
            <w:pPr>
              <w:pStyle w:val="TableContents"/>
              <w:bidi w:val="0"/>
              <w:spacing w:before="0" w:after="0"/>
              <w:ind w:left="144" w:right="0" w:hanging="144"/>
              <w:jc w:val="left"/>
              <w:rPr>
                <w:color w:val="000000"/>
              </w:rPr>
            </w:pPr>
            <w:r>
              <w:rPr>
                <w:color w:val="000000"/>
              </w:rPr>
              <w:t>Other comprehensive loss</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0"/>
              <w:jc w:val="right"/>
              <w:rPr>
                <w:color w:val="000000"/>
              </w:rPr>
            </w:pPr>
            <w:r>
              <w:rPr>
                <w:color w:val="000000"/>
              </w:rPr>
              <w:t>(899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(899</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1990" w:type="dxa"/>
            <w:tcBorders/>
            <w:vAlign w:val="bottom"/>
          </w:tcPr>
          <w:p>
            <w:pPr>
              <w:pStyle w:val="TableContents"/>
              <w:bidi w:val="0"/>
              <w:spacing w:before="0" w:after="0"/>
              <w:ind w:left="144" w:right="0" w:hanging="144"/>
              <w:jc w:val="left"/>
              <w:rPr>
                <w:color w:val="000000"/>
              </w:rPr>
            </w:pPr>
            <w:r>
              <w:rPr>
                <w:color w:val="000000"/>
              </w:rPr>
              <w:t>Net issuance of stock related to stock-based awards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40,190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40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0"/>
              <w:jc w:val="right"/>
              <w:rPr>
                <w:color w:val="000000"/>
              </w:rPr>
            </w:pPr>
            <w:r>
              <w:rPr>
                <w:color w:val="000000"/>
              </w:rPr>
              <w:t>(739</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(699</w:t>
            </w:r>
          </w:p>
        </w:tc>
        <w:tc>
          <w:tcPr>
            <w:tcW w:w="170" w:type="dxa"/>
            <w:tcBorders/>
            <w:vAlign w:val="bottom"/>
          </w:tcPr>
          <w:p>
            <w:pPr>
              <w:pStyle w:val="TableContents"/>
              <w:bidi w:val="0"/>
              <w:spacing w:before="0" w:after="0"/>
              <w:jc w:val="left"/>
              <w:rPr>
                <w:color w:val="000000"/>
              </w:rPr>
            </w:pPr>
            <w:r>
              <w:rPr>
                <w:color w:val="000000"/>
              </w:rPr>
              <w:t>)</w:t>
            </w:r>
          </w:p>
        </w:tc>
      </w:tr>
      <w:tr>
        <w:trPr/>
        <w:tc>
          <w:tcPr>
            <w:tcW w:w="1990" w:type="dxa"/>
            <w:tcBorders/>
            <w:shd w:fill="CCEEFF" w:val="clear"/>
            <w:vAlign w:val="bottom"/>
          </w:tcPr>
          <w:p>
            <w:pPr>
              <w:pStyle w:val="TableContents"/>
              <w:bidi w:val="0"/>
              <w:spacing w:before="0" w:after="0"/>
              <w:ind w:left="144" w:right="0" w:hanging="144"/>
              <w:jc w:val="left"/>
              <w:rPr>
                <w:color w:val="000000"/>
              </w:rPr>
            </w:pPr>
            <w:r>
              <w:rPr>
                <w:color w:val="000000"/>
              </w:rPr>
              <w:t>Stock issued under employee stock purchase plan</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8,452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0"/>
              <w:jc w:val="right"/>
              <w:rPr>
                <w:color w:val="000000"/>
              </w:rPr>
            </w:pPr>
            <w:r>
              <w:rPr>
                <w:color w:val="000000"/>
              </w:rPr>
              <w:t>250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258</w:t>
            </w:r>
          </w:p>
        </w:tc>
        <w:tc>
          <w:tcPr>
            <w:tcW w:w="170" w:type="dxa"/>
            <w:tcBorders/>
            <w:shd w:fill="CCEEFF" w:val="clear"/>
            <w:vAlign w:val="bottom"/>
          </w:tcPr>
          <w:p>
            <w:pPr>
              <w:pStyle w:val="TableContents"/>
              <w:bidi w:val="0"/>
              <w:spacing w:before="0" w:after="283"/>
              <w:jc w:val="left"/>
              <w:rPr/>
            </w:pPr>
            <w:r>
              <w:rPr/>
              <w:t> </w:t>
            </w:r>
          </w:p>
        </w:tc>
      </w:tr>
      <w:tr>
        <w:trPr/>
        <w:tc>
          <w:tcPr>
            <w:tcW w:w="1990" w:type="dxa"/>
            <w:tcBorders/>
            <w:vAlign w:val="bottom"/>
          </w:tcPr>
          <w:p>
            <w:pPr>
              <w:pStyle w:val="TableContents"/>
              <w:bidi w:val="0"/>
              <w:spacing w:before="0" w:after="0"/>
              <w:ind w:left="144" w:right="0" w:hanging="144"/>
              <w:jc w:val="left"/>
              <w:rPr>
                <w:color w:val="000000"/>
              </w:rPr>
            </w:pPr>
            <w:r>
              <w:rPr>
                <w:color w:val="000000"/>
              </w:rPr>
              <w:t>Stock-based compensation</w:t>
            </w:r>
          </w:p>
        </w:tc>
        <w:tc>
          <w:tcPr>
            <w:tcW w:w="90" w:type="dxa"/>
            <w:tcBorders/>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bottom w:val="single" w:sz="12" w:space="0" w:color="000000"/>
            </w:tcBorders>
            <w:tcMar>
              <w:bottom w:w="28" w:type="dxa"/>
            </w:tcMar>
            <w:vAlign w:val="bottom"/>
          </w:tcPr>
          <w:p>
            <w:pPr>
              <w:pStyle w:val="TableContents"/>
              <w:bidi w:val="0"/>
              <w:spacing w:before="0" w:after="283"/>
              <w:jc w:val="left"/>
              <w:rPr/>
            </w:pPr>
            <w:r>
              <w:rPr/>
              <w:t> </w:t>
            </w:r>
          </w:p>
        </w:tc>
        <w:tc>
          <w:tcPr>
            <w:tcW w:w="7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8" w:type="dxa"/>
            <w:tcBorders>
              <w:bottom w:val="single" w:sz="12" w:space="0" w:color="000000"/>
            </w:tcBorders>
            <w:tcMar>
              <w:bottom w:w="28" w:type="dxa"/>
            </w:tcMar>
            <w:vAlign w:val="bottom"/>
          </w:tcPr>
          <w:p>
            <w:pPr>
              <w:pStyle w:val="TableContents"/>
              <w:bidi w:val="0"/>
              <w:spacing w:before="0" w:after="283"/>
              <w:jc w:val="left"/>
              <w:rPr/>
            </w:pPr>
            <w:r>
              <w:rPr/>
              <w:t> </w:t>
            </w:r>
          </w:p>
        </w:tc>
        <w:tc>
          <w:tcPr>
            <w:tcW w:w="91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668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1" w:type="dxa"/>
            <w:tcBorders>
              <w:bottom w:val="single" w:sz="12" w:space="0" w:color="000000"/>
            </w:tcBorders>
            <w:tcMar>
              <w:bottom w:w="28" w:type="dxa"/>
            </w:tcMar>
            <w:vAlign w:val="bottom"/>
          </w:tcPr>
          <w:p>
            <w:pPr>
              <w:pStyle w:val="TableContents"/>
              <w:bidi w:val="0"/>
              <w:spacing w:before="0" w:after="283"/>
              <w:jc w:val="left"/>
              <w:rPr/>
            </w:pPr>
            <w:r>
              <w:rPr/>
              <w:t> </w:t>
            </w:r>
          </w:p>
        </w:tc>
        <w:tc>
          <w:tcPr>
            <w:tcW w:w="134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668</w:t>
            </w:r>
          </w:p>
        </w:tc>
        <w:tc>
          <w:tcPr>
            <w:tcW w:w="170" w:type="dxa"/>
            <w:tcBorders/>
            <w:vAlign w:val="bottom"/>
          </w:tcPr>
          <w:p>
            <w:pPr>
              <w:pStyle w:val="TableContents"/>
              <w:bidi w:val="0"/>
              <w:spacing w:before="0" w:after="283"/>
              <w:jc w:val="left"/>
              <w:rPr/>
            </w:pPr>
            <w:r>
              <w:rPr/>
              <w:t> </w:t>
            </w:r>
          </w:p>
        </w:tc>
      </w:tr>
      <w:tr>
        <w:trPr/>
        <w:tc>
          <w:tcPr>
            <w:tcW w:w="1990" w:type="dxa"/>
            <w:tcBorders/>
            <w:shd w:fill="CCEEFF" w:val="clear"/>
            <w:vAlign w:val="bottom"/>
          </w:tcPr>
          <w:p>
            <w:pPr>
              <w:pStyle w:val="TableContents"/>
              <w:bidi w:val="0"/>
              <w:spacing w:before="0" w:after="0"/>
              <w:ind w:left="144" w:right="0" w:hanging="144"/>
              <w:jc w:val="left"/>
              <w:rPr>
                <w:color w:val="000000"/>
              </w:rPr>
            </w:pPr>
            <w:r>
              <w:rPr>
                <w:color w:val="000000"/>
              </w:rPr>
              <w:t>Balance at end of period</w:t>
            </w:r>
          </w:p>
        </w:tc>
        <w:tc>
          <w:tcPr>
            <w:tcW w:w="90" w:type="dxa"/>
            <w:tcBorders/>
            <w:shd w:fill="CCEEFF" w:val="clear"/>
            <w:vAlign w:val="bottom"/>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16,342,219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16,342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1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91,244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445,971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4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(48,618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504,939</w:t>
            </w:r>
          </w:p>
        </w:tc>
        <w:tc>
          <w:tcPr>
            <w:tcW w:w="1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SOUTH PLAINS FINANCIAL, INC. AND SUBSIDIARIES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CONSOLIDATED STATEMENTS OF CASH FLOWS</w:t>
      </w:r>
      <w:bookmarkStart w:id="33" w:name="CASHFLOWS"/>
      <w:bookmarkEnd w:id="33"/>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(Dollars in thousands)</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34" w:name="z74e22ff0c9c24ca595899e3d90b5e765"/>
      <w:bookmarkStart w:id="35" w:name="z74e22ff0c9c24ca595899e3d90b5e765"/>
      <w:bookmarkEnd w:id="35"/>
    </w:p>
    <w:tbl>
      <w:tblPr>
        <w:tblW w:w="9515" w:type="dxa"/>
        <w:jc w:val="center"/>
        <w:tblInd w:w="0" w:type="dxa"/>
        <w:tblLayout w:type="fixed"/>
        <w:tblCellMar>
          <w:top w:w="0" w:type="dxa"/>
          <w:left w:w="0" w:type="dxa"/>
          <w:bottom w:w="0" w:type="dxa"/>
          <w:right w:w="0" w:type="dxa"/>
        </w:tblCellMar>
      </w:tblPr>
      <w:tblGrid>
        <w:gridCol w:w="6965"/>
        <w:gridCol w:w="90"/>
        <w:gridCol w:w="170"/>
        <w:gridCol w:w="905"/>
        <w:gridCol w:w="125"/>
        <w:gridCol w:w="90"/>
        <w:gridCol w:w="170"/>
        <w:gridCol w:w="830"/>
        <w:gridCol w:w="170"/>
      </w:tblGrid>
      <w:tr>
        <w:trPr/>
        <w:tc>
          <w:tcPr>
            <w:tcW w:w="696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w:t>
            </w:r>
          </w:p>
          <w:p>
            <w:pPr>
              <w:pStyle w:val="TableContents"/>
              <w:bidi w:val="0"/>
              <w:spacing w:before="0" w:after="0"/>
              <w:jc w:val="center"/>
              <w:rPr>
                <w:b/>
                <w:color w:val="000000"/>
              </w:rPr>
            </w:pPr>
            <w:r>
              <w:rPr>
                <w:b/>
                <w:color w:val="000000"/>
              </w:rPr>
              <w:t>March 31,</w:t>
            </w:r>
          </w:p>
        </w:tc>
        <w:tc>
          <w:tcPr>
            <w:tcW w:w="170" w:type="dxa"/>
            <w:tcBorders/>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70" w:type="dxa"/>
            <w:tcBorders/>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144" w:right="0" w:hanging="144"/>
              <w:jc w:val="left"/>
              <w:rPr>
                <w:color w:val="000000"/>
              </w:rPr>
            </w:pPr>
            <w:r>
              <w:rPr>
                <w:color w:val="000000"/>
              </w:rPr>
              <w:t>Cash flows from operating activities:</w:t>
            </w:r>
          </w:p>
        </w:tc>
        <w:tc>
          <w:tcPr>
            <w:tcW w:w="9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0"/>
              <w:ind w:left="324" w:right="0" w:hanging="144"/>
              <w:jc w:val="left"/>
              <w:rPr>
                <w:color w:val="000000"/>
              </w:rPr>
            </w:pPr>
            <w:r>
              <w:rPr>
                <w:color w:val="000000"/>
              </w:rPr>
              <w:t>Net income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905" w:type="dxa"/>
            <w:tcBorders/>
            <w:shd w:fill="CCEEFF" w:val="clear"/>
            <w:vAlign w:val="bottom"/>
          </w:tcPr>
          <w:p>
            <w:pPr>
              <w:pStyle w:val="TableContents"/>
              <w:bidi w:val="0"/>
              <w:spacing w:before="0" w:after="0"/>
              <w:jc w:val="right"/>
              <w:rPr>
                <w:color w:val="000000"/>
              </w:rPr>
            </w:pPr>
            <w:r>
              <w:rPr>
                <w:color w:val="000000"/>
              </w:rPr>
              <w:t>14,545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12,294</w:t>
            </w:r>
          </w:p>
        </w:tc>
        <w:tc>
          <w:tcPr>
            <w:tcW w:w="170"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324" w:right="0" w:hanging="144"/>
              <w:jc w:val="left"/>
              <w:rPr>
                <w:color w:val="000000"/>
              </w:rPr>
            </w:pPr>
            <w:r>
              <w:rPr>
                <w:color w:val="000000"/>
              </w:rPr>
              <w:t>Adjustments to reconcile net income to net cash from operating activities: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0"/>
              <w:ind w:left="504" w:right="0" w:hanging="144"/>
              <w:jc w:val="left"/>
              <w:rPr>
                <w:color w:val="000000"/>
              </w:rPr>
            </w:pPr>
            <w:r>
              <w:rPr>
                <w:color w:val="000000"/>
              </w:rPr>
              <w:t>Provision for credit losses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260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420</w:t>
            </w:r>
          </w:p>
        </w:tc>
        <w:tc>
          <w:tcPr>
            <w:tcW w:w="170"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504" w:right="0" w:hanging="144"/>
              <w:jc w:val="left"/>
              <w:rPr>
                <w:color w:val="000000"/>
              </w:rPr>
            </w:pPr>
            <w:r>
              <w:rPr>
                <w:color w:val="000000"/>
              </w:rPr>
              <w:t>Provision for foreclosed asset losses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100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170"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0"/>
              <w:ind w:left="504" w:right="0" w:hanging="144"/>
              <w:jc w:val="left"/>
              <w:rPr>
                <w:color w:val="000000"/>
              </w:rPr>
            </w:pPr>
            <w:r>
              <w:rPr>
                <w:color w:val="000000"/>
              </w:rPr>
              <w:t>Depreciation and amortization</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1,502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1,478</w:t>
            </w:r>
          </w:p>
        </w:tc>
        <w:tc>
          <w:tcPr>
            <w:tcW w:w="170"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504" w:right="0" w:hanging="144"/>
              <w:jc w:val="left"/>
              <w:rPr>
                <w:color w:val="000000"/>
              </w:rPr>
            </w:pPr>
            <w:r>
              <w:rPr>
                <w:color w:val="000000"/>
              </w:rPr>
              <w:t>Accretion and amortization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559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738</w:t>
            </w:r>
          </w:p>
        </w:tc>
        <w:tc>
          <w:tcPr>
            <w:tcW w:w="170"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0"/>
              <w:ind w:left="504" w:right="0" w:hanging="144"/>
              <w:jc w:val="left"/>
              <w:rPr>
                <w:color w:val="000000"/>
              </w:rPr>
            </w:pPr>
            <w:r>
              <w:rPr>
                <w:color w:val="000000"/>
              </w:rPr>
              <w:t>Other gains, net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(99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(149</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6965" w:type="dxa"/>
            <w:tcBorders/>
            <w:vAlign w:val="bottom"/>
          </w:tcPr>
          <w:p>
            <w:pPr>
              <w:pStyle w:val="TableContents"/>
              <w:bidi w:val="0"/>
              <w:spacing w:before="0" w:after="0"/>
              <w:ind w:left="504" w:right="0" w:hanging="144"/>
              <w:jc w:val="left"/>
              <w:rPr>
                <w:color w:val="000000"/>
              </w:rPr>
            </w:pPr>
            <w:r>
              <w:rPr>
                <w:color w:val="000000"/>
              </w:rPr>
              <w:t>Net gain on sales of loans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(2,332</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(2,591</w:t>
            </w:r>
          </w:p>
        </w:tc>
        <w:tc>
          <w:tcPr>
            <w:tcW w:w="170" w:type="dxa"/>
            <w:tcBorders/>
            <w:vAlign w:val="bottom"/>
          </w:tcPr>
          <w:p>
            <w:pPr>
              <w:pStyle w:val="TableContents"/>
              <w:bidi w:val="0"/>
              <w:spacing w:before="0" w:after="0"/>
              <w:jc w:val="left"/>
              <w:rPr>
                <w:color w:val="000000"/>
              </w:rPr>
            </w:pPr>
            <w:r>
              <w:rPr>
                <w:color w:val="000000"/>
              </w:rPr>
              <w:t>)</w:t>
            </w:r>
          </w:p>
        </w:tc>
      </w:tr>
      <w:tr>
        <w:trPr/>
        <w:tc>
          <w:tcPr>
            <w:tcW w:w="6965" w:type="dxa"/>
            <w:tcBorders/>
            <w:shd w:fill="CCEEFF" w:val="clear"/>
            <w:vAlign w:val="bottom"/>
          </w:tcPr>
          <w:p>
            <w:pPr>
              <w:pStyle w:val="TableContents"/>
              <w:bidi w:val="0"/>
              <w:spacing w:before="0" w:after="0"/>
              <w:ind w:left="504" w:right="0" w:hanging="144"/>
              <w:jc w:val="left"/>
              <w:rPr>
                <w:color w:val="000000"/>
              </w:rPr>
            </w:pPr>
            <w:r>
              <w:rPr>
                <w:color w:val="000000"/>
              </w:rPr>
              <w:t>Proceeds from sales of loans held for sale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57,711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73,385</w:t>
            </w:r>
          </w:p>
        </w:tc>
        <w:tc>
          <w:tcPr>
            <w:tcW w:w="170"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504" w:right="0" w:hanging="144"/>
              <w:jc w:val="left"/>
              <w:rPr>
                <w:color w:val="000000"/>
              </w:rPr>
            </w:pPr>
            <w:r>
              <w:rPr>
                <w:color w:val="000000"/>
              </w:rPr>
              <w:t>Loans originated for sale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(62,909</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(64,382</w:t>
            </w:r>
          </w:p>
        </w:tc>
        <w:tc>
          <w:tcPr>
            <w:tcW w:w="170" w:type="dxa"/>
            <w:tcBorders/>
            <w:vAlign w:val="bottom"/>
          </w:tcPr>
          <w:p>
            <w:pPr>
              <w:pStyle w:val="TableContents"/>
              <w:bidi w:val="0"/>
              <w:spacing w:before="0" w:after="0"/>
              <w:jc w:val="left"/>
              <w:rPr>
                <w:color w:val="000000"/>
              </w:rPr>
            </w:pPr>
            <w:r>
              <w:rPr>
                <w:color w:val="000000"/>
              </w:rPr>
              <w:t>)</w:t>
            </w:r>
          </w:p>
        </w:tc>
      </w:tr>
      <w:tr>
        <w:trPr/>
        <w:tc>
          <w:tcPr>
            <w:tcW w:w="6965" w:type="dxa"/>
            <w:tcBorders/>
            <w:shd w:fill="CCEEFF" w:val="clear"/>
            <w:vAlign w:val="bottom"/>
          </w:tcPr>
          <w:p>
            <w:pPr>
              <w:pStyle w:val="TableContents"/>
              <w:bidi w:val="0"/>
              <w:spacing w:before="0" w:after="0"/>
              <w:ind w:left="504" w:right="0" w:hanging="144"/>
              <w:jc w:val="left"/>
              <w:rPr>
                <w:color w:val="000000"/>
              </w:rPr>
            </w:pPr>
            <w:r>
              <w:rPr>
                <w:color w:val="000000"/>
              </w:rPr>
              <w:t>Deferred income tax expense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428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185</w:t>
            </w:r>
          </w:p>
        </w:tc>
        <w:tc>
          <w:tcPr>
            <w:tcW w:w="170"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504" w:right="0" w:hanging="144"/>
              <w:jc w:val="left"/>
              <w:rPr>
                <w:color w:val="000000"/>
              </w:rPr>
            </w:pPr>
            <w:r>
              <w:rPr>
                <w:color w:val="000000"/>
              </w:rPr>
              <w:t>Earnings on bank-owned life insurance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(425</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(405</w:t>
            </w:r>
          </w:p>
        </w:tc>
        <w:tc>
          <w:tcPr>
            <w:tcW w:w="170" w:type="dxa"/>
            <w:tcBorders/>
            <w:vAlign w:val="bottom"/>
          </w:tcPr>
          <w:p>
            <w:pPr>
              <w:pStyle w:val="TableContents"/>
              <w:bidi w:val="0"/>
              <w:spacing w:before="0" w:after="0"/>
              <w:jc w:val="left"/>
              <w:rPr>
                <w:color w:val="000000"/>
              </w:rPr>
            </w:pPr>
            <w:r>
              <w:rPr>
                <w:color w:val="000000"/>
              </w:rPr>
              <w:t>)</w:t>
            </w:r>
          </w:p>
        </w:tc>
      </w:tr>
      <w:tr>
        <w:trPr/>
        <w:tc>
          <w:tcPr>
            <w:tcW w:w="6965" w:type="dxa"/>
            <w:tcBorders/>
            <w:shd w:fill="CCEEFF" w:val="clear"/>
            <w:vAlign w:val="bottom"/>
          </w:tcPr>
          <w:p>
            <w:pPr>
              <w:pStyle w:val="TableContents"/>
              <w:bidi w:val="0"/>
              <w:spacing w:before="0" w:after="0"/>
              <w:ind w:left="504" w:right="0" w:hanging="144"/>
              <w:jc w:val="left"/>
              <w:rPr>
                <w:color w:val="000000"/>
              </w:rPr>
            </w:pPr>
            <w:r>
              <w:rPr>
                <w:color w:val="000000"/>
              </w:rPr>
              <w:t>Stock-based compensation</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668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569</w:t>
            </w:r>
          </w:p>
        </w:tc>
        <w:tc>
          <w:tcPr>
            <w:tcW w:w="170"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504" w:right="0" w:hanging="144"/>
              <w:jc w:val="left"/>
              <w:rPr>
                <w:color w:val="000000"/>
              </w:rPr>
            </w:pPr>
            <w:r>
              <w:rPr>
                <w:color w:val="000000"/>
              </w:rPr>
              <w:t>Change in valuation of mortgage servicing rights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(250</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1,585</w:t>
            </w:r>
          </w:p>
        </w:tc>
        <w:tc>
          <w:tcPr>
            <w:tcW w:w="170"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0"/>
              <w:ind w:left="504" w:right="0" w:hanging="144"/>
              <w:jc w:val="left"/>
              <w:rPr>
                <w:color w:val="000000"/>
              </w:rPr>
            </w:pPr>
            <w:r>
              <w:rPr>
                <w:color w:val="000000"/>
              </w:rPr>
              <w:t>Net change in:</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684" w:right="0" w:hanging="144"/>
              <w:jc w:val="left"/>
              <w:rPr>
                <w:color w:val="000000"/>
              </w:rPr>
            </w:pPr>
            <w:r>
              <w:rPr>
                <w:color w:val="000000"/>
              </w:rPr>
              <w:t>Accrued interest receivable and other assets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5,409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6,651</w:t>
            </w:r>
          </w:p>
        </w:tc>
        <w:tc>
          <w:tcPr>
            <w:tcW w:w="170"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0"/>
              <w:ind w:left="684" w:right="0" w:hanging="144"/>
              <w:jc w:val="left"/>
              <w:rPr>
                <w:color w:val="000000"/>
              </w:rPr>
            </w:pPr>
            <w:r>
              <w:rPr>
                <w:color w:val="000000"/>
              </w:rPr>
              <w:t>Accrued expenses and other liabilities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1,003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(3,683</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6965" w:type="dxa"/>
            <w:tcBorders/>
            <w:vAlign w:val="bottom"/>
          </w:tcPr>
          <w:p>
            <w:pPr>
              <w:pStyle w:val="TableContents"/>
              <w:bidi w:val="0"/>
              <w:spacing w:before="0" w:after="0"/>
              <w:ind w:left="864" w:right="0" w:hanging="144"/>
              <w:jc w:val="left"/>
              <w:rPr>
                <w:color w:val="000000"/>
              </w:rPr>
            </w:pPr>
            <w:r>
              <w:rPr>
                <w:color w:val="000000"/>
              </w:rPr>
              <w:t>Net cash from operating activities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16,170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26,095</w:t>
            </w:r>
          </w:p>
        </w:tc>
        <w:tc>
          <w:tcPr>
            <w:tcW w:w="170"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144" w:right="0" w:hanging="144"/>
              <w:jc w:val="left"/>
              <w:rPr>
                <w:color w:val="000000"/>
              </w:rPr>
            </w:pPr>
            <w:r>
              <w:rPr>
                <w:color w:val="000000"/>
              </w:rPr>
              <w:t>Cash flows from investing activities: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0"/>
              <w:ind w:left="324" w:right="0" w:hanging="144"/>
              <w:jc w:val="left"/>
              <w:rPr>
                <w:color w:val="000000"/>
              </w:rPr>
            </w:pPr>
            <w:r>
              <w:rPr>
                <w:color w:val="000000"/>
              </w:rPr>
              <w:t>Activity in securities available for sale: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504" w:right="0" w:hanging="144"/>
              <w:jc w:val="left"/>
              <w:rPr>
                <w:color w:val="000000"/>
              </w:rPr>
            </w:pPr>
            <w:r>
              <w:rPr>
                <w:color w:val="000000"/>
              </w:rPr>
              <w:t>Purchases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(351,389</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170"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0"/>
              <w:ind w:left="504" w:right="0" w:hanging="144"/>
              <w:jc w:val="left"/>
              <w:rPr>
                <w:color w:val="000000"/>
              </w:rPr>
            </w:pPr>
            <w:r>
              <w:rPr>
                <w:color w:val="000000"/>
              </w:rPr>
              <w:t>Maturities, prepayments, and calls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314,406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10,661</w:t>
            </w:r>
          </w:p>
        </w:tc>
        <w:tc>
          <w:tcPr>
            <w:tcW w:w="170"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324" w:right="0" w:hanging="144"/>
              <w:jc w:val="left"/>
              <w:rPr>
                <w:color w:val="000000"/>
              </w:rPr>
            </w:pPr>
            <w:r>
              <w:rPr>
                <w:color w:val="000000"/>
              </w:rPr>
              <w:t>Loan originations and principal collections, net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40,439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(21,821</w:t>
            </w:r>
          </w:p>
        </w:tc>
        <w:tc>
          <w:tcPr>
            <w:tcW w:w="170" w:type="dxa"/>
            <w:tcBorders/>
            <w:vAlign w:val="bottom"/>
          </w:tcPr>
          <w:p>
            <w:pPr>
              <w:pStyle w:val="TableContents"/>
              <w:bidi w:val="0"/>
              <w:spacing w:before="0" w:after="0"/>
              <w:jc w:val="left"/>
              <w:rPr>
                <w:color w:val="000000"/>
              </w:rPr>
            </w:pPr>
            <w:r>
              <w:rPr>
                <w:color w:val="000000"/>
              </w:rPr>
              <w:t>)</w:t>
            </w:r>
          </w:p>
        </w:tc>
      </w:tr>
      <w:tr>
        <w:trPr/>
        <w:tc>
          <w:tcPr>
            <w:tcW w:w="6965" w:type="dxa"/>
            <w:tcBorders/>
            <w:shd w:fill="CCEEFF" w:val="clear"/>
            <w:vAlign w:val="bottom"/>
          </w:tcPr>
          <w:p>
            <w:pPr>
              <w:pStyle w:val="TableContents"/>
              <w:bidi w:val="0"/>
              <w:spacing w:before="0" w:after="0"/>
              <w:ind w:left="324" w:right="0" w:hanging="144"/>
              <w:jc w:val="left"/>
              <w:rPr>
                <w:color w:val="000000"/>
              </w:rPr>
            </w:pPr>
            <w:r>
              <w:rPr>
                <w:color w:val="000000"/>
              </w:rPr>
              <w:t>Purchases of premises and equipment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(1,354</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(1,135</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6965" w:type="dxa"/>
            <w:tcBorders/>
            <w:vAlign w:val="bottom"/>
          </w:tcPr>
          <w:p>
            <w:pPr>
              <w:pStyle w:val="TableContents"/>
              <w:bidi w:val="0"/>
              <w:spacing w:before="0" w:after="0"/>
              <w:ind w:left="324" w:right="0" w:hanging="144"/>
              <w:jc w:val="left"/>
              <w:rPr>
                <w:color w:val="000000"/>
              </w:rPr>
            </w:pPr>
            <w:r>
              <w:rPr>
                <w:color w:val="000000"/>
              </w:rPr>
              <w:t>Proceeds from sales of premises and equipment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38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2,093</w:t>
            </w:r>
          </w:p>
        </w:tc>
        <w:tc>
          <w:tcPr>
            <w:tcW w:w="170"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0"/>
              <w:ind w:left="324" w:right="0" w:hanging="144"/>
              <w:jc w:val="left"/>
              <w:rPr>
                <w:color w:val="000000"/>
              </w:rPr>
            </w:pPr>
            <w:r>
              <w:rPr>
                <w:color w:val="000000"/>
              </w:rPr>
              <w:t>Proceeds from sales of foreclosed assets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954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428</w:t>
            </w:r>
          </w:p>
        </w:tc>
        <w:tc>
          <w:tcPr>
            <w:tcW w:w="170"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684" w:right="0" w:hanging="144"/>
              <w:jc w:val="left"/>
              <w:rPr>
                <w:color w:val="000000"/>
              </w:rPr>
            </w:pPr>
            <w:r>
              <w:rPr>
                <w:color w:val="000000"/>
              </w:rPr>
              <w:t>Net cash from investing activities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3,094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(9,774</w:t>
            </w:r>
          </w:p>
        </w:tc>
        <w:tc>
          <w:tcPr>
            <w:tcW w:w="170" w:type="dxa"/>
            <w:tcBorders/>
            <w:vAlign w:val="bottom"/>
          </w:tcPr>
          <w:p>
            <w:pPr>
              <w:pStyle w:val="TableContents"/>
              <w:bidi w:val="0"/>
              <w:spacing w:before="0" w:after="0"/>
              <w:jc w:val="left"/>
              <w:rPr>
                <w:color w:val="000000"/>
              </w:rPr>
            </w:pPr>
            <w:r>
              <w:rPr>
                <w:color w:val="000000"/>
              </w:rPr>
              <w:t>)</w:t>
            </w:r>
          </w:p>
        </w:tc>
      </w:tr>
      <w:tr>
        <w:trPr/>
        <w:tc>
          <w:tcPr>
            <w:tcW w:w="696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144" w:right="0" w:hanging="144"/>
              <w:jc w:val="left"/>
              <w:rPr>
                <w:color w:val="000000"/>
              </w:rPr>
            </w:pPr>
            <w:r>
              <w:rPr>
                <w:color w:val="000000"/>
              </w:rPr>
              <w:t>Cash flows from financing activities: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0"/>
              <w:ind w:left="324" w:right="0" w:hanging="144"/>
              <w:jc w:val="left"/>
              <w:rPr>
                <w:color w:val="000000"/>
              </w:rPr>
            </w:pPr>
            <w:r>
              <w:rPr>
                <w:color w:val="000000"/>
              </w:rPr>
              <w:t>Net change in deposits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153,509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171,643</w:t>
            </w:r>
          </w:p>
        </w:tc>
        <w:tc>
          <w:tcPr>
            <w:tcW w:w="170"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324" w:right="0" w:hanging="144"/>
              <w:jc w:val="left"/>
              <w:rPr>
                <w:color w:val="000000"/>
              </w:rPr>
            </w:pPr>
            <w:r>
              <w:rPr>
                <w:color w:val="000000"/>
              </w:rPr>
              <w:t>Proceeds from common stock issuance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258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235</w:t>
            </w:r>
          </w:p>
        </w:tc>
        <w:tc>
          <w:tcPr>
            <w:tcW w:w="170"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0"/>
              <w:ind w:left="324" w:right="0" w:hanging="144"/>
              <w:jc w:val="left"/>
              <w:rPr>
                <w:color w:val="000000"/>
              </w:rPr>
            </w:pPr>
            <w:r>
              <w:rPr>
                <w:color w:val="000000"/>
              </w:rPr>
              <w:t>Payments to tax authorities for stock-based compensation</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(699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(262</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6965" w:type="dxa"/>
            <w:tcBorders/>
            <w:vAlign w:val="bottom"/>
          </w:tcPr>
          <w:p>
            <w:pPr>
              <w:pStyle w:val="TableContents"/>
              <w:bidi w:val="0"/>
              <w:spacing w:before="0" w:after="0"/>
              <w:ind w:left="324" w:right="0" w:hanging="144"/>
              <w:jc w:val="left"/>
              <w:rPr>
                <w:color w:val="000000"/>
              </w:rPr>
            </w:pPr>
            <w:r>
              <w:rPr>
                <w:color w:val="000000"/>
              </w:rPr>
              <w:t>Cash dividends paid on common stock</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(2,771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(2,469</w:t>
            </w:r>
          </w:p>
        </w:tc>
        <w:tc>
          <w:tcPr>
            <w:tcW w:w="170" w:type="dxa"/>
            <w:tcBorders/>
            <w:vAlign w:val="bottom"/>
          </w:tcPr>
          <w:p>
            <w:pPr>
              <w:pStyle w:val="TableContents"/>
              <w:bidi w:val="0"/>
              <w:spacing w:before="0" w:after="0"/>
              <w:jc w:val="left"/>
              <w:rPr>
                <w:color w:val="000000"/>
              </w:rPr>
            </w:pPr>
            <w:r>
              <w:rPr>
                <w:color w:val="000000"/>
              </w:rPr>
              <w:t>)</w:t>
            </w:r>
          </w:p>
        </w:tc>
      </w:tr>
      <w:tr>
        <w:trPr/>
        <w:tc>
          <w:tcPr>
            <w:tcW w:w="6965" w:type="dxa"/>
            <w:tcBorders/>
            <w:shd w:fill="CCEEFF" w:val="clear"/>
            <w:vAlign w:val="bottom"/>
          </w:tcPr>
          <w:p>
            <w:pPr>
              <w:pStyle w:val="TableContents"/>
              <w:bidi w:val="0"/>
              <w:spacing w:before="0" w:after="0"/>
              <w:ind w:left="324" w:right="0" w:hanging="144"/>
              <w:jc w:val="left"/>
              <w:rPr>
                <w:color w:val="000000"/>
              </w:rPr>
            </w:pPr>
            <w:r>
              <w:rPr>
                <w:color w:val="000000"/>
              </w:rPr>
              <w:t>Payments to repurchase common stock</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(8,250</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6965" w:type="dxa"/>
            <w:tcBorders/>
            <w:vAlign w:val="bottom"/>
          </w:tcPr>
          <w:p>
            <w:pPr>
              <w:pStyle w:val="TableContents"/>
              <w:bidi w:val="0"/>
              <w:spacing w:before="0" w:after="0"/>
              <w:ind w:left="684" w:right="0" w:hanging="144"/>
              <w:jc w:val="left"/>
              <w:rPr>
                <w:color w:val="000000"/>
              </w:rPr>
            </w:pPr>
            <w:r>
              <w:rPr>
                <w:color w:val="000000"/>
              </w:rPr>
              <w:t>Net cash from financing activities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150,297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160,897</w:t>
            </w:r>
          </w:p>
        </w:tc>
        <w:tc>
          <w:tcPr>
            <w:tcW w:w="170"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144" w:right="0" w:hanging="144"/>
              <w:jc w:val="left"/>
              <w:rPr>
                <w:color w:val="000000"/>
              </w:rPr>
            </w:pPr>
            <w:r>
              <w:rPr>
                <w:color w:val="000000"/>
              </w:rPr>
              <w:t>Net change in cash and cash equivalents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169,561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177,218</w:t>
            </w:r>
          </w:p>
        </w:tc>
        <w:tc>
          <w:tcPr>
            <w:tcW w:w="170"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0"/>
              <w:ind w:left="144" w:right="0" w:hanging="144"/>
              <w:jc w:val="left"/>
              <w:rPr>
                <w:color w:val="000000"/>
              </w:rPr>
            </w:pPr>
            <w:r>
              <w:rPr>
                <w:color w:val="000000"/>
              </w:rPr>
              <w:t>Beginning cash and cash equivalents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552,439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359,082</w:t>
            </w:r>
          </w:p>
        </w:tc>
        <w:tc>
          <w:tcPr>
            <w:tcW w:w="170"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144" w:right="0" w:hanging="144"/>
              <w:jc w:val="left"/>
              <w:rPr>
                <w:color w:val="000000"/>
              </w:rPr>
            </w:pPr>
            <w:r>
              <w:rPr>
                <w:color w:val="000000"/>
              </w:rPr>
              <w:t>Ending cash and cash equivalents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0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722,000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536,300</w:t>
            </w:r>
          </w:p>
        </w:tc>
        <w:tc>
          <w:tcPr>
            <w:tcW w:w="170"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144" w:right="0" w:hanging="144"/>
              <w:jc w:val="left"/>
              <w:rPr>
                <w:color w:val="000000"/>
              </w:rPr>
            </w:pPr>
            <w:r>
              <w:rPr>
                <w:color w:val="000000"/>
              </w:rPr>
              <w:t>Supplemental disclosures of cash flow information: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0"/>
              <w:ind w:left="324" w:right="0" w:hanging="144"/>
              <w:jc w:val="left"/>
              <w:rPr>
                <w:color w:val="000000"/>
              </w:rPr>
            </w:pPr>
            <w:r>
              <w:rPr>
                <w:color w:val="000000"/>
              </w:rPr>
              <w:t>Interest paid on deposits and borrowed funds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905" w:type="dxa"/>
            <w:tcBorders/>
            <w:shd w:fill="CCEEFF" w:val="clear"/>
            <w:vAlign w:val="bottom"/>
          </w:tcPr>
          <w:p>
            <w:pPr>
              <w:pStyle w:val="TableContents"/>
              <w:bidi w:val="0"/>
              <w:spacing w:before="0" w:after="0"/>
              <w:jc w:val="right"/>
              <w:rPr>
                <w:color w:val="000000"/>
              </w:rPr>
            </w:pPr>
            <w:r>
              <w:rPr>
                <w:color w:val="000000"/>
              </w:rPr>
              <w:t>20,216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22,485</w:t>
            </w:r>
          </w:p>
        </w:tc>
        <w:tc>
          <w:tcPr>
            <w:tcW w:w="170"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324" w:right="0" w:hanging="144"/>
              <w:jc w:val="left"/>
              <w:rPr>
                <w:color w:val="000000"/>
              </w:rPr>
            </w:pPr>
            <w:r>
              <w:rPr>
                <w:color w:val="000000"/>
              </w:rPr>
              <w:t>Income taxes paid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170"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0"/>
              <w:ind w:left="144" w:right="0" w:hanging="144"/>
              <w:jc w:val="left"/>
              <w:rPr>
                <w:color w:val="000000"/>
              </w:rPr>
            </w:pPr>
            <w:r>
              <w:rPr>
                <w:color w:val="000000"/>
              </w:rPr>
              <w:t>Supplemental schedule of noncash activities: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324" w:right="0" w:hanging="144"/>
              <w:jc w:val="left"/>
              <w:rPr>
                <w:color w:val="000000"/>
              </w:rPr>
            </w:pPr>
            <w:r>
              <w:rPr>
                <w:color w:val="000000"/>
              </w:rPr>
              <w:t>Loans transferred to foreclosed assets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905" w:type="dxa"/>
            <w:tcBorders/>
            <w:vAlign w:val="bottom"/>
          </w:tcPr>
          <w:p>
            <w:pPr>
              <w:pStyle w:val="TableContents"/>
              <w:bidi w:val="0"/>
              <w:spacing w:before="0" w:after="0"/>
              <w:jc w:val="right"/>
              <w:rPr>
                <w:color w:val="000000"/>
              </w:rPr>
            </w:pPr>
            <w:r>
              <w:rPr>
                <w:color w:val="000000"/>
              </w:rPr>
              <w:t>225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498</w:t>
            </w:r>
          </w:p>
        </w:tc>
        <w:tc>
          <w:tcPr>
            <w:tcW w:w="170"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0"/>
              <w:ind w:left="324" w:right="0" w:hanging="144"/>
              <w:jc w:val="left"/>
              <w:rPr>
                <w:color w:val="000000"/>
              </w:rPr>
            </w:pPr>
            <w:r>
              <w:rPr>
                <w:color w:val="000000"/>
              </w:rPr>
              <w:t>Additions to mortgage servicing rights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320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199</w:t>
            </w:r>
          </w:p>
        </w:tc>
        <w:tc>
          <w:tcPr>
            <w:tcW w:w="1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SOUTH PLAINS FINANCIAL, INC. AND SUBSIDIARIES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NOTES</w:t>
      </w:r>
      <w:bookmarkStart w:id="36" w:name="NOTES"/>
      <w:bookmarkEnd w:id="36"/>
      <w:r>
        <w:rPr>
          <w:rFonts w:ascii="Times New Roman" w:hAnsi="Times New Roman"/>
          <w:b/>
          <w:color w:val="000000"/>
          <w:sz w:val="20"/>
          <w:shd w:fill="FFFFFF" w:val="clear"/>
        </w:rPr>
        <w:t xml:space="preserve"> TO CONSOLIDATED FINANCIAL STATEMENTS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center"/>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 SUMMARY OF SIGNIFICANT ACCOUNTING POLICIES</w:t>
      </w:r>
    </w:p>
    <w:p>
      <w:pPr>
        <w:pStyle w:val="TextBody"/>
        <w:bidi w:val="0"/>
        <w:spacing w:before="0" w:after="0"/>
        <w:jc w:val="center"/>
        <w:rPr/>
      </w:pPr>
      <w:r>
        <w:rPr/>
      </w:r>
    </w:p>
    <w:p>
      <w:pPr>
        <w:pStyle w:val="TextBody"/>
        <w:bidi w:val="0"/>
        <w:spacing w:before="0" w:after="0"/>
        <w:ind w:left="0" w:right="0" w:firstLine="1"/>
        <w:jc w:val="both"/>
        <w:rPr>
          <w:rFonts w:ascii="Times New Roman" w:hAnsi="Times New Roman"/>
          <w:color w:val="000000"/>
          <w:sz w:val="20"/>
          <w:shd w:fill="FFFFFF" w:val="clear"/>
        </w:rPr>
      </w:pPr>
      <w:r>
        <w:rPr>
          <w:rFonts w:ascii="Times New Roman" w:hAnsi="Times New Roman"/>
          <w:i/>
          <w:color w:val="000000"/>
          <w:sz w:val="20"/>
          <w:u w:val="single"/>
          <w:shd w:fill="FFFFFF" w:val="clear"/>
        </w:rPr>
        <w:t>Nature of Operations</w:t>
      </w:r>
      <w:r>
        <w:rPr>
          <w:rFonts w:ascii="Times New Roman" w:hAnsi="Times New Roman"/>
          <w:color w:val="000000"/>
          <w:sz w:val="20"/>
          <w:shd w:fill="FFFFFF" w:val="clear"/>
        </w:rPr>
        <w:t xml:space="preserve"> – South Plains Financial, Inc. (“SPFI”) is a Texas corporation and registered bank holding company that conducts its principal activities through its subsidiaries from offices located throughout Texas and Eastern New Mexico. Principal activities include commercial and retail banking, along with investment, trust, and mortgage services. The following were subsidiaries of SPFI as of March 31, 2026:</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37" w:name="z795dee547e4f473da56b9c59526f4f5b"/>
      <w:bookmarkStart w:id="38" w:name="z795dee547e4f473da56b9c59526f4f5b"/>
      <w:bookmarkEnd w:id="38"/>
    </w:p>
    <w:tbl>
      <w:tblPr>
        <w:tblW w:w="7420" w:type="dxa"/>
        <w:jc w:val="center"/>
        <w:tblInd w:w="0" w:type="dxa"/>
        <w:tblLayout w:type="fixed"/>
        <w:tblCellMar>
          <w:top w:w="0" w:type="dxa"/>
          <w:left w:w="0" w:type="dxa"/>
          <w:bottom w:w="0" w:type="dxa"/>
          <w:right w:w="0" w:type="dxa"/>
        </w:tblCellMar>
      </w:tblPr>
      <w:tblGrid>
        <w:gridCol w:w="5225"/>
        <w:gridCol w:w="2195"/>
      </w:tblGrid>
      <w:tr>
        <w:trPr/>
        <w:tc>
          <w:tcPr>
            <w:tcW w:w="5225" w:type="dxa"/>
            <w:tcBorders/>
            <w:vAlign w:val="center"/>
          </w:tcPr>
          <w:p>
            <w:pPr>
              <w:pStyle w:val="TableContents"/>
              <w:bidi w:val="0"/>
              <w:spacing w:before="0" w:after="0"/>
              <w:jc w:val="left"/>
              <w:rPr>
                <w:color w:val="000000"/>
              </w:rPr>
            </w:pPr>
            <w:r>
              <w:rPr>
                <w:color w:val="000000"/>
              </w:rPr>
              <w:t>Wholly-Owned, Consolidated Subsidiaries:</w:t>
            </w:r>
          </w:p>
        </w:tc>
        <w:tc>
          <w:tcPr>
            <w:tcW w:w="2195"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180" w:right="0" w:hanging="0"/>
              <w:jc w:val="left"/>
              <w:rPr>
                <w:color w:val="000000"/>
              </w:rPr>
            </w:pPr>
            <w:r>
              <w:rPr>
                <w:color w:val="000000"/>
              </w:rPr>
              <w:t>City Bank</w:t>
            </w:r>
          </w:p>
        </w:tc>
        <w:tc>
          <w:tcPr>
            <w:tcW w:w="2195" w:type="dxa"/>
            <w:tcBorders/>
            <w:shd w:fill="CCEEFF" w:val="clear"/>
            <w:vAlign w:val="center"/>
          </w:tcPr>
          <w:p>
            <w:pPr>
              <w:pStyle w:val="TableContents"/>
              <w:bidi w:val="0"/>
              <w:spacing w:before="0" w:after="0"/>
              <w:jc w:val="both"/>
              <w:rPr>
                <w:color w:val="000000"/>
              </w:rPr>
            </w:pPr>
            <w:r>
              <w:rPr>
                <w:color w:val="000000"/>
              </w:rPr>
              <w:t>Bank subsidiary</w:t>
            </w:r>
          </w:p>
        </w:tc>
      </w:tr>
      <w:tr>
        <w:trPr/>
        <w:tc>
          <w:tcPr>
            <w:tcW w:w="5225" w:type="dxa"/>
            <w:tcBorders/>
            <w:vAlign w:val="center"/>
          </w:tcPr>
          <w:p>
            <w:pPr>
              <w:pStyle w:val="TableContents"/>
              <w:bidi w:val="0"/>
              <w:spacing w:before="0" w:after="0"/>
              <w:ind w:left="180" w:right="0" w:hanging="0"/>
              <w:jc w:val="left"/>
              <w:rPr>
                <w:color w:val="000000"/>
              </w:rPr>
            </w:pPr>
            <w:r>
              <w:rPr>
                <w:color w:val="000000"/>
              </w:rPr>
              <w:t>Ruidoso Retail, Inc.</w:t>
            </w:r>
          </w:p>
        </w:tc>
        <w:tc>
          <w:tcPr>
            <w:tcW w:w="2195" w:type="dxa"/>
            <w:tcBorders/>
            <w:vAlign w:val="center"/>
          </w:tcPr>
          <w:p>
            <w:pPr>
              <w:pStyle w:val="TableContents"/>
              <w:bidi w:val="0"/>
              <w:spacing w:before="0" w:after="0"/>
              <w:jc w:val="both"/>
              <w:rPr>
                <w:color w:val="000000"/>
              </w:rPr>
            </w:pPr>
            <w:r>
              <w:rPr>
                <w:color w:val="000000"/>
              </w:rPr>
              <w:t>Non-bank subsidiary</w:t>
            </w:r>
          </w:p>
        </w:tc>
      </w:tr>
      <w:tr>
        <w:trPr/>
        <w:tc>
          <w:tcPr>
            <w:tcW w:w="5225" w:type="dxa"/>
            <w:tcBorders/>
            <w:shd w:fill="CCEEFF" w:val="clear"/>
            <w:vAlign w:val="center"/>
          </w:tcPr>
          <w:p>
            <w:pPr>
              <w:pStyle w:val="TableContents"/>
              <w:bidi w:val="0"/>
              <w:spacing w:before="0" w:after="0"/>
              <w:ind w:left="180" w:right="0" w:hanging="0"/>
              <w:jc w:val="left"/>
              <w:rPr>
                <w:color w:val="000000"/>
              </w:rPr>
            </w:pPr>
            <w:r>
              <w:rPr>
                <w:color w:val="000000"/>
              </w:rPr>
              <w:t>CB Provence, LLC</w:t>
            </w:r>
          </w:p>
        </w:tc>
        <w:tc>
          <w:tcPr>
            <w:tcW w:w="2195" w:type="dxa"/>
            <w:tcBorders/>
            <w:shd w:fill="CCEEFF" w:val="clear"/>
            <w:vAlign w:val="center"/>
          </w:tcPr>
          <w:p>
            <w:pPr>
              <w:pStyle w:val="TableContents"/>
              <w:bidi w:val="0"/>
              <w:spacing w:before="0" w:after="0"/>
              <w:jc w:val="both"/>
              <w:rPr>
                <w:color w:val="000000"/>
              </w:rPr>
            </w:pPr>
            <w:r>
              <w:rPr>
                <w:color w:val="000000"/>
              </w:rPr>
              <w:t>Non-bank subsidiary</w:t>
            </w:r>
          </w:p>
        </w:tc>
      </w:tr>
      <w:tr>
        <w:trPr/>
        <w:tc>
          <w:tcPr>
            <w:tcW w:w="5225" w:type="dxa"/>
            <w:tcBorders/>
            <w:vAlign w:val="center"/>
          </w:tcPr>
          <w:p>
            <w:pPr>
              <w:pStyle w:val="TableContents"/>
              <w:bidi w:val="0"/>
              <w:spacing w:before="0" w:after="0"/>
              <w:ind w:left="180" w:right="0" w:hanging="0"/>
              <w:jc w:val="left"/>
              <w:rPr>
                <w:color w:val="000000"/>
              </w:rPr>
            </w:pPr>
            <w:r>
              <w:rPr>
                <w:color w:val="000000"/>
              </w:rPr>
              <w:t>CBT Brushy Creek, LLC</w:t>
            </w:r>
          </w:p>
        </w:tc>
        <w:tc>
          <w:tcPr>
            <w:tcW w:w="2195" w:type="dxa"/>
            <w:tcBorders/>
            <w:vAlign w:val="center"/>
          </w:tcPr>
          <w:p>
            <w:pPr>
              <w:pStyle w:val="TableContents"/>
              <w:bidi w:val="0"/>
              <w:spacing w:before="0" w:after="0"/>
              <w:jc w:val="both"/>
              <w:rPr>
                <w:color w:val="000000"/>
              </w:rPr>
            </w:pPr>
            <w:r>
              <w:rPr>
                <w:color w:val="000000"/>
              </w:rPr>
              <w:t>Non-bank subsidiary</w:t>
            </w:r>
          </w:p>
        </w:tc>
      </w:tr>
      <w:tr>
        <w:trPr/>
        <w:tc>
          <w:tcPr>
            <w:tcW w:w="5225" w:type="dxa"/>
            <w:tcBorders/>
            <w:shd w:fill="CCEEFF" w:val="clear"/>
            <w:vAlign w:val="center"/>
          </w:tcPr>
          <w:p>
            <w:pPr>
              <w:pStyle w:val="TableContents"/>
              <w:bidi w:val="0"/>
              <w:spacing w:before="0" w:after="0"/>
              <w:ind w:left="180" w:right="0" w:hanging="0"/>
              <w:jc w:val="left"/>
              <w:rPr>
                <w:color w:val="000000"/>
              </w:rPr>
            </w:pPr>
            <w:r>
              <w:rPr>
                <w:color w:val="000000"/>
              </w:rPr>
              <w:t>CBT Properties, LLC</w:t>
            </w:r>
          </w:p>
        </w:tc>
        <w:tc>
          <w:tcPr>
            <w:tcW w:w="2195" w:type="dxa"/>
            <w:tcBorders/>
            <w:shd w:fill="CCEEFF" w:val="clear"/>
            <w:vAlign w:val="center"/>
          </w:tcPr>
          <w:p>
            <w:pPr>
              <w:pStyle w:val="TableContents"/>
              <w:bidi w:val="0"/>
              <w:spacing w:before="0" w:after="0"/>
              <w:jc w:val="both"/>
              <w:rPr>
                <w:color w:val="000000"/>
              </w:rPr>
            </w:pPr>
            <w:r>
              <w:rPr>
                <w:color w:val="000000"/>
              </w:rPr>
              <w:t>Non-bank subsidiary</w:t>
            </w:r>
          </w:p>
        </w:tc>
      </w:tr>
      <w:tr>
        <w:trPr/>
        <w:tc>
          <w:tcPr>
            <w:tcW w:w="5225" w:type="dxa"/>
            <w:tcBorders/>
            <w:vAlign w:val="center"/>
          </w:tcPr>
          <w:p>
            <w:pPr>
              <w:pStyle w:val="TableContents"/>
              <w:bidi w:val="0"/>
              <w:spacing w:before="0" w:after="0"/>
              <w:jc w:val="left"/>
              <w:rPr>
                <w:color w:val="000000"/>
              </w:rPr>
            </w:pPr>
            <w:r>
              <w:rPr>
                <w:color w:val="000000"/>
              </w:rPr>
              <w:t>Wholly-Owned, Equity Method Subsidiaries:</w:t>
            </w:r>
          </w:p>
        </w:tc>
        <w:tc>
          <w:tcPr>
            <w:tcW w:w="2195"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180" w:right="0" w:hanging="0"/>
              <w:jc w:val="left"/>
              <w:rPr>
                <w:color w:val="000000"/>
              </w:rPr>
            </w:pPr>
            <w:r>
              <w:rPr>
                <w:color w:val="000000"/>
              </w:rPr>
              <w:t>South Plains Financial Capital Trusts (“SPFCT”) III-V</w:t>
            </w:r>
          </w:p>
        </w:tc>
        <w:tc>
          <w:tcPr>
            <w:tcW w:w="2195" w:type="dxa"/>
            <w:tcBorders/>
            <w:shd w:fill="CCEEFF" w:val="clear"/>
            <w:vAlign w:val="center"/>
          </w:tcPr>
          <w:p>
            <w:pPr>
              <w:pStyle w:val="TableContents"/>
              <w:bidi w:val="0"/>
              <w:spacing w:before="0" w:after="0"/>
              <w:jc w:val="both"/>
              <w:rPr>
                <w:color w:val="000000"/>
              </w:rPr>
            </w:pPr>
            <w:r>
              <w:rPr>
                <w:color w:val="000000"/>
              </w:rPr>
              <w:t>Non-bank subsidiaries</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Basis of Presentation and Consolidation</w:t>
      </w:r>
      <w:r>
        <w:rPr>
          <w:rFonts w:ascii="Times New Roman" w:hAnsi="Times New Roman"/>
          <w:color w:val="000000"/>
          <w:sz w:val="20"/>
          <w:shd w:fill="FFFFFF" w:val="clear"/>
        </w:rPr>
        <w:t xml:space="preserve"> – The consolidated financial statements in this Quarterly Report on Form 10-Q for the three months ended March 31, 2026 (this “Form 10-Q”) include the accounts of SPFI and its wholly-owned consolidated subsidiaries (collectively referred to as the “Company”) identified above. All significant intercompany balances and transactions have been eliminated in consolidation.</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interim consolidated financial statements in this Form 10-Q have not been audited by an independent registered public accounting firm, but in the opinion of management, reflect all adjustments necessary for a fair presentation of the Company’s financial position, results of operations, and cash flows. All such adjustments were of a normal and recurring nature. The consolidated financial statements have been prepared in accordance with accounting principles generally accepted in the United States of America (“GAAP”) for interim financial information and with the instructions to Form 10-Q adopted by the U.S. Securities and Exchange Commission (“SEC”). Accordingly, the financial statements do not include all of the information and notes required by GAAP for complete financial statements and should be read in conjunction with the Company’s audited consolidated financial statements, and notes thereto in the Company’s Annual Report on Form 10-K for the year ended December 31, 2025 as filed with the SEC on March 5, 2026 (the “2025 Annual Report on Form 10-K”). Operating results for the interim periods disclosed herein are not necessarily indicative of the results that may be expected for a full year or any future period.</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Use of Estimates</w:t>
      </w:r>
      <w:r>
        <w:rPr>
          <w:rFonts w:ascii="Times New Roman" w:hAnsi="Times New Roman"/>
          <w:color w:val="000000"/>
          <w:sz w:val="20"/>
          <w:shd w:fill="FFFFFF" w:val="clear"/>
        </w:rPr>
        <w:t xml:space="preserve"> –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Determination of the adequacy of the allowance for credit losses (“ACL”) is a material estimate that is particularly susceptible to significant changes in the near term.</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Recent Accounting Pronouncements</w:t>
      </w:r>
      <w:r>
        <w:rPr>
          <w:rFonts w:ascii="Times New Roman" w:hAnsi="Times New Roman"/>
          <w:color w:val="000000"/>
          <w:sz w:val="20"/>
          <w:shd w:fill="FFFFFF" w:val="clear"/>
        </w:rPr>
        <w:t xml:space="preserve"> – Updates to the Financial Accounting Standards Board (“FASB”) Accounting Standards Codification (“ASC”) are prescribed in Accounting Standards Updates (“ASUs”), which are not authoritative until incorporated into the ASC.</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 xml:space="preserve">ASU 2023-06, Disclosure Improvements: Codification Amendments in Response to the SEC’s Disclosure Update and Simplification Initiative. </w:t>
      </w:r>
      <w:r>
        <w:rPr>
          <w:rFonts w:ascii="Times New Roman" w:hAnsi="Times New Roman"/>
          <w:color w:val="000000"/>
          <w:sz w:val="20"/>
          <w:shd w:fill="FFFFFF" w:val="clear"/>
        </w:rPr>
        <w:t>The amendments in this ASU modify the disclosure or presentation requirements of a variety of Topics in the Codification. Certain of the amendments represent clarifications to, or technical corrections of the current requirements. Each amendment in this ASU will only become effective if the SEC removes the related disclosure or presentation requirement from its existing regulations by June 30, 2027. The amendments in this ASU are not expected to have a material impact on the Company’s financial statements.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ASU 2024-03, Income Statement—Reporting Comprehensive Income—Expense Disaggregation Disclosures (Subtopic 220-40)</w:t>
      </w:r>
      <w:r>
        <w:rPr>
          <w:rFonts w:ascii="Times New Roman" w:hAnsi="Times New Roman"/>
          <w:color w:val="000000"/>
          <w:sz w:val="20"/>
          <w:shd w:fill="FFFFFF" w:val="clear"/>
        </w:rPr>
        <w:t>: Disaggregation of Income Statement Expenses. This ASU requires public companies to disclose in tabular format, in the notes to the financial statements, specific disaggregated information about certain prescribed categories of expenses at each interim and annual reporting period. The prescribed categories include, among other things, employee compensation, depreciation, and intangible asset amortization. This ASU is effective for public business entities for annual reporting periods beginning after December 15, 2026, and interim reporting periods beginning after December 15, 2027. Implementation of this ASU may be applied prospectively or retrospectively. The Company does not expect the adoption of this ASU to have a material impact on the Company’s financial statements.</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ASU 2025-08 Financial Instruments - Credit Losses (Topic 326): Purchased Loans.</w:t>
      </w:r>
      <w:r>
        <w:rPr>
          <w:rFonts w:ascii="Times New Roman" w:hAnsi="Times New Roman"/>
          <w:color w:val="000000"/>
          <w:sz w:val="20"/>
          <w:shd w:fill="FFFFFF" w:val="clear"/>
        </w:rPr>
        <w:t xml:space="preserve"> This ASU amends the guidance in ASC 326 on the accounting for certain purchased loans. Under this ASU, entities must account for acquired loans (excluding credit cards) that meet certain criteria at acquisition (“purchased seasoned loans”) by recognizing them at their purchase price plus an allowance for expected credit losses (the “gross-up” approach). This ASU’s amendments align the accounting for purchased seasoned loans with the treatment of financial assets purchased with more-than-insignificant credit deterioration since origination (“PCD”). Purchased seasoned loans are defined under this ASU as non-PCD loans that are obtained in a business combination, or non-PCD loans that (1) are obtained in an asset acquisition or upon consolidation of a variable interest entity that is not a business and (2) are acquired more than 90 days after their origination date by a transferee that was not involved in their origination. This ASU also introduces an accounting policy election related to the subsequent measurement of expected credit losses for entities that use a method other than a discounted cash flow analysis to estimate credit losses on purchased seasoned loans. If this accounting policy is elected, entities can use the amortized cost basis of the asset to subsequently measure their credit loss allowance. Accordingly, they can aggregate purchased and originated loans when adjusting estimates of credit losses for assets that share similar risk characteristics. This update is effective for annual reporting periods beginning after December 15, 2026, including interim reporting periods, and the adoption of this ASU must be applied prospectively. Early adoption is permitted in an interim or annual reporting period in which financial statements have not yet been issued or made available for issuance. An entity that adopts the amendments in an interim reporting period may apply them “as of the beginning of that interim reporting period or the beginning of the annual reporting period that includes that interim reporting period.” The Company expects to early adopt ASU 2025-08 in the second quarter of 2026 and apply it as part of the purchase accounting for BOH Holdings, Inc. The Company is currently evaluating the impact on its disclosures.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ASU 2025-11 Interim Reporting (Topic 270): Narrow-Scope Improvements.</w:t>
      </w:r>
      <w:r>
        <w:rPr>
          <w:rFonts w:ascii="Times New Roman" w:hAnsi="Times New Roman"/>
          <w:color w:val="000000"/>
          <w:sz w:val="20"/>
          <w:shd w:fill="FFFFFF" w:val="clear"/>
        </w:rPr>
        <w:t xml:space="preserve"> This ASU is intended to improve the navigability of the guidance in ASC 270 and clarify when it applies. Under the amendments, an entity is subject to ASC 270 if it provides “interim financial statements and notes in accordance with GAAP.” This ASU also addresses the form and content of such financial statements, adds lists to ASC 270 of the interim disclosures required by all other Codification topics, and establishes a principle under which an entity must “disclose events since the end of the last annual reporting period that have a material impact on the entity.” As the Board stated in the proposed guidance and reiterates in this ASU, the amendments are not intended to “change the fundamental nature of interim reporting or expand or reduce current interim disclosure requirements.” This update is effective for interim reporting periods within annual reporting periods beginning after December 15, 2027, early adoption is permitted. The amendments in this ASU are not expected to have a material impact on the Company’s financial statements.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Subsequent Events</w:t>
      </w:r>
      <w:r>
        <w:rPr>
          <w:rFonts w:ascii="Times New Roman" w:hAnsi="Times New Roman"/>
          <w:color w:val="000000"/>
          <w:sz w:val="20"/>
          <w:shd w:fill="FFFFFF" w:val="clear"/>
        </w:rPr>
        <w:t xml:space="preserve"> – The Company has evaluated subsequent events and transactions from March 31, 2026 through the date this Form 10-Q was filed with the SEC for potential recognition or disclosure as required by GAAP.</w:t>
      </w:r>
    </w:p>
    <w:p>
      <w:pPr>
        <w:pStyle w:val="TextBody"/>
        <w:bidi w:val="0"/>
        <w:spacing w:before="0" w:after="0"/>
        <w:jc w:val="center"/>
        <w:rPr/>
      </w:pPr>
      <w:r>
        <w:rPr/>
      </w:r>
    </w:p>
    <w:p>
      <w:pPr>
        <w:pStyle w:val="TextBody"/>
        <w:bidi w:val="0"/>
        <w:spacing w:before="0" w:after="0"/>
        <w:ind w:left="720" w:right="0" w:hanging="720"/>
        <w:jc w:val="both"/>
        <w:rPr>
          <w:rFonts w:ascii="Times New Roman" w:hAnsi="Times New Roman"/>
          <w:b/>
          <w:i/>
          <w:color w:val="000000"/>
          <w:sz w:val="20"/>
          <w:shd w:fill="FFFFFF" w:val="clear"/>
        </w:rPr>
      </w:pPr>
      <w:r>
        <w:rPr>
          <w:rFonts w:ascii="Times New Roman" w:hAnsi="Times New Roman"/>
          <w:b/>
          <w:i/>
          <w:color w:val="000000"/>
          <w:sz w:val="20"/>
          <w:shd w:fill="FFFFFF" w:val="clear"/>
        </w:rPr>
        <w:t>2. MERGERS AND ACQUISITIONS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December 1, 2025, SPFI and BOH Holdings, Inc., a Texas corporation (“BOH”), entered into an Agreement and Plan of Reorganization (the “Reorganization Agreement”), which provided for the acquisition by SPFI of BOH through the merger of BOH with and into SPFI, with SPFI surviving the merger (the “Merger”). At March 31, 2026, BOH had $685.0 million in assets, $631.9 million in total gross loans, and $595.6 million in deposits. Pursuant to the terms and subject to the conditions of the Reorganization Agreement, each share of BOH common stock held prior to the effective time of the Merger would be converted into the right to receive, without interest, 0.1925 shares of SPFI common stock, subject to adjustment pursuant to the terms of the Reorganization Agreement (the “Exchange Ratio”), plus cash in lieu of any fractional shares.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Reorganization Agreement provided that immediately following the consummation of the Merger, Bank of Houston, a Texas state banking association and wholly-owned subsidiary of BOH, would be merged with and into City Bank, a Texas state banking association and wholly-owned subsidiary of SPFI, with City Bank surviving the merger. See Note 15 for additional details.</w:t>
      </w:r>
    </w:p>
    <w:p>
      <w:pPr>
        <w:pStyle w:val="TextBody"/>
        <w:bidi w:val="0"/>
        <w:spacing w:before="0" w:after="0"/>
        <w:jc w:val="center"/>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3. SECURITIES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Securities available for sale are summarized as follows as of the dates presented below (dollars in thousands):</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39" w:name="z43ee161a8b494d32b02be72a8787ef2d"/>
      <w:bookmarkStart w:id="40" w:name="z43ee161a8b494d32b02be72a8787ef2d"/>
      <w:bookmarkEnd w:id="40"/>
    </w:p>
    <w:tbl>
      <w:tblPr>
        <w:tblW w:w="10205" w:type="dxa"/>
        <w:jc w:val="center"/>
        <w:tblInd w:w="0" w:type="dxa"/>
        <w:tblLayout w:type="fixed"/>
        <w:tblCellMar>
          <w:top w:w="0" w:type="dxa"/>
          <w:left w:w="0" w:type="dxa"/>
          <w:bottom w:w="0" w:type="dxa"/>
          <w:right w:w="0" w:type="dxa"/>
        </w:tblCellMar>
      </w:tblPr>
      <w:tblGrid>
        <w:gridCol w:w="3274"/>
        <w:gridCol w:w="90"/>
        <w:gridCol w:w="192"/>
        <w:gridCol w:w="938"/>
        <w:gridCol w:w="90"/>
        <w:gridCol w:w="90"/>
        <w:gridCol w:w="340"/>
        <w:gridCol w:w="820"/>
        <w:gridCol w:w="90"/>
        <w:gridCol w:w="90"/>
        <w:gridCol w:w="206"/>
        <w:gridCol w:w="954"/>
        <w:gridCol w:w="125"/>
        <w:gridCol w:w="90"/>
        <w:gridCol w:w="554"/>
        <w:gridCol w:w="945"/>
        <w:gridCol w:w="90"/>
        <w:gridCol w:w="90"/>
        <w:gridCol w:w="170"/>
        <w:gridCol w:w="830"/>
        <w:gridCol w:w="137"/>
      </w:tblGrid>
      <w:tr>
        <w:trPr/>
        <w:tc>
          <w:tcPr>
            <w:tcW w:w="327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Gross</w:t>
            </w:r>
          </w:p>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Gains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Gross</w:t>
            </w:r>
          </w:p>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Losses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99"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 xml:space="preserve">Allowance </w:t>
            </w:r>
          </w:p>
          <w:p>
            <w:pPr>
              <w:pStyle w:val="TableContents"/>
              <w:bidi w:val="0"/>
              <w:spacing w:before="0" w:after="0"/>
              <w:jc w:val="center"/>
              <w:rPr>
                <w:b/>
                <w:color w:val="000000"/>
              </w:rPr>
            </w:pPr>
            <w:r>
              <w:rPr>
                <w:b/>
                <w:color w:val="000000"/>
              </w:rPr>
              <w:t>for Credit Losses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137" w:type="dxa"/>
            <w:tcBorders/>
            <w:vAlign w:val="bottom"/>
          </w:tcPr>
          <w:p>
            <w:pPr>
              <w:pStyle w:val="TableContents"/>
              <w:bidi w:val="0"/>
              <w:spacing w:before="0" w:after="283"/>
              <w:jc w:val="left"/>
              <w:rPr/>
            </w:pPr>
            <w:r>
              <w:rPr/>
              <w:t> </w:t>
            </w:r>
          </w:p>
        </w:tc>
      </w:tr>
      <w:tr>
        <w:trPr/>
        <w:tc>
          <w:tcPr>
            <w:tcW w:w="3274" w:type="dxa"/>
            <w:tcBorders/>
            <w:vAlign w:val="bottom"/>
          </w:tcPr>
          <w:p>
            <w:pPr>
              <w:pStyle w:val="TableContents"/>
              <w:bidi w:val="0"/>
              <w:spacing w:before="0" w:after="0"/>
              <w:ind w:left="144" w:right="0" w:hanging="144"/>
              <w:jc w:val="left"/>
              <w:rPr>
                <w:color w:val="000000"/>
                <w:u w:val="single"/>
              </w:rPr>
            </w:pPr>
            <w:r>
              <w:rPr>
                <w:color w:val="000000"/>
                <w:u w:val="single"/>
              </w:rPr>
              <w:t>March 31, 2026</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99"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r>
      <w:tr>
        <w:trPr/>
        <w:tc>
          <w:tcPr>
            <w:tcW w:w="3274" w:type="dxa"/>
            <w:tcBorders/>
            <w:vAlign w:val="bottom"/>
          </w:tcPr>
          <w:p>
            <w:pPr>
              <w:pStyle w:val="TableContents"/>
              <w:bidi w:val="0"/>
              <w:spacing w:before="0" w:after="0"/>
              <w:ind w:left="144" w:right="0" w:hanging="144"/>
              <w:jc w:val="left"/>
              <w:rPr>
                <w:color w:val="000000"/>
              </w:rPr>
            </w:pPr>
            <w:r>
              <w:rPr>
                <w:color w:val="000000"/>
              </w:rPr>
              <w:t>Available for sale:</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99"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r>
      <w:tr>
        <w:trPr/>
        <w:tc>
          <w:tcPr>
            <w:tcW w:w="3274" w:type="dxa"/>
            <w:tcBorders/>
            <w:shd w:fill="CCEEFF" w:val="clear"/>
            <w:vAlign w:val="bottom"/>
          </w:tcPr>
          <w:p>
            <w:pPr>
              <w:pStyle w:val="TableContents"/>
              <w:bidi w:val="0"/>
              <w:spacing w:before="0" w:after="0"/>
              <w:ind w:left="324" w:right="0" w:hanging="144"/>
              <w:jc w:val="left"/>
              <w:rPr>
                <w:color w:val="000000"/>
              </w:rPr>
            </w:pPr>
            <w:r>
              <w:rPr>
                <w:color w:val="000000"/>
              </w:rPr>
              <w:t>U.S government and agencies</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0"/>
              <w:jc w:val="left"/>
              <w:rPr>
                <w:color w:val="000000"/>
              </w:rPr>
            </w:pPr>
            <w:r>
              <w:rPr>
                <w:color w:val="000000"/>
              </w:rPr>
              <w:t>$</w:t>
            </w:r>
          </w:p>
        </w:tc>
        <w:tc>
          <w:tcPr>
            <w:tcW w:w="938" w:type="dxa"/>
            <w:tcBorders/>
            <w:shd w:fill="CCEEFF" w:val="clear"/>
            <w:vAlign w:val="bottom"/>
          </w:tcPr>
          <w:p>
            <w:pPr>
              <w:pStyle w:val="TableContents"/>
              <w:bidi w:val="0"/>
              <w:spacing w:before="0" w:after="0"/>
              <w:jc w:val="right"/>
              <w:rPr>
                <w:color w:val="000000"/>
              </w:rPr>
            </w:pPr>
            <w:r>
              <w:rPr>
                <w:color w:val="000000"/>
              </w:rPr>
              <w:t>49,990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0"/>
              <w:jc w:val="left"/>
              <w:rPr>
                <w:color w:val="000000"/>
              </w:rPr>
            </w:pPr>
            <w:r>
              <w:rPr>
                <w:color w:val="000000"/>
              </w:rPr>
              <w:t>$</w:t>
            </w:r>
          </w:p>
        </w:tc>
        <w:tc>
          <w:tcPr>
            <w:tcW w:w="8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0"/>
              <w:jc w:val="left"/>
              <w:rPr>
                <w:color w:val="000000"/>
              </w:rPr>
            </w:pPr>
            <w:r>
              <w:rPr>
                <w:color w:val="000000"/>
              </w:rPr>
              <w:t>$</w:t>
            </w:r>
          </w:p>
        </w:tc>
        <w:tc>
          <w:tcPr>
            <w:tcW w:w="954"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bidi w:val="0"/>
              <w:spacing w:before="0" w:after="0"/>
              <w:jc w:val="left"/>
              <w:rPr>
                <w:color w:val="000000"/>
              </w:rPr>
            </w:pPr>
            <w:r>
              <w:rPr>
                <w:color w:val="000000"/>
              </w:rPr>
              <w:t>$</w:t>
            </w:r>
          </w:p>
        </w:tc>
        <w:tc>
          <w:tcPr>
            <w:tcW w:w="945"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49,990</w:t>
            </w:r>
          </w:p>
        </w:tc>
        <w:tc>
          <w:tcPr>
            <w:tcW w:w="137" w:type="dxa"/>
            <w:tcBorders/>
            <w:shd w:fill="CCEEFF" w:val="clear"/>
            <w:vAlign w:val="bottom"/>
          </w:tcPr>
          <w:p>
            <w:pPr>
              <w:pStyle w:val="TableContents"/>
              <w:bidi w:val="0"/>
              <w:spacing w:before="0" w:after="283"/>
              <w:jc w:val="left"/>
              <w:rPr/>
            </w:pPr>
            <w:r>
              <w:rPr/>
              <w:t> </w:t>
            </w:r>
          </w:p>
        </w:tc>
      </w:tr>
      <w:tr>
        <w:trPr/>
        <w:tc>
          <w:tcPr>
            <w:tcW w:w="3274" w:type="dxa"/>
            <w:tcBorders/>
            <w:vAlign w:val="bottom"/>
          </w:tcPr>
          <w:p>
            <w:pPr>
              <w:pStyle w:val="TableContents"/>
              <w:bidi w:val="0"/>
              <w:spacing w:before="0" w:after="0"/>
              <w:ind w:left="324" w:right="0" w:hanging="144"/>
              <w:jc w:val="left"/>
              <w:rPr>
                <w:color w:val="000000"/>
              </w:rPr>
            </w:pPr>
            <w:r>
              <w:rPr>
                <w:color w:val="000000"/>
              </w:rPr>
              <w:t>State and municipal</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198,274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color w:val="000000"/>
              </w:rPr>
            </w:pPr>
            <w:r>
              <w:rPr>
                <w:color w:val="000000"/>
              </w:rPr>
              <w:t>269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0"/>
              <w:jc w:val="right"/>
              <w:rPr>
                <w:color w:val="000000"/>
              </w:rPr>
            </w:pPr>
            <w:r>
              <w:rPr>
                <w:color w:val="000000"/>
              </w:rPr>
              <w:t>(25,346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173,197</w:t>
            </w:r>
          </w:p>
        </w:tc>
        <w:tc>
          <w:tcPr>
            <w:tcW w:w="137" w:type="dxa"/>
            <w:tcBorders/>
            <w:vAlign w:val="bottom"/>
          </w:tcPr>
          <w:p>
            <w:pPr>
              <w:pStyle w:val="TableContents"/>
              <w:bidi w:val="0"/>
              <w:spacing w:before="0" w:after="283"/>
              <w:jc w:val="left"/>
              <w:rPr/>
            </w:pPr>
            <w:r>
              <w:rPr/>
              <w:t> </w:t>
            </w:r>
          </w:p>
        </w:tc>
      </w:tr>
      <w:tr>
        <w:trPr/>
        <w:tc>
          <w:tcPr>
            <w:tcW w:w="3274" w:type="dxa"/>
            <w:tcBorders/>
            <w:shd w:fill="CCEEFF" w:val="clear"/>
            <w:vAlign w:val="bottom"/>
          </w:tcPr>
          <w:p>
            <w:pPr>
              <w:pStyle w:val="TableContents"/>
              <w:bidi w:val="0"/>
              <w:spacing w:before="0" w:after="0"/>
              <w:ind w:left="324" w:right="0" w:hanging="144"/>
              <w:jc w:val="left"/>
              <w:rPr>
                <w:color w:val="000000"/>
              </w:rPr>
            </w:pPr>
            <w:r>
              <w:rPr>
                <w:color w:val="000000"/>
              </w:rPr>
              <w:t>Residential mortgage-backed securities</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295,057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color w:val="000000"/>
              </w:rPr>
            </w:pPr>
            <w:r>
              <w:rPr>
                <w:color w:val="000000"/>
              </w:rPr>
              <w:t>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0"/>
              <w:jc w:val="right"/>
              <w:rPr>
                <w:color w:val="000000"/>
              </w:rPr>
            </w:pPr>
            <w:r>
              <w:rPr>
                <w:color w:val="000000"/>
              </w:rPr>
              <w:t>(41,083</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254,065</w:t>
            </w:r>
          </w:p>
        </w:tc>
        <w:tc>
          <w:tcPr>
            <w:tcW w:w="137" w:type="dxa"/>
            <w:tcBorders/>
            <w:shd w:fill="CCEEFF" w:val="clear"/>
            <w:vAlign w:val="bottom"/>
          </w:tcPr>
          <w:p>
            <w:pPr>
              <w:pStyle w:val="TableContents"/>
              <w:bidi w:val="0"/>
              <w:spacing w:before="0" w:after="283"/>
              <w:jc w:val="left"/>
              <w:rPr/>
            </w:pPr>
            <w:r>
              <w:rPr/>
              <w:t> </w:t>
            </w:r>
          </w:p>
        </w:tc>
      </w:tr>
      <w:tr>
        <w:trPr/>
        <w:tc>
          <w:tcPr>
            <w:tcW w:w="3274" w:type="dxa"/>
            <w:tcBorders/>
            <w:vAlign w:val="bottom"/>
          </w:tcPr>
          <w:p>
            <w:pPr>
              <w:pStyle w:val="TableContents"/>
              <w:bidi w:val="0"/>
              <w:spacing w:before="0" w:after="0"/>
              <w:ind w:left="324" w:right="0" w:hanging="144"/>
              <w:jc w:val="left"/>
              <w:rPr>
                <w:color w:val="000000"/>
              </w:rPr>
            </w:pPr>
            <w:r>
              <w:rPr>
                <w:color w:val="000000"/>
              </w:rPr>
              <w:t>Commercial mortgage-backed securities</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49,924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0"/>
              <w:jc w:val="right"/>
              <w:rPr>
                <w:color w:val="000000"/>
              </w:rPr>
            </w:pPr>
            <w:r>
              <w:rPr>
                <w:color w:val="000000"/>
              </w:rPr>
              <w:t>(4,091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45,833</w:t>
            </w:r>
          </w:p>
        </w:tc>
        <w:tc>
          <w:tcPr>
            <w:tcW w:w="137" w:type="dxa"/>
            <w:tcBorders/>
            <w:vAlign w:val="bottom"/>
          </w:tcPr>
          <w:p>
            <w:pPr>
              <w:pStyle w:val="TableContents"/>
              <w:bidi w:val="0"/>
              <w:spacing w:before="0" w:after="283"/>
              <w:jc w:val="left"/>
              <w:rPr/>
            </w:pPr>
            <w:r>
              <w:rPr/>
              <w:t> </w:t>
            </w:r>
          </w:p>
        </w:tc>
      </w:tr>
      <w:tr>
        <w:trPr/>
        <w:tc>
          <w:tcPr>
            <w:tcW w:w="3274" w:type="dxa"/>
            <w:tcBorders/>
            <w:shd w:fill="CCEEFF" w:val="clear"/>
            <w:vAlign w:val="bottom"/>
          </w:tcPr>
          <w:p>
            <w:pPr>
              <w:pStyle w:val="TableContents"/>
              <w:bidi w:val="0"/>
              <w:spacing w:before="0" w:after="0"/>
              <w:ind w:left="324" w:right="0" w:hanging="144"/>
              <w:jc w:val="left"/>
              <w:rPr>
                <w:color w:val="000000"/>
              </w:rPr>
            </w:pPr>
            <w:r>
              <w:rPr>
                <w:color w:val="000000"/>
              </w:rPr>
              <w:t>Commercial collateralized mortgage obligations</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67,206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color w:val="000000"/>
              </w:rPr>
            </w:pPr>
            <w:r>
              <w:rPr>
                <w:color w:val="000000"/>
              </w:rPr>
              <w:t>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0"/>
              <w:jc w:val="right"/>
              <w:rPr>
                <w:color w:val="000000"/>
              </w:rPr>
            </w:pPr>
            <w:r>
              <w:rPr>
                <w:color w:val="000000"/>
              </w:rPr>
              <w:t>(178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67,067</w:t>
            </w:r>
          </w:p>
        </w:tc>
        <w:tc>
          <w:tcPr>
            <w:tcW w:w="137" w:type="dxa"/>
            <w:tcBorders/>
            <w:shd w:fill="CCEEFF" w:val="clear"/>
            <w:vAlign w:val="bottom"/>
          </w:tcPr>
          <w:p>
            <w:pPr>
              <w:pStyle w:val="TableContents"/>
              <w:bidi w:val="0"/>
              <w:spacing w:before="0" w:after="283"/>
              <w:jc w:val="left"/>
              <w:rPr/>
            </w:pPr>
            <w:r>
              <w:rPr/>
              <w:t> </w:t>
            </w:r>
          </w:p>
        </w:tc>
      </w:tr>
      <w:tr>
        <w:trPr/>
        <w:tc>
          <w:tcPr>
            <w:tcW w:w="3274" w:type="dxa"/>
            <w:tcBorders/>
            <w:vAlign w:val="bottom"/>
          </w:tcPr>
          <w:p>
            <w:pPr>
              <w:pStyle w:val="TableContents"/>
              <w:bidi w:val="0"/>
              <w:spacing w:before="0" w:after="0"/>
              <w:ind w:left="324" w:right="0" w:hanging="144"/>
              <w:jc w:val="left"/>
              <w:rPr>
                <w:color w:val="000000"/>
              </w:rPr>
            </w:pPr>
            <w:r>
              <w:rPr>
                <w:color w:val="000000"/>
              </w:rPr>
              <w:t>Asset-backed and other amortizing securities</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13,550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0"/>
              <w:jc w:val="right"/>
              <w:rPr>
                <w:color w:val="000000"/>
              </w:rPr>
            </w:pPr>
            <w:r>
              <w:rPr>
                <w:color w:val="000000"/>
              </w:rPr>
              <w:t>(850</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12,700</w:t>
            </w:r>
          </w:p>
        </w:tc>
        <w:tc>
          <w:tcPr>
            <w:tcW w:w="137" w:type="dxa"/>
            <w:tcBorders/>
            <w:vAlign w:val="bottom"/>
          </w:tcPr>
          <w:p>
            <w:pPr>
              <w:pStyle w:val="TableContents"/>
              <w:bidi w:val="0"/>
              <w:spacing w:before="0" w:after="283"/>
              <w:jc w:val="left"/>
              <w:rPr/>
            </w:pPr>
            <w:r>
              <w:rPr/>
              <w:t> </w:t>
            </w:r>
          </w:p>
        </w:tc>
      </w:tr>
      <w:tr>
        <w:trPr/>
        <w:tc>
          <w:tcPr>
            <w:tcW w:w="3274" w:type="dxa"/>
            <w:tcBorders/>
            <w:shd w:fill="CCEEFF" w:val="clear"/>
            <w:vAlign w:val="bottom"/>
          </w:tcPr>
          <w:p>
            <w:pPr>
              <w:pStyle w:val="TableContents"/>
              <w:bidi w:val="0"/>
              <w:spacing w:before="0" w:after="0"/>
              <w:ind w:left="324" w:right="0" w:hanging="144"/>
              <w:jc w:val="left"/>
              <w:rPr>
                <w:color w:val="000000"/>
              </w:rPr>
            </w:pPr>
            <w:r>
              <w:rPr>
                <w:color w:val="000000"/>
              </w:rPr>
              <w:t>Other securities</w:t>
            </w:r>
          </w:p>
        </w:tc>
        <w:tc>
          <w:tcPr>
            <w:tcW w:w="90"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5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37" w:type="dxa"/>
            <w:tcBorders/>
            <w:shd w:fill="CCEEFF" w:val="clear"/>
            <w:vAlign w:val="bottom"/>
          </w:tcPr>
          <w:p>
            <w:pPr>
              <w:pStyle w:val="TableContents"/>
              <w:bidi w:val="0"/>
              <w:spacing w:before="0" w:after="283"/>
              <w:jc w:val="left"/>
              <w:rPr/>
            </w:pPr>
            <w:r>
              <w:rPr/>
              <w:t> </w:t>
            </w:r>
          </w:p>
        </w:tc>
      </w:tr>
      <w:tr>
        <w:trPr/>
        <w:tc>
          <w:tcPr>
            <w:tcW w:w="327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3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674,001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2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399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5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(71,548</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55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4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602,852</w:t>
            </w:r>
          </w:p>
        </w:tc>
        <w:tc>
          <w:tcPr>
            <w:tcW w:w="137" w:type="dxa"/>
            <w:tcBorders/>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Normal"/>
        <w:bidi w:val="0"/>
        <w:spacing w:before="0" w:after="0"/>
        <w:jc w:val="center"/>
        <w:rPr>
          <w:sz w:val="4"/>
          <w:szCs w:val="4"/>
        </w:rPr>
      </w:pPr>
      <w:r>
        <w:rPr>
          <w:sz w:val="4"/>
          <w:szCs w:val="4"/>
        </w:rPr>
      </w:r>
      <w:bookmarkStart w:id="41" w:name="zb77ce497d2fc4c849ae6cce5f3082a53"/>
      <w:bookmarkStart w:id="42" w:name="zb77ce497d2fc4c849ae6cce5f3082a53"/>
      <w:bookmarkEnd w:id="42"/>
    </w:p>
    <w:tbl>
      <w:tblPr>
        <w:tblW w:w="9540" w:type="dxa"/>
        <w:jc w:val="center"/>
        <w:tblInd w:w="0" w:type="dxa"/>
        <w:tblLayout w:type="fixed"/>
        <w:tblCellMar>
          <w:top w:w="0" w:type="dxa"/>
          <w:left w:w="0" w:type="dxa"/>
          <w:bottom w:w="0" w:type="dxa"/>
          <w:right w:w="0" w:type="dxa"/>
        </w:tblCellMar>
      </w:tblPr>
      <w:tblGrid>
        <w:gridCol w:w="4565"/>
        <w:gridCol w:w="90"/>
        <w:gridCol w:w="170"/>
        <w:gridCol w:w="830"/>
        <w:gridCol w:w="90"/>
        <w:gridCol w:w="90"/>
        <w:gridCol w:w="170"/>
        <w:gridCol w:w="410"/>
        <w:gridCol w:w="90"/>
        <w:gridCol w:w="90"/>
        <w:gridCol w:w="170"/>
        <w:gridCol w:w="785"/>
        <w:gridCol w:w="125"/>
        <w:gridCol w:w="90"/>
        <w:gridCol w:w="170"/>
        <w:gridCol w:w="290"/>
        <w:gridCol w:w="90"/>
        <w:gridCol w:w="90"/>
        <w:gridCol w:w="170"/>
        <w:gridCol w:w="830"/>
        <w:gridCol w:w="135"/>
      </w:tblGrid>
      <w:tr>
        <w:trPr/>
        <w:tc>
          <w:tcPr>
            <w:tcW w:w="4565" w:type="dxa"/>
            <w:tcBorders/>
            <w:vAlign w:val="bottom"/>
          </w:tcPr>
          <w:p>
            <w:pPr>
              <w:pStyle w:val="TableContents"/>
              <w:bidi w:val="0"/>
              <w:spacing w:before="0" w:after="0"/>
              <w:ind w:left="144" w:right="0" w:hanging="144"/>
              <w:jc w:val="left"/>
              <w:rPr>
                <w:color w:val="000000"/>
                <w:u w:val="single"/>
              </w:rPr>
            </w:pPr>
            <w:r>
              <w:rPr>
                <w:color w:val="000000"/>
                <w:u w:val="single"/>
              </w:rPr>
              <w:t>December 31, 2025</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4565" w:type="dxa"/>
            <w:tcBorders/>
            <w:vAlign w:val="bottom"/>
          </w:tcPr>
          <w:p>
            <w:pPr>
              <w:pStyle w:val="TableContents"/>
              <w:bidi w:val="0"/>
              <w:spacing w:before="0" w:after="0"/>
              <w:ind w:left="144" w:right="0" w:hanging="144"/>
              <w:jc w:val="left"/>
              <w:rPr>
                <w:color w:val="000000"/>
              </w:rPr>
            </w:pPr>
            <w:r>
              <w:rPr>
                <w:color w:val="000000"/>
              </w:rPr>
              <w:t>Available for sale:</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4565" w:type="dxa"/>
            <w:tcBorders/>
            <w:shd w:fill="CCEEFF" w:val="clear"/>
            <w:vAlign w:val="bottom"/>
          </w:tcPr>
          <w:p>
            <w:pPr>
              <w:pStyle w:val="TableContents"/>
              <w:bidi w:val="0"/>
              <w:spacing w:before="0" w:after="0"/>
              <w:ind w:left="324" w:right="0" w:hanging="144"/>
              <w:jc w:val="left"/>
              <w:rPr>
                <w:color w:val="000000"/>
              </w:rPr>
            </w:pPr>
            <w:r>
              <w:rPr>
                <w:color w:val="000000"/>
              </w:rPr>
              <w:t>State and municipal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199,417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410" w:type="dxa"/>
            <w:tcBorders/>
            <w:shd w:fill="CCEEFF" w:val="clear"/>
            <w:vAlign w:val="bottom"/>
          </w:tcPr>
          <w:p>
            <w:pPr>
              <w:pStyle w:val="TableContents"/>
              <w:bidi w:val="0"/>
              <w:spacing w:before="0" w:after="0"/>
              <w:jc w:val="right"/>
              <w:rPr>
                <w:color w:val="000000"/>
              </w:rPr>
            </w:pPr>
            <w:r>
              <w:rPr>
                <w:color w:val="000000"/>
              </w:rPr>
              <w:t>388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85" w:type="dxa"/>
            <w:tcBorders/>
            <w:shd w:fill="CCEEFF" w:val="clear"/>
            <w:vAlign w:val="bottom"/>
          </w:tcPr>
          <w:p>
            <w:pPr>
              <w:pStyle w:val="TableContents"/>
              <w:bidi w:val="0"/>
              <w:spacing w:before="0" w:after="0"/>
              <w:jc w:val="right"/>
              <w:rPr>
                <w:color w:val="000000"/>
              </w:rPr>
            </w:pPr>
            <w:r>
              <w:rPr>
                <w:color w:val="000000"/>
              </w:rPr>
              <w:t>(23,500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29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176,305</w:t>
            </w:r>
          </w:p>
        </w:tc>
        <w:tc>
          <w:tcPr>
            <w:tcW w:w="135" w:type="dxa"/>
            <w:tcBorders/>
            <w:shd w:fill="CCEEFF" w:val="clear"/>
            <w:vAlign w:val="bottom"/>
          </w:tcPr>
          <w:p>
            <w:pPr>
              <w:pStyle w:val="TableContents"/>
              <w:bidi w:val="0"/>
              <w:spacing w:before="0" w:after="283"/>
              <w:jc w:val="left"/>
              <w:rPr/>
            </w:pPr>
            <w:r>
              <w:rPr/>
              <w:t> </w:t>
            </w:r>
          </w:p>
        </w:tc>
      </w:tr>
      <w:tr>
        <w:trPr/>
        <w:tc>
          <w:tcPr>
            <w:tcW w:w="4565" w:type="dxa"/>
            <w:tcBorders/>
            <w:vAlign w:val="bottom"/>
          </w:tcPr>
          <w:p>
            <w:pPr>
              <w:pStyle w:val="TableContents"/>
              <w:bidi w:val="0"/>
              <w:spacing w:before="0" w:after="0"/>
              <w:ind w:left="324" w:right="0" w:hanging="144"/>
              <w:jc w:val="left"/>
              <w:rPr>
                <w:color w:val="000000"/>
              </w:rPr>
            </w:pPr>
            <w:r>
              <w:rPr>
                <w:color w:val="000000"/>
              </w:rPr>
              <w:t>Residential mortgage-backed securities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302,711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right"/>
              <w:rPr>
                <w:color w:val="000000"/>
              </w:rPr>
            </w:pPr>
            <w:r>
              <w:rPr>
                <w:color w:val="000000"/>
              </w:rPr>
              <w:t>130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(42,081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260,760</w:t>
            </w:r>
          </w:p>
        </w:tc>
        <w:tc>
          <w:tcPr>
            <w:tcW w:w="135" w:type="dxa"/>
            <w:tcBorders/>
            <w:vAlign w:val="bottom"/>
          </w:tcPr>
          <w:p>
            <w:pPr>
              <w:pStyle w:val="TableContents"/>
              <w:bidi w:val="0"/>
              <w:spacing w:before="0" w:after="283"/>
              <w:jc w:val="left"/>
              <w:rPr/>
            </w:pPr>
            <w:r>
              <w:rPr/>
              <w:t> </w:t>
            </w:r>
          </w:p>
        </w:tc>
      </w:tr>
      <w:tr>
        <w:trPr/>
        <w:tc>
          <w:tcPr>
            <w:tcW w:w="4565" w:type="dxa"/>
            <w:tcBorders/>
            <w:shd w:fill="CCEEFF" w:val="clear"/>
            <w:vAlign w:val="bottom"/>
          </w:tcPr>
          <w:p>
            <w:pPr>
              <w:pStyle w:val="TableContents"/>
              <w:bidi w:val="0"/>
              <w:spacing w:before="0" w:after="0"/>
              <w:ind w:left="324" w:right="0" w:hanging="144"/>
              <w:jc w:val="left"/>
              <w:rPr>
                <w:color w:val="000000"/>
              </w:rPr>
            </w:pPr>
            <w:r>
              <w:rPr>
                <w:color w:val="000000"/>
              </w:rPr>
              <w:t>Commercial mortgage-backed securities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48,769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color w:val="000000"/>
              </w:rPr>
            </w:pPr>
            <w:r>
              <w:rPr>
                <w:color w:val="000000"/>
              </w:rPr>
              <w:t>(3,983</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44,786</w:t>
            </w:r>
          </w:p>
        </w:tc>
        <w:tc>
          <w:tcPr>
            <w:tcW w:w="135" w:type="dxa"/>
            <w:tcBorders/>
            <w:shd w:fill="CCEEFF" w:val="clear"/>
            <w:vAlign w:val="bottom"/>
          </w:tcPr>
          <w:p>
            <w:pPr>
              <w:pStyle w:val="TableContents"/>
              <w:bidi w:val="0"/>
              <w:spacing w:before="0" w:after="283"/>
              <w:jc w:val="left"/>
              <w:rPr/>
            </w:pPr>
            <w:r>
              <w:rPr/>
              <w:t> </w:t>
            </w:r>
          </w:p>
        </w:tc>
      </w:tr>
      <w:tr>
        <w:trPr/>
        <w:tc>
          <w:tcPr>
            <w:tcW w:w="4565" w:type="dxa"/>
            <w:tcBorders/>
            <w:vAlign w:val="bottom"/>
          </w:tcPr>
          <w:p>
            <w:pPr>
              <w:pStyle w:val="TableContents"/>
              <w:bidi w:val="0"/>
              <w:spacing w:before="0" w:after="0"/>
              <w:ind w:left="324" w:right="0" w:hanging="144"/>
              <w:jc w:val="left"/>
              <w:rPr>
                <w:color w:val="000000"/>
              </w:rPr>
            </w:pPr>
            <w:r>
              <w:rPr>
                <w:color w:val="000000"/>
              </w:rPr>
              <w:t>Commercial collateralized mortgage obligations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67,708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right"/>
              <w:rPr>
                <w:color w:val="000000"/>
              </w:rPr>
            </w:pPr>
            <w:r>
              <w:rPr>
                <w:color w:val="000000"/>
              </w:rPr>
              <w:t>77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(188</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67,597</w:t>
            </w:r>
          </w:p>
        </w:tc>
        <w:tc>
          <w:tcPr>
            <w:tcW w:w="135" w:type="dxa"/>
            <w:tcBorders/>
            <w:vAlign w:val="bottom"/>
          </w:tcPr>
          <w:p>
            <w:pPr>
              <w:pStyle w:val="TableContents"/>
              <w:bidi w:val="0"/>
              <w:spacing w:before="0" w:after="283"/>
              <w:jc w:val="left"/>
              <w:rPr/>
            </w:pPr>
            <w:r>
              <w:rPr/>
              <w:t> </w:t>
            </w:r>
          </w:p>
        </w:tc>
      </w:tr>
      <w:tr>
        <w:trPr/>
        <w:tc>
          <w:tcPr>
            <w:tcW w:w="4565" w:type="dxa"/>
            <w:tcBorders/>
            <w:shd w:fill="CCEEFF" w:val="clear"/>
            <w:vAlign w:val="bottom"/>
          </w:tcPr>
          <w:p>
            <w:pPr>
              <w:pStyle w:val="TableContents"/>
              <w:bidi w:val="0"/>
              <w:spacing w:before="0" w:after="0"/>
              <w:ind w:left="324" w:right="0" w:hanging="144"/>
              <w:jc w:val="left"/>
              <w:rPr>
                <w:color w:val="000000"/>
              </w:rPr>
            </w:pPr>
            <w:r>
              <w:rPr>
                <w:color w:val="000000"/>
              </w:rPr>
              <w:t>Asset-backed and other amortizing securities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13,972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color w:val="000000"/>
              </w:rPr>
            </w:pPr>
            <w:r>
              <w:rPr>
                <w:color w:val="000000"/>
              </w:rPr>
              <w:t>(840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13,132</w:t>
            </w:r>
          </w:p>
        </w:tc>
        <w:tc>
          <w:tcPr>
            <w:tcW w:w="135" w:type="dxa"/>
            <w:tcBorders/>
            <w:shd w:fill="CCEEFF" w:val="clear"/>
            <w:vAlign w:val="bottom"/>
          </w:tcPr>
          <w:p>
            <w:pPr>
              <w:pStyle w:val="TableContents"/>
              <w:bidi w:val="0"/>
              <w:spacing w:before="0" w:after="283"/>
              <w:jc w:val="left"/>
              <w:rPr/>
            </w:pPr>
            <w:r>
              <w:rPr/>
              <w:t> </w:t>
            </w:r>
          </w:p>
        </w:tc>
      </w:tr>
      <w:tr>
        <w:trPr/>
        <w:tc>
          <w:tcPr>
            <w:tcW w:w="4565" w:type="dxa"/>
            <w:tcBorders/>
            <w:vAlign w:val="bottom"/>
          </w:tcPr>
          <w:p>
            <w:pPr>
              <w:pStyle w:val="TableContents"/>
              <w:bidi w:val="0"/>
              <w:spacing w:before="0" w:after="0"/>
              <w:ind w:left="324" w:right="0" w:hanging="144"/>
              <w:jc w:val="left"/>
              <w:rPr>
                <w:color w:val="000000"/>
              </w:rPr>
            </w:pPr>
            <w:r>
              <w:rPr>
                <w:color w:val="000000"/>
              </w:rPr>
              <w:t>Other securities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5,000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4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(40</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2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4,960</w:t>
            </w:r>
          </w:p>
        </w:tc>
        <w:tc>
          <w:tcPr>
            <w:tcW w:w="135" w:type="dxa"/>
            <w:tcBorders/>
            <w:vAlign w:val="bottom"/>
          </w:tcPr>
          <w:p>
            <w:pPr>
              <w:pStyle w:val="TableContents"/>
              <w:bidi w:val="0"/>
              <w:spacing w:before="0" w:after="283"/>
              <w:jc w:val="left"/>
              <w:rPr/>
            </w:pPr>
            <w:r>
              <w:rPr/>
              <w:t> </w:t>
            </w:r>
          </w:p>
        </w:tc>
      </w:tr>
      <w:tr>
        <w:trPr/>
        <w:tc>
          <w:tcPr>
            <w:tcW w:w="456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637,577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4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595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8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(70,632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2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567,540</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amortized cost and estimated fair value of securities at March 31, 2026 are presented below by contractual maturity (dollars in thousands). Expected maturities may differ from contractual maturities because issuers may have the right to call or prepay obligations. Declining-balance securities are shown separately since they are not due at a single maturity date.</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43" w:name="z3c111561810f46ada67d7ada102c3d2b"/>
      <w:bookmarkStart w:id="44" w:name="z3c111561810f46ada67d7ada102c3d2b"/>
      <w:bookmarkEnd w:id="44"/>
    </w:p>
    <w:tbl>
      <w:tblPr>
        <w:tblW w:w="5624" w:type="dxa"/>
        <w:jc w:val="center"/>
        <w:tblInd w:w="0" w:type="dxa"/>
        <w:tblLayout w:type="fixed"/>
        <w:tblCellMar>
          <w:top w:w="0" w:type="dxa"/>
          <w:left w:w="0" w:type="dxa"/>
          <w:bottom w:w="0" w:type="dxa"/>
          <w:right w:w="0" w:type="dxa"/>
        </w:tblCellMar>
      </w:tblPr>
      <w:tblGrid>
        <w:gridCol w:w="2945"/>
        <w:gridCol w:w="90"/>
        <w:gridCol w:w="192"/>
        <w:gridCol w:w="938"/>
        <w:gridCol w:w="90"/>
        <w:gridCol w:w="90"/>
        <w:gridCol w:w="194"/>
        <w:gridCol w:w="950"/>
        <w:gridCol w:w="135"/>
      </w:tblGrid>
      <w:tr>
        <w:trPr/>
        <w:tc>
          <w:tcPr>
            <w:tcW w:w="29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54"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Available for Sale</w:t>
            </w:r>
          </w:p>
        </w:tc>
        <w:tc>
          <w:tcPr>
            <w:tcW w:w="135" w:type="dxa"/>
            <w:tcBorders/>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w:t>
            </w:r>
          </w:p>
        </w:tc>
        <w:tc>
          <w:tcPr>
            <w:tcW w:w="13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ind w:left="144" w:right="0" w:hanging="144"/>
              <w:jc w:val="left"/>
              <w:rPr>
                <w:color w:val="000000"/>
              </w:rPr>
            </w:pPr>
            <w:r>
              <w:rPr>
                <w:color w:val="000000"/>
              </w:rPr>
              <w:t>Within 1 year</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0"/>
              <w:jc w:val="left"/>
              <w:rPr>
                <w:color w:val="000000"/>
              </w:rPr>
            </w:pPr>
            <w:r>
              <w:rPr>
                <w:color w:val="000000"/>
              </w:rPr>
              <w:t>$</w:t>
            </w:r>
          </w:p>
        </w:tc>
        <w:tc>
          <w:tcPr>
            <w:tcW w:w="938" w:type="dxa"/>
            <w:tcBorders/>
            <w:shd w:fill="CCEEFF" w:val="clear"/>
            <w:vAlign w:val="bottom"/>
          </w:tcPr>
          <w:p>
            <w:pPr>
              <w:pStyle w:val="TableContents"/>
              <w:bidi w:val="0"/>
              <w:spacing w:before="0" w:after="0"/>
              <w:jc w:val="right"/>
              <w:rPr>
                <w:color w:val="000000"/>
              </w:rPr>
            </w:pPr>
            <w:r>
              <w:rPr>
                <w:color w:val="000000"/>
              </w:rPr>
              <w:t>49,990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0"/>
              <w:jc w:val="left"/>
              <w:rPr>
                <w:color w:val="000000"/>
              </w:rPr>
            </w:pPr>
            <w:r>
              <w:rPr>
                <w:color w:val="000000"/>
              </w:rPr>
              <w:t>$</w:t>
            </w:r>
          </w:p>
        </w:tc>
        <w:tc>
          <w:tcPr>
            <w:tcW w:w="950" w:type="dxa"/>
            <w:tcBorders/>
            <w:shd w:fill="CCEEFF" w:val="clear"/>
            <w:vAlign w:val="bottom"/>
          </w:tcPr>
          <w:p>
            <w:pPr>
              <w:pStyle w:val="TableContents"/>
              <w:bidi w:val="0"/>
              <w:spacing w:before="0" w:after="0"/>
              <w:jc w:val="right"/>
              <w:rPr>
                <w:color w:val="000000"/>
              </w:rPr>
            </w:pPr>
            <w:r>
              <w:rPr>
                <w:color w:val="000000"/>
              </w:rPr>
              <w:t>49,990</w:t>
            </w:r>
          </w:p>
        </w:tc>
        <w:tc>
          <w:tcPr>
            <w:tcW w:w="135"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ind w:left="144" w:right="0" w:hanging="144"/>
              <w:jc w:val="left"/>
              <w:rPr>
                <w:color w:val="000000"/>
              </w:rPr>
            </w:pPr>
            <w:r>
              <w:rPr>
                <w:color w:val="000000"/>
              </w:rPr>
              <w:t>After 1 year through 5 years</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5,072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color w:val="000000"/>
              </w:rPr>
            </w:pPr>
            <w:r>
              <w:rPr>
                <w:color w:val="000000"/>
              </w:rPr>
              <w:t>5,015</w:t>
            </w:r>
          </w:p>
        </w:tc>
        <w:tc>
          <w:tcPr>
            <w:tcW w:w="13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ind w:left="144" w:right="0" w:hanging="144"/>
              <w:jc w:val="left"/>
              <w:rPr>
                <w:color w:val="000000"/>
              </w:rPr>
            </w:pPr>
            <w:r>
              <w:rPr>
                <w:color w:val="000000"/>
              </w:rPr>
              <w:t>After 5 years through 10 years</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13,909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color w:val="000000"/>
              </w:rPr>
            </w:pPr>
            <w:r>
              <w:rPr>
                <w:color w:val="000000"/>
              </w:rPr>
              <w:t>13,067</w:t>
            </w:r>
          </w:p>
        </w:tc>
        <w:tc>
          <w:tcPr>
            <w:tcW w:w="135"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ind w:left="144" w:right="0" w:hanging="144"/>
              <w:jc w:val="left"/>
              <w:rPr>
                <w:color w:val="000000"/>
              </w:rPr>
            </w:pPr>
            <w:r>
              <w:rPr>
                <w:color w:val="000000"/>
              </w:rPr>
              <w:t>After 10 years</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179,293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color w:val="000000"/>
              </w:rPr>
            </w:pPr>
            <w:r>
              <w:rPr>
                <w:color w:val="000000"/>
              </w:rPr>
              <w:t>155,115</w:t>
            </w:r>
          </w:p>
        </w:tc>
        <w:tc>
          <w:tcPr>
            <w:tcW w:w="13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ind w:left="144" w:right="0" w:hanging="144"/>
              <w:jc w:val="left"/>
              <w:rPr>
                <w:color w:val="000000"/>
              </w:rPr>
            </w:pPr>
            <w:r>
              <w:rPr>
                <w:color w:val="000000"/>
              </w:rPr>
              <w:t>Declining-balance securities</w:t>
            </w:r>
          </w:p>
        </w:tc>
        <w:tc>
          <w:tcPr>
            <w:tcW w:w="90"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425,737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379,665</w:t>
            </w:r>
          </w:p>
        </w:tc>
        <w:tc>
          <w:tcPr>
            <w:tcW w:w="135"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3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674,001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5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602,852</w:t>
            </w:r>
          </w:p>
        </w:tc>
        <w:tc>
          <w:tcPr>
            <w:tcW w:w="135" w:type="dxa"/>
            <w:tcBorders/>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At both March 31, 2026 and December 31, 2025, there were no holdings of securities of any one issuer, other than the U.S. government, its agencies, or its sponsored enterprises, in an amount greater than 10% of stockholders’ equity.</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Securities with a carrying value of approximately $469.7 million and $413.7 million at March 31, 2026 and December 31, 2025, respectively, were pledged to collateralize public deposits and for other purposes as required or permitted by law.</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segregates securities with unrealized losses at the dates indicated, by the duration they have been in a loss position for which an allowance for credit losses has not been recorded (dollars in thousands):</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45" w:name="za00ac24015c947a68ccfc7fc953c212b"/>
      <w:bookmarkStart w:id="46" w:name="za00ac24015c947a68ccfc7fc953c212b"/>
      <w:bookmarkEnd w:id="46"/>
    </w:p>
    <w:tbl>
      <w:tblPr>
        <w:tblW w:w="10205" w:type="dxa"/>
        <w:jc w:val="center"/>
        <w:tblInd w:w="0" w:type="dxa"/>
        <w:tblLayout w:type="fixed"/>
        <w:tblCellMar>
          <w:top w:w="0" w:type="dxa"/>
          <w:left w:w="0" w:type="dxa"/>
          <w:bottom w:w="0" w:type="dxa"/>
          <w:right w:w="0" w:type="dxa"/>
        </w:tblCellMar>
      </w:tblPr>
      <w:tblGrid>
        <w:gridCol w:w="2602"/>
        <w:gridCol w:w="90"/>
        <w:gridCol w:w="188"/>
        <w:gridCol w:w="788"/>
        <w:gridCol w:w="99"/>
        <w:gridCol w:w="99"/>
        <w:gridCol w:w="340"/>
        <w:gridCol w:w="820"/>
        <w:gridCol w:w="90"/>
        <w:gridCol w:w="90"/>
        <w:gridCol w:w="170"/>
        <w:gridCol w:w="830"/>
        <w:gridCol w:w="90"/>
        <w:gridCol w:w="90"/>
        <w:gridCol w:w="224"/>
        <w:gridCol w:w="936"/>
        <w:gridCol w:w="90"/>
        <w:gridCol w:w="90"/>
        <w:gridCol w:w="170"/>
        <w:gridCol w:w="830"/>
        <w:gridCol w:w="90"/>
        <w:gridCol w:w="90"/>
        <w:gridCol w:w="224"/>
        <w:gridCol w:w="936"/>
        <w:gridCol w:w="139"/>
      </w:tblGrid>
      <w:tr>
        <w:trPr/>
        <w:tc>
          <w:tcPr>
            <w:tcW w:w="260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34"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Less than 12 Months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4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12 Months or More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4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39" w:type="dxa"/>
            <w:tcBorders/>
            <w:vAlign w:val="bottom"/>
          </w:tcPr>
          <w:p>
            <w:pPr>
              <w:pStyle w:val="TableContents"/>
              <w:bidi w:val="0"/>
              <w:spacing w:before="0" w:after="283"/>
              <w:jc w:val="left"/>
              <w:rPr/>
            </w:pPr>
            <w:r>
              <w:rPr/>
              <w:t> </w:t>
            </w:r>
          </w:p>
        </w:tc>
      </w:tr>
      <w:tr>
        <w:trPr/>
        <w:tc>
          <w:tcPr>
            <w:tcW w:w="260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7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Loss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Loss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Loss</w:t>
            </w:r>
          </w:p>
        </w:tc>
        <w:tc>
          <w:tcPr>
            <w:tcW w:w="139" w:type="dxa"/>
            <w:tcBorders/>
            <w:vAlign w:val="bottom"/>
          </w:tcPr>
          <w:p>
            <w:pPr>
              <w:pStyle w:val="TableContents"/>
              <w:bidi w:val="0"/>
              <w:spacing w:before="0" w:after="283"/>
              <w:jc w:val="left"/>
              <w:rPr/>
            </w:pPr>
            <w:r>
              <w:rPr/>
              <w:t> </w:t>
            </w:r>
          </w:p>
        </w:tc>
      </w:tr>
      <w:tr>
        <w:trPr/>
        <w:tc>
          <w:tcPr>
            <w:tcW w:w="2602" w:type="dxa"/>
            <w:tcBorders/>
            <w:vAlign w:val="bottom"/>
          </w:tcPr>
          <w:p>
            <w:pPr>
              <w:pStyle w:val="TableContents"/>
              <w:bidi w:val="0"/>
              <w:spacing w:before="0" w:after="0"/>
              <w:jc w:val="left"/>
              <w:rPr>
                <w:color w:val="000000"/>
                <w:u w:val="single"/>
              </w:rPr>
            </w:pPr>
            <w:r>
              <w:rPr>
                <w:color w:val="000000"/>
                <w:u w:val="single"/>
              </w:rPr>
              <w:t>March 31, 2026</w:t>
            </w:r>
          </w:p>
        </w:tc>
        <w:tc>
          <w:tcPr>
            <w:tcW w:w="90"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r>
      <w:tr>
        <w:trPr/>
        <w:tc>
          <w:tcPr>
            <w:tcW w:w="2602" w:type="dxa"/>
            <w:tcBorders/>
            <w:shd w:fill="CCEEFF" w:val="clear"/>
            <w:vAlign w:val="bottom"/>
          </w:tcPr>
          <w:p>
            <w:pPr>
              <w:pStyle w:val="TableContents"/>
              <w:bidi w:val="0"/>
              <w:spacing w:before="0" w:after="0"/>
              <w:ind w:left="144" w:right="0" w:hanging="144"/>
              <w:jc w:val="left"/>
              <w:rPr>
                <w:color w:val="000000"/>
              </w:rPr>
            </w:pPr>
            <w:r>
              <w:rPr>
                <w:color w:val="000000"/>
              </w:rPr>
              <w:t>State and municipal</w:t>
            </w:r>
          </w:p>
        </w:tc>
        <w:tc>
          <w:tcPr>
            <w:tcW w:w="9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0"/>
              <w:jc w:val="left"/>
              <w:rPr>
                <w:color w:val="000000"/>
              </w:rPr>
            </w:pPr>
            <w:r>
              <w:rPr>
                <w:color w:val="000000"/>
              </w:rPr>
              <w:t>$</w:t>
            </w:r>
          </w:p>
        </w:tc>
        <w:tc>
          <w:tcPr>
            <w:tcW w:w="788" w:type="dxa"/>
            <w:tcBorders/>
            <w:shd w:fill="CCEEFF" w:val="clear"/>
            <w:vAlign w:val="bottom"/>
          </w:tcPr>
          <w:p>
            <w:pPr>
              <w:pStyle w:val="TableContents"/>
              <w:bidi w:val="0"/>
              <w:spacing w:before="0" w:after="0"/>
              <w:jc w:val="right"/>
              <w:rPr>
                <w:color w:val="000000"/>
              </w:rPr>
            </w:pPr>
            <w:r>
              <w:rPr>
                <w:color w:val="000000"/>
              </w:rPr>
              <w:t>277</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0"/>
              <w:jc w:val="left"/>
              <w:rPr>
                <w:color w:val="000000"/>
              </w:rPr>
            </w:pPr>
            <w:r>
              <w:rPr>
                <w:color w:val="000000"/>
              </w:rPr>
              <w:t>$</w:t>
            </w:r>
          </w:p>
        </w:tc>
        <w:tc>
          <w:tcPr>
            <w:tcW w:w="820" w:type="dxa"/>
            <w:tcBorders/>
            <w:shd w:fill="CCEEFF" w:val="clear"/>
            <w:vAlign w:val="bottom"/>
          </w:tcPr>
          <w:p>
            <w:pPr>
              <w:pStyle w:val="TableContents"/>
              <w:bidi w:val="0"/>
              <w:spacing w:before="0" w:after="0"/>
              <w:jc w:val="right"/>
              <w:rPr>
                <w:color w:val="000000"/>
              </w:rPr>
            </w:pPr>
            <w:r>
              <w:rPr>
                <w:color w:val="000000"/>
              </w:rPr>
              <w:t>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162,047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0"/>
              <w:jc w:val="left"/>
              <w:rPr>
                <w:color w:val="000000"/>
              </w:rPr>
            </w:pPr>
            <w:r>
              <w:rPr>
                <w:color w:val="000000"/>
              </w:rPr>
              <w:t>$</w:t>
            </w:r>
          </w:p>
        </w:tc>
        <w:tc>
          <w:tcPr>
            <w:tcW w:w="936" w:type="dxa"/>
            <w:tcBorders/>
            <w:shd w:fill="CCEEFF" w:val="clear"/>
            <w:vAlign w:val="bottom"/>
          </w:tcPr>
          <w:p>
            <w:pPr>
              <w:pStyle w:val="TableContents"/>
              <w:bidi w:val="0"/>
              <w:spacing w:before="0" w:after="0"/>
              <w:jc w:val="right"/>
              <w:rPr>
                <w:color w:val="000000"/>
              </w:rPr>
            </w:pPr>
            <w:r>
              <w:rPr>
                <w:color w:val="000000"/>
              </w:rPr>
              <w:t>25,344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162,324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0"/>
              <w:jc w:val="left"/>
              <w:rPr>
                <w:color w:val="000000"/>
              </w:rPr>
            </w:pPr>
            <w:r>
              <w:rPr>
                <w:color w:val="000000"/>
              </w:rPr>
              <w:t>$</w:t>
            </w:r>
          </w:p>
        </w:tc>
        <w:tc>
          <w:tcPr>
            <w:tcW w:w="936" w:type="dxa"/>
            <w:tcBorders/>
            <w:shd w:fill="CCEEFF" w:val="clear"/>
            <w:vAlign w:val="bottom"/>
          </w:tcPr>
          <w:p>
            <w:pPr>
              <w:pStyle w:val="TableContents"/>
              <w:bidi w:val="0"/>
              <w:spacing w:before="0" w:after="0"/>
              <w:jc w:val="right"/>
              <w:rPr>
                <w:color w:val="000000"/>
              </w:rPr>
            </w:pPr>
            <w:r>
              <w:rPr>
                <w:color w:val="000000"/>
              </w:rPr>
              <w:t>25,346</w:t>
            </w:r>
          </w:p>
        </w:tc>
        <w:tc>
          <w:tcPr>
            <w:tcW w:w="139" w:type="dxa"/>
            <w:tcBorders/>
            <w:shd w:fill="CCEEFF" w:val="clear"/>
            <w:vAlign w:val="bottom"/>
          </w:tcPr>
          <w:p>
            <w:pPr>
              <w:pStyle w:val="TableContents"/>
              <w:bidi w:val="0"/>
              <w:spacing w:before="0" w:after="283"/>
              <w:jc w:val="left"/>
              <w:rPr/>
            </w:pPr>
            <w:r>
              <w:rPr/>
              <w:t> </w:t>
            </w:r>
          </w:p>
        </w:tc>
      </w:tr>
      <w:tr>
        <w:trPr/>
        <w:tc>
          <w:tcPr>
            <w:tcW w:w="2602" w:type="dxa"/>
            <w:tcBorders/>
            <w:vAlign w:val="bottom"/>
          </w:tcPr>
          <w:p>
            <w:pPr>
              <w:pStyle w:val="TableContents"/>
              <w:bidi w:val="0"/>
              <w:spacing w:before="0" w:after="0"/>
              <w:ind w:left="144" w:right="0" w:hanging="144"/>
              <w:jc w:val="left"/>
              <w:rPr>
                <w:color w:val="000000"/>
              </w:rPr>
            </w:pPr>
            <w:r>
              <w:rPr>
                <w:color w:val="000000"/>
              </w:rPr>
              <w:t>Residential mortgage-backed securities</w:t>
            </w:r>
          </w:p>
        </w:tc>
        <w:tc>
          <w:tcPr>
            <w:tcW w:w="9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0"/>
              <w:jc w:val="right"/>
              <w:rPr>
                <w:color w:val="000000"/>
              </w:rPr>
            </w:pPr>
            <w:r>
              <w:rPr>
                <w:color w:val="000000"/>
              </w:rPr>
              <w:t>3,055</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color w:val="000000"/>
              </w:rPr>
            </w:pPr>
            <w:r>
              <w:rPr>
                <w:color w:val="000000"/>
              </w:rPr>
              <w:t>77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243,723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color w:val="000000"/>
              </w:rPr>
            </w:pPr>
            <w:r>
              <w:rPr>
                <w:color w:val="000000"/>
              </w:rPr>
              <w:t>41,006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246,778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color w:val="000000"/>
              </w:rPr>
            </w:pPr>
            <w:r>
              <w:rPr>
                <w:color w:val="000000"/>
              </w:rPr>
              <w:t>41,083</w:t>
            </w:r>
          </w:p>
        </w:tc>
        <w:tc>
          <w:tcPr>
            <w:tcW w:w="139" w:type="dxa"/>
            <w:tcBorders/>
            <w:vAlign w:val="bottom"/>
          </w:tcPr>
          <w:p>
            <w:pPr>
              <w:pStyle w:val="TableContents"/>
              <w:bidi w:val="0"/>
              <w:spacing w:before="0" w:after="283"/>
              <w:jc w:val="left"/>
              <w:rPr/>
            </w:pPr>
            <w:r>
              <w:rPr/>
              <w:t> </w:t>
            </w:r>
          </w:p>
        </w:tc>
      </w:tr>
      <w:tr>
        <w:trPr/>
        <w:tc>
          <w:tcPr>
            <w:tcW w:w="2602" w:type="dxa"/>
            <w:tcBorders/>
            <w:shd w:fill="CCEEFF" w:val="clear"/>
            <w:vAlign w:val="bottom"/>
          </w:tcPr>
          <w:p>
            <w:pPr>
              <w:pStyle w:val="TableContents"/>
              <w:bidi w:val="0"/>
              <w:spacing w:before="0" w:after="0"/>
              <w:ind w:left="144" w:right="0" w:hanging="144"/>
              <w:jc w:val="left"/>
              <w:rPr>
                <w:color w:val="000000"/>
              </w:rPr>
            </w:pPr>
            <w:r>
              <w:rPr>
                <w:color w:val="000000"/>
              </w:rPr>
              <w:t>Commercial mortgage-backed securities</w:t>
            </w:r>
          </w:p>
        </w:tc>
        <w:tc>
          <w:tcPr>
            <w:tcW w:w="9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0"/>
              <w:jc w:val="right"/>
              <w:rPr>
                <w:color w:val="000000"/>
              </w:rPr>
            </w:pPr>
            <w:r>
              <w:rPr>
                <w:color w:val="000000"/>
              </w:rPr>
              <w:t>4,954</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color w:val="000000"/>
              </w:rPr>
            </w:pPr>
            <w:r>
              <w:rPr>
                <w:color w:val="000000"/>
              </w:rPr>
              <w:t>56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40,879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color w:val="000000"/>
              </w:rPr>
            </w:pPr>
            <w:r>
              <w:rPr>
                <w:color w:val="000000"/>
              </w:rPr>
              <w:t>4,035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45,833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color w:val="000000"/>
              </w:rPr>
            </w:pPr>
            <w:r>
              <w:rPr>
                <w:color w:val="000000"/>
              </w:rPr>
              <w:t>4,091</w:t>
            </w:r>
          </w:p>
        </w:tc>
        <w:tc>
          <w:tcPr>
            <w:tcW w:w="139" w:type="dxa"/>
            <w:tcBorders/>
            <w:shd w:fill="CCEEFF" w:val="clear"/>
            <w:vAlign w:val="bottom"/>
          </w:tcPr>
          <w:p>
            <w:pPr>
              <w:pStyle w:val="TableContents"/>
              <w:bidi w:val="0"/>
              <w:spacing w:before="0" w:after="283"/>
              <w:jc w:val="left"/>
              <w:rPr/>
            </w:pPr>
            <w:r>
              <w:rPr/>
              <w:t> </w:t>
            </w:r>
          </w:p>
        </w:tc>
      </w:tr>
      <w:tr>
        <w:trPr/>
        <w:tc>
          <w:tcPr>
            <w:tcW w:w="2602" w:type="dxa"/>
            <w:tcBorders/>
            <w:vAlign w:val="bottom"/>
          </w:tcPr>
          <w:p>
            <w:pPr>
              <w:pStyle w:val="TableContents"/>
              <w:bidi w:val="0"/>
              <w:spacing w:before="0" w:after="0"/>
              <w:ind w:left="144" w:right="0" w:hanging="144"/>
              <w:jc w:val="left"/>
              <w:rPr>
                <w:color w:val="000000"/>
              </w:rPr>
            </w:pPr>
            <w:r>
              <w:rPr>
                <w:color w:val="000000"/>
              </w:rPr>
              <w:t>Commercial collateralized mortgage obligations</w:t>
            </w:r>
          </w:p>
        </w:tc>
        <w:tc>
          <w:tcPr>
            <w:tcW w:w="9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0"/>
              <w:jc w:val="right"/>
              <w:rPr>
                <w:color w:val="000000"/>
              </w:rPr>
            </w:pPr>
            <w:r>
              <w:rPr>
                <w:color w:val="000000"/>
              </w:rPr>
              <w:t>62,956</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color w:val="000000"/>
              </w:rPr>
            </w:pPr>
            <w:r>
              <w:rPr>
                <w:color w:val="000000"/>
              </w:rPr>
              <w:t>178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62,956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color w:val="000000"/>
              </w:rPr>
            </w:pPr>
            <w:r>
              <w:rPr>
                <w:color w:val="000000"/>
              </w:rPr>
              <w:t>178</w:t>
            </w:r>
          </w:p>
        </w:tc>
        <w:tc>
          <w:tcPr>
            <w:tcW w:w="139" w:type="dxa"/>
            <w:tcBorders/>
            <w:vAlign w:val="bottom"/>
          </w:tcPr>
          <w:p>
            <w:pPr>
              <w:pStyle w:val="TableContents"/>
              <w:bidi w:val="0"/>
              <w:spacing w:before="0" w:after="283"/>
              <w:jc w:val="left"/>
              <w:rPr/>
            </w:pPr>
            <w:r>
              <w:rPr/>
              <w:t> </w:t>
            </w:r>
          </w:p>
        </w:tc>
      </w:tr>
      <w:tr>
        <w:trPr/>
        <w:tc>
          <w:tcPr>
            <w:tcW w:w="2602" w:type="dxa"/>
            <w:tcBorders/>
            <w:shd w:fill="CCEEFF" w:val="clear"/>
            <w:vAlign w:val="bottom"/>
          </w:tcPr>
          <w:p>
            <w:pPr>
              <w:pStyle w:val="TableContents"/>
              <w:bidi w:val="0"/>
              <w:spacing w:before="0" w:after="0"/>
              <w:jc w:val="left"/>
              <w:rPr>
                <w:color w:val="000000"/>
              </w:rPr>
            </w:pPr>
            <w:r>
              <w:rPr>
                <w:color w:val="000000"/>
              </w:rPr>
              <w:t>Asset-backed and other amortizing securities</w:t>
            </w:r>
          </w:p>
        </w:tc>
        <w:tc>
          <w:tcPr>
            <w:tcW w:w="9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0"/>
              <w:jc w:val="right"/>
              <w:rPr>
                <w:color w:val="000000"/>
              </w:rPr>
            </w:pPr>
            <w:r>
              <w:rPr>
                <w:color w:val="000000"/>
              </w:rPr>
              <w:t>—</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12,700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color w:val="000000"/>
              </w:rPr>
            </w:pPr>
            <w:r>
              <w:rPr>
                <w:color w:val="000000"/>
              </w:rPr>
              <w:t>850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12,700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color w:val="000000"/>
              </w:rPr>
            </w:pPr>
            <w:r>
              <w:rPr>
                <w:color w:val="000000"/>
              </w:rPr>
              <w:t>850</w:t>
            </w:r>
          </w:p>
        </w:tc>
        <w:tc>
          <w:tcPr>
            <w:tcW w:w="139" w:type="dxa"/>
            <w:tcBorders/>
            <w:shd w:fill="CCEEFF" w:val="clear"/>
            <w:vAlign w:val="bottom"/>
          </w:tcPr>
          <w:p>
            <w:pPr>
              <w:pStyle w:val="TableContents"/>
              <w:bidi w:val="0"/>
              <w:spacing w:before="0" w:after="283"/>
              <w:jc w:val="left"/>
              <w:rPr/>
            </w:pPr>
            <w:r>
              <w:rPr/>
              <w:t> </w:t>
            </w:r>
          </w:p>
        </w:tc>
      </w:tr>
      <w:tr>
        <w:trPr/>
        <w:tc>
          <w:tcPr>
            <w:tcW w:w="2602" w:type="dxa"/>
            <w:tcBorders/>
            <w:vAlign w:val="bottom"/>
          </w:tcPr>
          <w:p>
            <w:pPr>
              <w:pStyle w:val="TableContents"/>
              <w:bidi w:val="0"/>
              <w:spacing w:before="0" w:after="0"/>
              <w:jc w:val="left"/>
              <w:rPr>
                <w:color w:val="000000"/>
              </w:rPr>
            </w:pPr>
            <w:r>
              <w:rPr>
                <w:color w:val="000000"/>
              </w:rPr>
              <w:t>Other securities</w:t>
            </w:r>
          </w:p>
        </w:tc>
        <w:tc>
          <w:tcPr>
            <w:tcW w:w="90" w:type="dxa"/>
            <w:tcBorders/>
            <w:vAlign w:val="bottom"/>
          </w:tcPr>
          <w:p>
            <w:pPr>
              <w:pStyle w:val="TableContents"/>
              <w:bidi w:val="0"/>
              <w:spacing w:before="0" w:after="283"/>
              <w:jc w:val="left"/>
              <w:rPr/>
            </w:pPr>
            <w:r>
              <w:rPr/>
              <w:t> </w:t>
            </w:r>
          </w:p>
        </w:tc>
        <w:tc>
          <w:tcPr>
            <w:tcW w:w="188" w:type="dxa"/>
            <w:tcBorders>
              <w:bottom w:val="single" w:sz="12" w:space="0" w:color="000000"/>
            </w:tcBorders>
            <w:tcMar>
              <w:bottom w:w="28" w:type="dxa"/>
            </w:tcMar>
            <w:vAlign w:val="bottom"/>
          </w:tcPr>
          <w:p>
            <w:pPr>
              <w:pStyle w:val="TableContents"/>
              <w:bidi w:val="0"/>
              <w:spacing w:before="0" w:after="283"/>
              <w:jc w:val="left"/>
              <w:rPr/>
            </w:pPr>
            <w:r>
              <w:rPr/>
              <w:t> </w:t>
            </w:r>
          </w:p>
        </w:tc>
        <w:tc>
          <w:tcPr>
            <w:tcW w:w="78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3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bottom w:val="single" w:sz="12" w:space="0" w:color="000000"/>
            </w:tcBorders>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bottom w:val="single" w:sz="12" w:space="0" w:color="000000"/>
            </w:tcBorders>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39" w:type="dxa"/>
            <w:tcBorders/>
            <w:vAlign w:val="bottom"/>
          </w:tcPr>
          <w:p>
            <w:pPr>
              <w:pStyle w:val="TableContents"/>
              <w:bidi w:val="0"/>
              <w:spacing w:before="0" w:after="283"/>
              <w:jc w:val="left"/>
              <w:rPr/>
            </w:pPr>
            <w:r>
              <w:rPr/>
              <w:t> </w:t>
            </w:r>
          </w:p>
        </w:tc>
      </w:tr>
      <w:tr>
        <w:trPr/>
        <w:tc>
          <w:tcPr>
            <w:tcW w:w="2602"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8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71,242</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3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2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313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459,349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3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71,235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530,591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3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71,548</w:t>
            </w:r>
          </w:p>
        </w:tc>
        <w:tc>
          <w:tcPr>
            <w:tcW w:w="139" w:type="dxa"/>
            <w:tcBorders/>
            <w:shd w:fill="CCEEFF" w:val="clear"/>
            <w:vAlign w:val="bottom"/>
          </w:tcPr>
          <w:p>
            <w:pPr>
              <w:pStyle w:val="TableContents"/>
              <w:bidi w:val="0"/>
              <w:spacing w:before="0" w:after="283"/>
              <w:jc w:val="left"/>
              <w:rPr/>
            </w:pPr>
            <w:r>
              <w:rPr/>
              <w:t> </w:t>
            </w:r>
          </w:p>
        </w:tc>
      </w:tr>
      <w:tr>
        <w:trPr/>
        <w:tc>
          <w:tcPr>
            <w:tcW w:w="260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 </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r>
      <w:tr>
        <w:trPr/>
        <w:tc>
          <w:tcPr>
            <w:tcW w:w="2602" w:type="dxa"/>
            <w:tcBorders/>
            <w:shd w:fill="CCEEFF" w:val="clear"/>
            <w:vAlign w:val="bottom"/>
          </w:tcPr>
          <w:p>
            <w:pPr>
              <w:pStyle w:val="TableContents"/>
              <w:bidi w:val="0"/>
              <w:spacing w:before="0" w:after="0"/>
              <w:ind w:left="144" w:right="0" w:hanging="144"/>
              <w:jc w:val="left"/>
              <w:rPr>
                <w:color w:val="000000"/>
                <w:u w:val="single"/>
              </w:rPr>
            </w:pPr>
            <w:r>
              <w:rPr>
                <w:color w:val="000000"/>
                <w:u w:val="single"/>
              </w:rPr>
              <w:t>December 31, 2025</w:t>
            </w:r>
          </w:p>
        </w:tc>
        <w:tc>
          <w:tcPr>
            <w:tcW w:w="9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 </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r>
      <w:tr>
        <w:trPr/>
        <w:tc>
          <w:tcPr>
            <w:tcW w:w="2602" w:type="dxa"/>
            <w:tcBorders/>
            <w:vAlign w:val="bottom"/>
          </w:tcPr>
          <w:p>
            <w:pPr>
              <w:pStyle w:val="TableContents"/>
              <w:bidi w:val="0"/>
              <w:spacing w:before="0" w:after="0"/>
              <w:ind w:left="144" w:right="0" w:hanging="144"/>
              <w:jc w:val="left"/>
              <w:rPr>
                <w:color w:val="000000"/>
              </w:rPr>
            </w:pPr>
            <w:r>
              <w:rPr>
                <w:color w:val="000000"/>
              </w:rPr>
              <w:t>State and municipal</w:t>
            </w:r>
          </w:p>
        </w:tc>
        <w:tc>
          <w:tcPr>
            <w:tcW w:w="9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0"/>
              <w:jc w:val="left"/>
              <w:rPr>
                <w:color w:val="000000"/>
              </w:rPr>
            </w:pPr>
            <w:r>
              <w:rPr>
                <w:color w:val="000000"/>
              </w:rPr>
              <w:t>$</w:t>
            </w:r>
          </w:p>
        </w:tc>
        <w:tc>
          <w:tcPr>
            <w:tcW w:w="788" w:type="dxa"/>
            <w:tcBorders/>
            <w:vAlign w:val="bottom"/>
          </w:tcPr>
          <w:p>
            <w:pPr>
              <w:pStyle w:val="TableContents"/>
              <w:bidi w:val="0"/>
              <w:spacing w:before="0" w:after="0"/>
              <w:jc w:val="right"/>
              <w:rPr>
                <w:color w:val="000000"/>
              </w:rPr>
            </w:pPr>
            <w:r>
              <w:rPr>
                <w:color w:val="000000"/>
              </w:rPr>
              <w:t>205</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0"/>
              <w:jc w:val="left"/>
              <w:rPr>
                <w:color w:val="000000"/>
              </w:rPr>
            </w:pPr>
            <w:r>
              <w:rPr>
                <w:color w:val="000000"/>
              </w:rPr>
              <w:t>$</w:t>
            </w:r>
          </w:p>
        </w:tc>
        <w:tc>
          <w:tcPr>
            <w:tcW w:w="82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165,618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0"/>
              <w:jc w:val="left"/>
              <w:rPr>
                <w:color w:val="000000"/>
              </w:rPr>
            </w:pPr>
            <w:r>
              <w:rPr>
                <w:color w:val="000000"/>
              </w:rPr>
              <w:t>$</w:t>
            </w:r>
          </w:p>
        </w:tc>
        <w:tc>
          <w:tcPr>
            <w:tcW w:w="936" w:type="dxa"/>
            <w:tcBorders/>
            <w:vAlign w:val="bottom"/>
          </w:tcPr>
          <w:p>
            <w:pPr>
              <w:pStyle w:val="TableContents"/>
              <w:bidi w:val="0"/>
              <w:spacing w:before="0" w:after="0"/>
              <w:jc w:val="right"/>
              <w:rPr>
                <w:color w:val="000000"/>
              </w:rPr>
            </w:pPr>
            <w:r>
              <w:rPr>
                <w:color w:val="000000"/>
              </w:rPr>
              <w:t>23,500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165,823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0"/>
              <w:jc w:val="left"/>
              <w:rPr>
                <w:color w:val="000000"/>
              </w:rPr>
            </w:pPr>
            <w:r>
              <w:rPr>
                <w:color w:val="000000"/>
              </w:rPr>
              <w:t>$</w:t>
            </w:r>
          </w:p>
        </w:tc>
        <w:tc>
          <w:tcPr>
            <w:tcW w:w="936" w:type="dxa"/>
            <w:tcBorders/>
            <w:vAlign w:val="bottom"/>
          </w:tcPr>
          <w:p>
            <w:pPr>
              <w:pStyle w:val="TableContents"/>
              <w:bidi w:val="0"/>
              <w:spacing w:before="0" w:after="0"/>
              <w:jc w:val="right"/>
              <w:rPr>
                <w:color w:val="000000"/>
              </w:rPr>
            </w:pPr>
            <w:r>
              <w:rPr>
                <w:color w:val="000000"/>
              </w:rPr>
              <w:t>23,500</w:t>
            </w:r>
          </w:p>
        </w:tc>
        <w:tc>
          <w:tcPr>
            <w:tcW w:w="139" w:type="dxa"/>
            <w:tcBorders/>
            <w:vAlign w:val="bottom"/>
          </w:tcPr>
          <w:p>
            <w:pPr>
              <w:pStyle w:val="TableContents"/>
              <w:bidi w:val="0"/>
              <w:spacing w:before="0" w:after="283"/>
              <w:jc w:val="left"/>
              <w:rPr/>
            </w:pPr>
            <w:r>
              <w:rPr/>
              <w:t> </w:t>
            </w:r>
          </w:p>
        </w:tc>
      </w:tr>
      <w:tr>
        <w:trPr/>
        <w:tc>
          <w:tcPr>
            <w:tcW w:w="2602" w:type="dxa"/>
            <w:tcBorders/>
            <w:shd w:fill="CCEEFF" w:val="clear"/>
            <w:vAlign w:val="bottom"/>
          </w:tcPr>
          <w:p>
            <w:pPr>
              <w:pStyle w:val="TableContents"/>
              <w:bidi w:val="0"/>
              <w:spacing w:before="0" w:after="0"/>
              <w:ind w:left="144" w:right="0" w:hanging="144"/>
              <w:jc w:val="left"/>
              <w:rPr>
                <w:color w:val="000000"/>
              </w:rPr>
            </w:pPr>
            <w:r>
              <w:rPr>
                <w:color w:val="000000"/>
              </w:rPr>
              <w:t>Residential mortgage-backed securities</w:t>
            </w:r>
          </w:p>
        </w:tc>
        <w:tc>
          <w:tcPr>
            <w:tcW w:w="9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0"/>
              <w:jc w:val="right"/>
              <w:rPr>
                <w:color w:val="000000"/>
              </w:rPr>
            </w:pPr>
            <w:r>
              <w:rPr>
                <w:color w:val="000000"/>
              </w:rPr>
              <w:t>3,132</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color w:val="000000"/>
              </w:rPr>
            </w:pPr>
            <w:r>
              <w:rPr>
                <w:color w:val="000000"/>
              </w:rPr>
              <w:t>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249,710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color w:val="000000"/>
              </w:rPr>
            </w:pPr>
            <w:r>
              <w:rPr>
                <w:color w:val="000000"/>
              </w:rPr>
              <w:t>42,033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252,842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color w:val="000000"/>
              </w:rPr>
            </w:pPr>
            <w:r>
              <w:rPr>
                <w:color w:val="000000"/>
              </w:rPr>
              <w:t>42,081</w:t>
            </w:r>
          </w:p>
        </w:tc>
        <w:tc>
          <w:tcPr>
            <w:tcW w:w="139" w:type="dxa"/>
            <w:tcBorders/>
            <w:shd w:fill="CCEEFF" w:val="clear"/>
            <w:vAlign w:val="bottom"/>
          </w:tcPr>
          <w:p>
            <w:pPr>
              <w:pStyle w:val="TableContents"/>
              <w:bidi w:val="0"/>
              <w:spacing w:before="0" w:after="283"/>
              <w:jc w:val="left"/>
              <w:rPr/>
            </w:pPr>
            <w:r>
              <w:rPr/>
              <w:t> </w:t>
            </w:r>
          </w:p>
        </w:tc>
      </w:tr>
      <w:tr>
        <w:trPr/>
        <w:tc>
          <w:tcPr>
            <w:tcW w:w="2602" w:type="dxa"/>
            <w:tcBorders/>
            <w:vAlign w:val="bottom"/>
          </w:tcPr>
          <w:p>
            <w:pPr>
              <w:pStyle w:val="TableContents"/>
              <w:bidi w:val="0"/>
              <w:spacing w:before="0" w:after="0"/>
              <w:ind w:left="144" w:right="0" w:hanging="144"/>
              <w:jc w:val="left"/>
              <w:rPr>
                <w:color w:val="000000"/>
              </w:rPr>
            </w:pPr>
            <w:r>
              <w:rPr>
                <w:color w:val="000000"/>
              </w:rPr>
              <w:t>Commercial mortgage-backed securities</w:t>
            </w:r>
          </w:p>
        </w:tc>
        <w:tc>
          <w:tcPr>
            <w:tcW w:w="9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0"/>
              <w:jc w:val="right"/>
              <w:rPr>
                <w:color w:val="000000"/>
              </w:rPr>
            </w:pPr>
            <w:r>
              <w:rPr>
                <w:color w:val="000000"/>
              </w:rPr>
              <w:t>3,503</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color w:val="000000"/>
              </w:rPr>
            </w:pPr>
            <w:r>
              <w:rPr>
                <w:color w:val="000000"/>
              </w:rPr>
              <w:t>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41,284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color w:val="000000"/>
              </w:rPr>
            </w:pPr>
            <w:r>
              <w:rPr>
                <w:color w:val="000000"/>
              </w:rPr>
              <w:t>3,976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44,787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color w:val="000000"/>
              </w:rPr>
            </w:pPr>
            <w:r>
              <w:rPr>
                <w:color w:val="000000"/>
              </w:rPr>
              <w:t>3,983</w:t>
            </w:r>
          </w:p>
        </w:tc>
        <w:tc>
          <w:tcPr>
            <w:tcW w:w="139" w:type="dxa"/>
            <w:tcBorders/>
            <w:vAlign w:val="bottom"/>
          </w:tcPr>
          <w:p>
            <w:pPr>
              <w:pStyle w:val="TableContents"/>
              <w:bidi w:val="0"/>
              <w:spacing w:before="0" w:after="283"/>
              <w:jc w:val="left"/>
              <w:rPr/>
            </w:pPr>
            <w:r>
              <w:rPr/>
              <w:t> </w:t>
            </w:r>
          </w:p>
        </w:tc>
      </w:tr>
      <w:tr>
        <w:trPr/>
        <w:tc>
          <w:tcPr>
            <w:tcW w:w="2602" w:type="dxa"/>
            <w:tcBorders/>
            <w:shd w:fill="CCEEFF" w:val="clear"/>
            <w:vAlign w:val="bottom"/>
          </w:tcPr>
          <w:p>
            <w:pPr>
              <w:pStyle w:val="TableContents"/>
              <w:bidi w:val="0"/>
              <w:spacing w:before="0" w:after="0"/>
              <w:ind w:left="144" w:right="0" w:hanging="144"/>
              <w:jc w:val="left"/>
              <w:rPr>
                <w:color w:val="000000"/>
              </w:rPr>
            </w:pPr>
            <w:r>
              <w:rPr>
                <w:color w:val="000000"/>
              </w:rPr>
              <w:t>Commercial collateralized mortgage obligations</w:t>
            </w:r>
          </w:p>
        </w:tc>
        <w:tc>
          <w:tcPr>
            <w:tcW w:w="9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0"/>
              <w:jc w:val="right"/>
              <w:rPr>
                <w:color w:val="000000"/>
              </w:rPr>
            </w:pPr>
            <w:r>
              <w:rPr>
                <w:color w:val="000000"/>
              </w:rPr>
              <w:t>63,210</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color w:val="000000"/>
              </w:rPr>
            </w:pPr>
            <w:r>
              <w:rPr>
                <w:color w:val="000000"/>
              </w:rPr>
              <w:t>188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63,210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color w:val="000000"/>
              </w:rPr>
            </w:pPr>
            <w:r>
              <w:rPr>
                <w:color w:val="000000"/>
              </w:rPr>
              <w:t>188</w:t>
            </w:r>
          </w:p>
        </w:tc>
        <w:tc>
          <w:tcPr>
            <w:tcW w:w="139" w:type="dxa"/>
            <w:tcBorders/>
            <w:shd w:fill="CCEEFF" w:val="clear"/>
            <w:vAlign w:val="bottom"/>
          </w:tcPr>
          <w:p>
            <w:pPr>
              <w:pStyle w:val="TableContents"/>
              <w:bidi w:val="0"/>
              <w:spacing w:before="0" w:after="283"/>
              <w:jc w:val="left"/>
              <w:rPr/>
            </w:pPr>
            <w:r>
              <w:rPr/>
              <w:t> </w:t>
            </w:r>
          </w:p>
        </w:tc>
      </w:tr>
      <w:tr>
        <w:trPr/>
        <w:tc>
          <w:tcPr>
            <w:tcW w:w="2602" w:type="dxa"/>
            <w:tcBorders/>
            <w:vAlign w:val="bottom"/>
          </w:tcPr>
          <w:p>
            <w:pPr>
              <w:pStyle w:val="TableContents"/>
              <w:bidi w:val="0"/>
              <w:spacing w:before="0" w:after="0"/>
              <w:jc w:val="left"/>
              <w:rPr>
                <w:color w:val="000000"/>
              </w:rPr>
            </w:pPr>
            <w:r>
              <w:rPr>
                <w:color w:val="000000"/>
              </w:rPr>
              <w:t>Asset-backed and other amortizing securities</w:t>
            </w:r>
          </w:p>
        </w:tc>
        <w:tc>
          <w:tcPr>
            <w:tcW w:w="9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0"/>
              <w:jc w:val="right"/>
              <w:rPr>
                <w:color w:val="000000"/>
              </w:rPr>
            </w:pPr>
            <w:r>
              <w:rPr>
                <w:color w:val="000000"/>
              </w:rPr>
              <w:t>—</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13,132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color w:val="000000"/>
              </w:rPr>
            </w:pPr>
            <w:r>
              <w:rPr>
                <w:color w:val="000000"/>
              </w:rPr>
              <w:t>840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13,132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color w:val="000000"/>
              </w:rPr>
            </w:pPr>
            <w:r>
              <w:rPr>
                <w:color w:val="000000"/>
              </w:rPr>
              <w:t>840</w:t>
            </w:r>
          </w:p>
        </w:tc>
        <w:tc>
          <w:tcPr>
            <w:tcW w:w="139" w:type="dxa"/>
            <w:tcBorders/>
            <w:vAlign w:val="bottom"/>
          </w:tcPr>
          <w:p>
            <w:pPr>
              <w:pStyle w:val="TableContents"/>
              <w:bidi w:val="0"/>
              <w:spacing w:before="0" w:after="283"/>
              <w:jc w:val="left"/>
              <w:rPr/>
            </w:pPr>
            <w:r>
              <w:rPr/>
              <w:t> </w:t>
            </w:r>
          </w:p>
        </w:tc>
      </w:tr>
      <w:tr>
        <w:trPr/>
        <w:tc>
          <w:tcPr>
            <w:tcW w:w="2602" w:type="dxa"/>
            <w:tcBorders/>
            <w:shd w:fill="CCEEFF" w:val="clear"/>
            <w:vAlign w:val="bottom"/>
          </w:tcPr>
          <w:p>
            <w:pPr>
              <w:pStyle w:val="TableContents"/>
              <w:bidi w:val="0"/>
              <w:spacing w:before="0" w:after="0"/>
              <w:jc w:val="left"/>
              <w:rPr>
                <w:color w:val="000000"/>
              </w:rPr>
            </w:pPr>
            <w:r>
              <w:rPr>
                <w:color w:val="000000"/>
              </w:rPr>
              <w:t>Other securities</w:t>
            </w:r>
          </w:p>
        </w:tc>
        <w:tc>
          <w:tcPr>
            <w:tcW w:w="90" w:type="dxa"/>
            <w:tcBorders/>
            <w:shd w:fill="CCEEFF" w:val="clear"/>
            <w:vAlign w:val="bottom"/>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3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4,961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4,961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40</w:t>
            </w:r>
          </w:p>
        </w:tc>
        <w:tc>
          <w:tcPr>
            <w:tcW w:w="139" w:type="dxa"/>
            <w:tcBorders/>
            <w:shd w:fill="CCEEFF" w:val="clear"/>
            <w:vAlign w:val="bottom"/>
          </w:tcPr>
          <w:p>
            <w:pPr>
              <w:pStyle w:val="TableContents"/>
              <w:bidi w:val="0"/>
              <w:spacing w:before="0" w:after="283"/>
              <w:jc w:val="left"/>
              <w:rPr/>
            </w:pPr>
            <w:r>
              <w:rPr/>
              <w:t> </w:t>
            </w:r>
          </w:p>
        </w:tc>
      </w:tr>
      <w:tr>
        <w:trPr/>
        <w:tc>
          <w:tcPr>
            <w:tcW w:w="260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8"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8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70,050</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3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2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243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474,705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3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70,389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544,755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3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70,632</w:t>
            </w:r>
          </w:p>
        </w:tc>
        <w:tc>
          <w:tcPr>
            <w:tcW w:w="139" w:type="dxa"/>
            <w:tcBorders/>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were 128 securities with an unrealized loss at March 31, 2026, generally due to a continuation of the elevated market interest rate environment. Management evaluates securities available for sale (“AFS”) in unrealized loss positions to determine whether the impairment is due to credit-related factors or non-credit related factors. Consideration is given to the extent to which the fair value is less than cost, the financial condition and near-term prospects of the issuer, and the intent and ability of the Company to retain its investment in the security for a period of time sufficient to allow for the anticipated recovery in fair value. Management does not have the intent to sell any of the securities in an unrealized loss position and believes that it is not likely that the securities will have to be sold before a recovery of cost. The fair value of these securities is expected to recover as the securities approach their maturity date or repricing date or if market yields for such investments decline. Accordingly, as of March 31, 2026, management believes the unrealized loss positions detailed in the previous table are due to non-credit related factors, including changes in interest rates and other market conditions, and therefore no ACL for AFS securities or losses have been recognized or realized in the consolidated financial statements.</w:t>
      </w:r>
    </w:p>
    <w:p>
      <w:pPr>
        <w:pStyle w:val="TextBody"/>
        <w:bidi w:val="0"/>
        <w:spacing w:before="0" w:after="0"/>
        <w:jc w:val="center"/>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4. LOANS HELD FOR INVESTMENT</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Loans held for investment are summarized by category as of the dates presented below (dollars in thousands):</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47" w:name="z82419085f4874a2582fbf5f9feecd5b6"/>
      <w:bookmarkStart w:id="48" w:name="z82419085f4874a2582fbf5f9feecd5b6"/>
      <w:bookmarkEnd w:id="48"/>
    </w:p>
    <w:tbl>
      <w:tblPr>
        <w:tblW w:w="6584" w:type="dxa"/>
        <w:jc w:val="center"/>
        <w:tblInd w:w="0" w:type="dxa"/>
        <w:tblLayout w:type="fixed"/>
        <w:tblCellMar>
          <w:top w:w="0" w:type="dxa"/>
          <w:left w:w="0" w:type="dxa"/>
          <w:bottom w:w="0" w:type="dxa"/>
          <w:right w:w="0" w:type="dxa"/>
        </w:tblCellMar>
      </w:tblPr>
      <w:tblGrid>
        <w:gridCol w:w="3485"/>
        <w:gridCol w:w="90"/>
        <w:gridCol w:w="170"/>
        <w:gridCol w:w="1010"/>
        <w:gridCol w:w="125"/>
        <w:gridCol w:w="90"/>
        <w:gridCol w:w="208"/>
        <w:gridCol w:w="1236"/>
        <w:gridCol w:w="170"/>
      </w:tblGrid>
      <w:tr>
        <w:trPr/>
        <w:tc>
          <w:tcPr>
            <w:tcW w:w="34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March 31,</w:t>
            </w:r>
          </w:p>
          <w:p>
            <w:pPr>
              <w:pStyle w:val="TableContents"/>
              <w:bidi w:val="0"/>
              <w:spacing w:before="0" w:after="0"/>
              <w:jc w:val="center"/>
              <w:rPr>
                <w:b/>
                <w:color w:val="000000"/>
              </w:rPr>
            </w:pPr>
            <w:r>
              <w:rPr>
                <w:b/>
                <w:color w:val="000000"/>
              </w:rPr>
              <w:t>2026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w:t>
            </w:r>
          </w:p>
          <w:p>
            <w:pPr>
              <w:pStyle w:val="TableContents"/>
              <w:bidi w:val="0"/>
              <w:spacing w:before="0" w:after="0"/>
              <w:jc w:val="center"/>
              <w:rPr>
                <w:b/>
                <w:color w:val="000000"/>
              </w:rPr>
            </w:pPr>
            <w:r>
              <w:rPr>
                <w:b/>
                <w:color w:val="000000"/>
              </w:rPr>
              <w:t>2025</w:t>
            </w:r>
          </w:p>
        </w:tc>
        <w:tc>
          <w:tcPr>
            <w:tcW w:w="170" w:type="dxa"/>
            <w:tcBorders/>
            <w:vAlign w:val="bottom"/>
          </w:tcPr>
          <w:p>
            <w:pPr>
              <w:pStyle w:val="TableContents"/>
              <w:bidi w:val="0"/>
              <w:spacing w:before="0" w:after="283"/>
              <w:jc w:val="left"/>
              <w:rPr/>
            </w:pPr>
            <w:r>
              <w:rPr/>
              <w:t> </w:t>
            </w:r>
          </w:p>
        </w:tc>
      </w:tr>
      <w:tr>
        <w:trPr/>
        <w:tc>
          <w:tcPr>
            <w:tcW w:w="3485" w:type="dxa"/>
            <w:tcBorders/>
            <w:shd w:fill="CCEEFF" w:val="clear"/>
            <w:vAlign w:val="bottom"/>
          </w:tcPr>
          <w:p>
            <w:pPr>
              <w:pStyle w:val="TableContents"/>
              <w:bidi w:val="0"/>
              <w:spacing w:before="0" w:after="0"/>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1,052,951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0"/>
              <w:jc w:val="left"/>
              <w:rPr>
                <w:color w:val="000000"/>
              </w:rPr>
            </w:pPr>
            <w:r>
              <w:rPr>
                <w:color w:val="000000"/>
              </w:rPr>
              <w:t>$</w:t>
            </w:r>
          </w:p>
        </w:tc>
        <w:tc>
          <w:tcPr>
            <w:tcW w:w="1236" w:type="dxa"/>
            <w:tcBorders/>
            <w:shd w:fill="CCEEFF" w:val="clear"/>
            <w:vAlign w:val="bottom"/>
          </w:tcPr>
          <w:p>
            <w:pPr>
              <w:pStyle w:val="TableContents"/>
              <w:bidi w:val="0"/>
              <w:spacing w:before="0" w:after="0"/>
              <w:jc w:val="right"/>
              <w:rPr>
                <w:color w:val="000000"/>
              </w:rPr>
            </w:pPr>
            <w:r>
              <w:rPr>
                <w:color w:val="000000"/>
              </w:rPr>
              <w:t>1,064,625</w:t>
            </w:r>
          </w:p>
        </w:tc>
        <w:tc>
          <w:tcPr>
            <w:tcW w:w="170" w:type="dxa"/>
            <w:tcBorders/>
            <w:shd w:fill="CCEEFF" w:val="clear"/>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0"/>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384,861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0"/>
              <w:jc w:val="right"/>
              <w:rPr>
                <w:color w:val="000000"/>
              </w:rPr>
            </w:pPr>
            <w:r>
              <w:rPr>
                <w:color w:val="000000"/>
              </w:rPr>
              <w:t>409,351</w:t>
            </w:r>
          </w:p>
        </w:tc>
        <w:tc>
          <w:tcPr>
            <w:tcW w:w="170" w:type="dxa"/>
            <w:tcBorders/>
            <w:vAlign w:val="bottom"/>
          </w:tcPr>
          <w:p>
            <w:pPr>
              <w:pStyle w:val="TableContents"/>
              <w:bidi w:val="0"/>
              <w:spacing w:before="0" w:after="283"/>
              <w:jc w:val="left"/>
              <w:rPr/>
            </w:pPr>
            <w:r>
              <w:rPr/>
              <w:t> </w:t>
            </w:r>
          </w:p>
        </w:tc>
      </w:tr>
      <w:tr>
        <w:trPr/>
        <w:tc>
          <w:tcPr>
            <w:tcW w:w="3485" w:type="dxa"/>
            <w:tcBorders/>
            <w:shd w:fill="CCEEFF" w:val="clear"/>
            <w:vAlign w:val="bottom"/>
          </w:tcPr>
          <w:p>
            <w:pPr>
              <w:pStyle w:val="TableContents"/>
              <w:bidi w:val="0"/>
              <w:spacing w:before="0" w:after="0"/>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654,634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0"/>
              <w:jc w:val="right"/>
              <w:rPr>
                <w:color w:val="000000"/>
              </w:rPr>
            </w:pPr>
            <w:r>
              <w:rPr>
                <w:color w:val="000000"/>
              </w:rPr>
              <w:t>659,323</w:t>
            </w:r>
          </w:p>
        </w:tc>
        <w:tc>
          <w:tcPr>
            <w:tcW w:w="170" w:type="dxa"/>
            <w:tcBorders/>
            <w:shd w:fill="CCEEFF" w:val="clear"/>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0"/>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3485" w:type="dxa"/>
            <w:tcBorders/>
            <w:shd w:fill="CCEEFF" w:val="clear"/>
            <w:vAlign w:val="bottom"/>
          </w:tcPr>
          <w:p>
            <w:pPr>
              <w:pStyle w:val="TableContents"/>
              <w:bidi w:val="0"/>
              <w:spacing w:before="0" w:after="0"/>
              <w:ind w:left="180" w:right="0" w:hanging="0"/>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589,026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0"/>
              <w:jc w:val="right"/>
              <w:rPr>
                <w:color w:val="000000"/>
              </w:rPr>
            </w:pPr>
            <w:r>
              <w:rPr>
                <w:color w:val="000000"/>
              </w:rPr>
              <w:t>589,851</w:t>
            </w:r>
          </w:p>
        </w:tc>
        <w:tc>
          <w:tcPr>
            <w:tcW w:w="170" w:type="dxa"/>
            <w:tcBorders/>
            <w:shd w:fill="CCEEFF" w:val="clear"/>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0"/>
              <w:ind w:left="180" w:right="0" w:hanging="0"/>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256,056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0"/>
              <w:jc w:val="right"/>
              <w:rPr>
                <w:color w:val="000000"/>
              </w:rPr>
            </w:pPr>
            <w:r>
              <w:rPr>
                <w:color w:val="000000"/>
              </w:rPr>
              <w:t>259,157</w:t>
            </w:r>
          </w:p>
        </w:tc>
        <w:tc>
          <w:tcPr>
            <w:tcW w:w="170" w:type="dxa"/>
            <w:tcBorders/>
            <w:vAlign w:val="bottom"/>
          </w:tcPr>
          <w:p>
            <w:pPr>
              <w:pStyle w:val="TableContents"/>
              <w:bidi w:val="0"/>
              <w:spacing w:before="0" w:after="283"/>
              <w:jc w:val="left"/>
              <w:rPr/>
            </w:pPr>
            <w:r>
              <w:rPr/>
              <w:t> </w:t>
            </w:r>
          </w:p>
        </w:tc>
      </w:tr>
      <w:tr>
        <w:trPr/>
        <w:tc>
          <w:tcPr>
            <w:tcW w:w="3485" w:type="dxa"/>
            <w:tcBorders/>
            <w:shd w:fill="CCEEFF" w:val="clear"/>
            <w:vAlign w:val="bottom"/>
          </w:tcPr>
          <w:p>
            <w:pPr>
              <w:pStyle w:val="TableContents"/>
              <w:bidi w:val="0"/>
              <w:spacing w:before="0" w:after="0"/>
              <w:ind w:left="180" w:right="0" w:hanging="0"/>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62,557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0"/>
              <w:jc w:val="right"/>
              <w:rPr>
                <w:color w:val="000000"/>
              </w:rPr>
            </w:pPr>
            <w:r>
              <w:rPr>
                <w:color w:val="000000"/>
              </w:rPr>
              <w:t>62,092</w:t>
            </w:r>
          </w:p>
        </w:tc>
        <w:tc>
          <w:tcPr>
            <w:tcW w:w="170" w:type="dxa"/>
            <w:tcBorders/>
            <w:shd w:fill="CCEEFF" w:val="clear"/>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0"/>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103,444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8" w:type="dxa"/>
            <w:tcBorders>
              <w:bottom w:val="single" w:sz="12" w:space="0" w:color="000000"/>
            </w:tcBorders>
            <w:tcMar>
              <w:bottom w:w="28" w:type="dxa"/>
            </w:tcMar>
            <w:vAlign w:val="bottom"/>
          </w:tcPr>
          <w:p>
            <w:pPr>
              <w:pStyle w:val="TableContents"/>
              <w:bidi w:val="0"/>
              <w:spacing w:before="0" w:after="283"/>
              <w:jc w:val="left"/>
              <w:rPr/>
            </w:pPr>
            <w:r>
              <w:rPr/>
              <w:t> </w:t>
            </w:r>
          </w:p>
        </w:tc>
        <w:tc>
          <w:tcPr>
            <w:tcW w:w="123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100,103</w:t>
            </w:r>
          </w:p>
        </w:tc>
        <w:tc>
          <w:tcPr>
            <w:tcW w:w="170" w:type="dxa"/>
            <w:tcBorders/>
            <w:vAlign w:val="bottom"/>
          </w:tcPr>
          <w:p>
            <w:pPr>
              <w:pStyle w:val="TableContents"/>
              <w:bidi w:val="0"/>
              <w:spacing w:before="0" w:after="283"/>
              <w:jc w:val="left"/>
              <w:rPr/>
            </w:pPr>
            <w:r>
              <w:rPr/>
              <w:t> </w:t>
            </w:r>
          </w:p>
        </w:tc>
      </w:tr>
      <w:tr>
        <w:trPr/>
        <w:tc>
          <w:tcPr>
            <w:tcW w:w="348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3,103,529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0"/>
              <w:jc w:val="right"/>
              <w:rPr>
                <w:color w:val="000000"/>
              </w:rPr>
            </w:pPr>
            <w:r>
              <w:rPr>
                <w:color w:val="000000"/>
              </w:rPr>
              <w:t>3,144,502</w:t>
            </w:r>
          </w:p>
        </w:tc>
        <w:tc>
          <w:tcPr>
            <w:tcW w:w="170" w:type="dxa"/>
            <w:tcBorders/>
            <w:shd w:fill="CCEEFF" w:val="clear"/>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0"/>
              <w:jc w:val="left"/>
              <w:rPr>
                <w:color w:val="000000"/>
              </w:rPr>
            </w:pPr>
            <w:r>
              <w:rPr>
                <w:color w:val="000000"/>
              </w:rPr>
              <w:t>Allowance for credit losses on loans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(44,822</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08" w:type="dxa"/>
            <w:tcBorders>
              <w:bottom w:val="single" w:sz="12" w:space="0" w:color="000000"/>
            </w:tcBorders>
            <w:tcMar>
              <w:bottom w:w="28" w:type="dxa"/>
            </w:tcMar>
            <w:vAlign w:val="bottom"/>
          </w:tcPr>
          <w:p>
            <w:pPr>
              <w:pStyle w:val="TableContents"/>
              <w:bidi w:val="0"/>
              <w:spacing w:before="0" w:after="283"/>
              <w:jc w:val="left"/>
              <w:rPr/>
            </w:pPr>
            <w:r>
              <w:rPr/>
              <w:t> </w:t>
            </w:r>
          </w:p>
        </w:tc>
        <w:tc>
          <w:tcPr>
            <w:tcW w:w="123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(45,131</w:t>
            </w:r>
          </w:p>
        </w:tc>
        <w:tc>
          <w:tcPr>
            <w:tcW w:w="170" w:type="dxa"/>
            <w:tcBorders/>
            <w:vAlign w:val="bottom"/>
          </w:tcPr>
          <w:p>
            <w:pPr>
              <w:pStyle w:val="TableContents"/>
              <w:bidi w:val="0"/>
              <w:spacing w:before="0" w:after="0"/>
              <w:jc w:val="left"/>
              <w:rPr>
                <w:color w:val="000000"/>
              </w:rPr>
            </w:pPr>
            <w:r>
              <w:rPr>
                <w:color w:val="000000"/>
              </w:rPr>
              <w:t>)</w:t>
            </w:r>
          </w:p>
        </w:tc>
      </w:tr>
      <w:tr>
        <w:trPr/>
        <w:tc>
          <w:tcPr>
            <w:tcW w:w="3485" w:type="dxa"/>
            <w:tcBorders/>
            <w:shd w:fill="CCEEFF" w:val="clear"/>
            <w:vAlign w:val="bottom"/>
          </w:tcPr>
          <w:p>
            <w:pPr>
              <w:pStyle w:val="TableContents"/>
              <w:bidi w:val="0"/>
              <w:spacing w:before="0" w:after="0"/>
              <w:jc w:val="left"/>
              <w:rPr>
                <w:color w:val="000000"/>
              </w:rPr>
            </w:pPr>
            <w:r>
              <w:rPr>
                <w:color w:val="000000"/>
              </w:rPr>
              <w:t>Loans, net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3,058,707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3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3,099,371</w:t>
            </w:r>
          </w:p>
        </w:tc>
        <w:tc>
          <w:tcPr>
            <w:tcW w:w="1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has certain lending policies, underwriting standards, and procedures in place that are designed to maximize loan income with an acceptable level of risk. Management reviews and approves these policies, underwriting standards, and procedures on a regular basis and makes changes as appropriate. Management receives frequent reports related to loan originations, quality, concentrations, delinquencies, non-performing, and potential problem loans. Diversification in the loan portfolio is a means of managing risk associated with fluctuations in economic conditions, both by type of loan and geography.</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Commercial Real Estate</w:t>
      </w:r>
      <w:r>
        <w:rPr>
          <w:rFonts w:ascii="Times New Roman" w:hAnsi="Times New Roman"/>
          <w:color w:val="000000"/>
          <w:sz w:val="20"/>
          <w:shd w:fill="FFFFFF" w:val="clear"/>
        </w:rPr>
        <w:t xml:space="preserve"> – 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real estate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the Company’s real estate portfolio are diversified by type and geographic location. This diversity helps reduce the exposure to adverse economic events that affect any single market or industry.</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Commercial – General and Specialized</w:t>
      </w:r>
      <w:r>
        <w:rPr>
          <w:rFonts w:ascii="Times New Roman" w:hAnsi="Times New Roman"/>
          <w:color w:val="000000"/>
          <w:sz w:val="20"/>
          <w:shd w:fill="FFFFFF" w:val="clear"/>
        </w:rPr>
        <w:t xml:space="preserve"> – Commercial loans are underwritten after evaluating and understanding the borrower’s ability to operate profitably. 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segments that are considered “specialized” include agricultural production and real estate loans, energy loans, and finance, investment, and insurance loans. Commercial related segments that contain a broader diversity of borrowers, sub-industries, or serviced industries are grouped into the “general category.” These include goods, services, restaurant &amp; retail, construction, and other industries. Performance of these loans is subject to operating and cash flow results of the borrower, with risk in the volatility of operating results for particular industries.</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Consumer</w:t>
      </w:r>
      <w:r>
        <w:rPr>
          <w:rFonts w:ascii="Times New Roman" w:hAnsi="Times New Roman"/>
          <w:color w:val="000000"/>
          <w:sz w:val="20"/>
          <w:shd w:fill="FFFFFF" w:val="clear"/>
        </w:rPr>
        <w:t xml:space="preserve"> – Loans to consumers include 1-4 family residential loans, auto loans, and other loans for recreational vehicles or other purposes. The Company utilizes a computer-based credit scoring analysis to supplement its policies and procedures in underwriting consumer loans. The Company’s loan policy addresses types of consumer loans that may be originated and the collateral, if secured, which must be perfected. The relatively smaller individual dollar amounts of consumer loans that are spread over numerous individual borrowers also minimizes the Company’s risk. The Company generally requires mortgage title insurance and hazard insurance on 1-4 family residential loans. All consumer loans are generally dependent on the risk characteristics of the borrower’s ability to repay the loan, a consideration of the debt to income ratio, employment and income stability, the loan-to-value ratio, and the age, condition and marketability of the collateral.</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Construction</w:t>
      </w:r>
      <w:r>
        <w:rPr>
          <w:rFonts w:ascii="Times New Roman" w:hAnsi="Times New Roman"/>
          <w:color w:val="000000"/>
          <w:sz w:val="20"/>
          <w:shd w:fill="FFFFFF" w:val="clear"/>
        </w:rPr>
        <w:t xml:space="preserve"> – Loans for residential construction are for single-family properties to developers, builders, or end-users. These loans 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commercial real estate and construction categories comprise the Company’s nonowner-occupied real estate loans. Total nonowner-occupied real estate loans were $1.16 billion at March 31, 2026, and $1.16 billion at December 31, 2025.</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details the activity in the ACL for loans for the periods indicated (dollars in thousands). Allocation of a portion of the ACL to one category of loans does not preclude its availability to absorb losses in other categories.</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49" w:name="z0a680f58777147cba2a97344642ff3b8"/>
      <w:bookmarkStart w:id="50" w:name="z0a680f58777147cba2a97344642ff3b8"/>
      <w:bookmarkEnd w:id="50"/>
    </w:p>
    <w:tbl>
      <w:tblPr>
        <w:tblW w:w="10205" w:type="dxa"/>
        <w:jc w:val="center"/>
        <w:tblInd w:w="0" w:type="dxa"/>
        <w:tblLayout w:type="fixed"/>
        <w:tblCellMar>
          <w:top w:w="0" w:type="dxa"/>
          <w:left w:w="0" w:type="dxa"/>
          <w:bottom w:w="0" w:type="dxa"/>
          <w:right w:w="0" w:type="dxa"/>
        </w:tblCellMar>
      </w:tblPr>
      <w:tblGrid>
        <w:gridCol w:w="3498"/>
        <w:gridCol w:w="90"/>
        <w:gridCol w:w="209"/>
        <w:gridCol w:w="876"/>
        <w:gridCol w:w="90"/>
        <w:gridCol w:w="90"/>
        <w:gridCol w:w="344"/>
        <w:gridCol w:w="986"/>
        <w:gridCol w:w="125"/>
        <w:gridCol w:w="90"/>
        <w:gridCol w:w="324"/>
        <w:gridCol w:w="926"/>
        <w:gridCol w:w="125"/>
        <w:gridCol w:w="90"/>
        <w:gridCol w:w="335"/>
        <w:gridCol w:w="810"/>
        <w:gridCol w:w="90"/>
        <w:gridCol w:w="90"/>
        <w:gridCol w:w="170"/>
        <w:gridCol w:w="710"/>
        <w:gridCol w:w="137"/>
      </w:tblGrid>
      <w:tr>
        <w:trPr/>
        <w:tc>
          <w:tcPr>
            <w:tcW w:w="349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Beginning</w:t>
            </w:r>
          </w:p>
          <w:p>
            <w:pPr>
              <w:pStyle w:val="TableContents"/>
              <w:bidi w:val="0"/>
              <w:spacing w:before="0" w:after="0"/>
              <w:jc w:val="center"/>
              <w:rPr>
                <w:b/>
                <w:color w:val="000000"/>
              </w:rPr>
            </w:pPr>
            <w:r>
              <w:rPr>
                <w:b/>
                <w:color w:val="000000"/>
              </w:rPr>
              <w:t>Balance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Provision for</w:t>
            </w:r>
          </w:p>
          <w:p>
            <w:pPr>
              <w:pStyle w:val="TableContents"/>
              <w:bidi w:val="0"/>
              <w:spacing w:before="0" w:after="0"/>
              <w:jc w:val="center"/>
              <w:rPr>
                <w:b/>
                <w:color w:val="000000"/>
              </w:rPr>
            </w:pPr>
            <w:r>
              <w:rPr>
                <w:b/>
                <w:color w:val="000000"/>
              </w:rPr>
              <w:t>Credit Losses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Charge-offs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Recoveries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Ending</w:t>
            </w:r>
          </w:p>
          <w:p>
            <w:pPr>
              <w:pStyle w:val="TableContents"/>
              <w:bidi w:val="0"/>
              <w:spacing w:before="0" w:after="0"/>
              <w:jc w:val="center"/>
              <w:rPr>
                <w:b/>
                <w:color w:val="000000"/>
              </w:rPr>
            </w:pPr>
            <w:r>
              <w:rPr>
                <w:b/>
                <w:color w:val="000000"/>
              </w:rPr>
              <w:t>Balance</w:t>
            </w:r>
          </w:p>
        </w:tc>
        <w:tc>
          <w:tcPr>
            <w:tcW w:w="137" w:type="dxa"/>
            <w:tcBorders/>
            <w:vAlign w:val="bottom"/>
          </w:tcPr>
          <w:p>
            <w:pPr>
              <w:pStyle w:val="TableContents"/>
              <w:bidi w:val="0"/>
              <w:spacing w:before="0" w:after="283"/>
              <w:jc w:val="left"/>
              <w:rPr/>
            </w:pPr>
            <w:r>
              <w:rPr/>
              <w:t> </w:t>
            </w:r>
          </w:p>
        </w:tc>
      </w:tr>
      <w:tr>
        <w:trPr/>
        <w:tc>
          <w:tcPr>
            <w:tcW w:w="3498" w:type="dxa"/>
            <w:tcBorders/>
            <w:vAlign w:val="bottom"/>
          </w:tcPr>
          <w:p>
            <w:pPr>
              <w:pStyle w:val="TableContents"/>
              <w:bidi w:val="0"/>
              <w:spacing w:before="0" w:after="0"/>
              <w:jc w:val="left"/>
              <w:rPr>
                <w:color w:val="000000"/>
                <w:u w:val="single"/>
              </w:rPr>
            </w:pPr>
            <w:r>
              <w:rPr>
                <w:color w:val="000000"/>
                <w:u w:val="single"/>
              </w:rPr>
              <w:t>For the three months ended March 31, 2026</w:t>
            </w:r>
          </w:p>
        </w:tc>
        <w:tc>
          <w:tcPr>
            <w:tcW w:w="90"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r>
      <w:tr>
        <w:trPr/>
        <w:tc>
          <w:tcPr>
            <w:tcW w:w="3498" w:type="dxa"/>
            <w:tcBorders/>
            <w:shd w:fill="CCEEFF" w:val="clear"/>
            <w:vAlign w:val="bottom"/>
          </w:tcPr>
          <w:p>
            <w:pPr>
              <w:pStyle w:val="TableContents"/>
              <w:bidi w:val="0"/>
              <w:spacing w:before="0" w:after="0"/>
              <w:ind w:left="144" w:right="0" w:hanging="144"/>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0"/>
              <w:jc w:val="left"/>
              <w:rPr>
                <w:color w:val="000000"/>
              </w:rPr>
            </w:pPr>
            <w:r>
              <w:rPr>
                <w:color w:val="000000"/>
              </w:rPr>
              <w:t>$</w:t>
            </w:r>
          </w:p>
        </w:tc>
        <w:tc>
          <w:tcPr>
            <w:tcW w:w="876" w:type="dxa"/>
            <w:tcBorders/>
            <w:shd w:fill="CCEEFF" w:val="clear"/>
            <w:vAlign w:val="bottom"/>
          </w:tcPr>
          <w:p>
            <w:pPr>
              <w:pStyle w:val="TableContents"/>
              <w:bidi w:val="0"/>
              <w:spacing w:before="0" w:after="0"/>
              <w:jc w:val="right"/>
              <w:rPr>
                <w:color w:val="000000"/>
              </w:rPr>
            </w:pPr>
            <w:r>
              <w:rPr>
                <w:color w:val="000000"/>
              </w:rPr>
              <w:t>15,214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0"/>
              <w:jc w:val="left"/>
              <w:rPr>
                <w:color w:val="000000"/>
              </w:rPr>
            </w:pPr>
            <w:r>
              <w:rPr>
                <w:color w:val="000000"/>
              </w:rPr>
              <w:t>$</w:t>
            </w:r>
          </w:p>
        </w:tc>
        <w:tc>
          <w:tcPr>
            <w:tcW w:w="986" w:type="dxa"/>
            <w:tcBorders/>
            <w:shd w:fill="CCEEFF" w:val="clear"/>
            <w:vAlign w:val="bottom"/>
          </w:tcPr>
          <w:p>
            <w:pPr>
              <w:pStyle w:val="TableContents"/>
              <w:bidi w:val="0"/>
              <w:spacing w:before="0" w:after="0"/>
              <w:jc w:val="right"/>
              <w:rPr>
                <w:color w:val="000000"/>
              </w:rPr>
            </w:pPr>
            <w:r>
              <w:rPr>
                <w:color w:val="000000"/>
              </w:rPr>
              <w:t>(197</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0"/>
              <w:jc w:val="left"/>
              <w:rPr>
                <w:color w:val="000000"/>
              </w:rPr>
            </w:pPr>
            <w:r>
              <w:rPr>
                <w:color w:val="000000"/>
              </w:rPr>
              <w:t>$</w:t>
            </w:r>
          </w:p>
        </w:tc>
        <w:tc>
          <w:tcPr>
            <w:tcW w:w="926"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0"/>
              <w:jc w:val="left"/>
              <w:rPr>
                <w:color w:val="000000"/>
              </w:rPr>
            </w:pPr>
            <w:r>
              <w:rPr>
                <w:color w:val="000000"/>
              </w:rPr>
              <w:t>$</w:t>
            </w:r>
          </w:p>
        </w:tc>
        <w:tc>
          <w:tcPr>
            <w:tcW w:w="8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15,017</w:t>
            </w:r>
          </w:p>
        </w:tc>
        <w:tc>
          <w:tcPr>
            <w:tcW w:w="137" w:type="dxa"/>
            <w:tcBorders/>
            <w:shd w:fill="CCEEFF" w:val="clear"/>
            <w:vAlign w:val="bottom"/>
          </w:tcPr>
          <w:p>
            <w:pPr>
              <w:pStyle w:val="TableContents"/>
              <w:bidi w:val="0"/>
              <w:spacing w:before="0" w:after="283"/>
              <w:jc w:val="left"/>
              <w:rPr/>
            </w:pPr>
            <w:r>
              <w:rPr/>
              <w:t> </w:t>
            </w:r>
          </w:p>
        </w:tc>
      </w:tr>
      <w:tr>
        <w:trPr/>
        <w:tc>
          <w:tcPr>
            <w:tcW w:w="3498" w:type="dxa"/>
            <w:tcBorders/>
            <w:vAlign w:val="bottom"/>
          </w:tcPr>
          <w:p>
            <w:pPr>
              <w:pStyle w:val="TableContents"/>
              <w:bidi w:val="0"/>
              <w:spacing w:before="0" w:after="0"/>
              <w:ind w:left="144" w:right="0" w:hanging="144"/>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color w:val="000000"/>
              </w:rPr>
            </w:pPr>
            <w:r>
              <w:rPr>
                <w:color w:val="000000"/>
              </w:rPr>
              <w:t>5,231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0"/>
              <w:jc w:val="right"/>
              <w:rPr>
                <w:color w:val="000000"/>
              </w:rPr>
            </w:pPr>
            <w:r>
              <w:rPr>
                <w:color w:val="000000"/>
              </w:rPr>
              <w:t>91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0"/>
              <w:jc w:val="right"/>
              <w:rPr>
                <w:color w:val="000000"/>
              </w:rPr>
            </w:pPr>
            <w:r>
              <w:rPr>
                <w:color w:val="000000"/>
              </w:rPr>
              <w:t>29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5,351</w:t>
            </w:r>
          </w:p>
        </w:tc>
        <w:tc>
          <w:tcPr>
            <w:tcW w:w="137" w:type="dxa"/>
            <w:tcBorders/>
            <w:vAlign w:val="bottom"/>
          </w:tcPr>
          <w:p>
            <w:pPr>
              <w:pStyle w:val="TableContents"/>
              <w:bidi w:val="0"/>
              <w:spacing w:before="0" w:after="283"/>
              <w:jc w:val="left"/>
              <w:rPr/>
            </w:pPr>
            <w:r>
              <w:rPr/>
              <w:t> </w:t>
            </w:r>
          </w:p>
        </w:tc>
      </w:tr>
      <w:tr>
        <w:trPr/>
        <w:tc>
          <w:tcPr>
            <w:tcW w:w="3498" w:type="dxa"/>
            <w:tcBorders/>
            <w:shd w:fill="CCEEFF" w:val="clear"/>
            <w:vAlign w:val="bottom"/>
          </w:tcPr>
          <w:p>
            <w:pPr>
              <w:pStyle w:val="TableContents"/>
              <w:bidi w:val="0"/>
              <w:spacing w:before="0" w:after="0"/>
              <w:ind w:left="144" w:right="0" w:hanging="144"/>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7,448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0"/>
              <w:jc w:val="right"/>
              <w:rPr>
                <w:color w:val="000000"/>
              </w:rPr>
            </w:pPr>
            <w:r>
              <w:rPr>
                <w:color w:val="000000"/>
              </w:rPr>
              <w:t>96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0"/>
              <w:jc w:val="right"/>
              <w:rPr>
                <w:color w:val="000000"/>
              </w:rPr>
            </w:pPr>
            <w:r>
              <w:rPr>
                <w:color w:val="000000"/>
              </w:rPr>
              <w:t>(176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0"/>
              <w:jc w:val="right"/>
              <w:rPr>
                <w:color w:val="000000"/>
              </w:rPr>
            </w:pPr>
            <w:r>
              <w:rPr>
                <w:color w:val="000000"/>
              </w:rPr>
              <w:t>16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7,384</w:t>
            </w:r>
          </w:p>
        </w:tc>
        <w:tc>
          <w:tcPr>
            <w:tcW w:w="137" w:type="dxa"/>
            <w:tcBorders/>
            <w:shd w:fill="CCEEFF" w:val="clear"/>
            <w:vAlign w:val="bottom"/>
          </w:tcPr>
          <w:p>
            <w:pPr>
              <w:pStyle w:val="TableContents"/>
              <w:bidi w:val="0"/>
              <w:spacing w:before="0" w:after="283"/>
              <w:jc w:val="left"/>
              <w:rPr/>
            </w:pPr>
            <w:r>
              <w:rPr/>
              <w:t> </w:t>
            </w:r>
          </w:p>
        </w:tc>
      </w:tr>
      <w:tr>
        <w:trPr/>
        <w:tc>
          <w:tcPr>
            <w:tcW w:w="3498" w:type="dxa"/>
            <w:tcBorders/>
            <w:vAlign w:val="bottom"/>
          </w:tcPr>
          <w:p>
            <w:pPr>
              <w:pStyle w:val="TableContents"/>
              <w:bidi w:val="0"/>
              <w:spacing w:before="0" w:after="0"/>
              <w:ind w:left="144" w:right="0" w:hanging="144"/>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137" w:type="dxa"/>
            <w:tcBorders/>
            <w:vAlign w:val="bottom"/>
          </w:tcPr>
          <w:p>
            <w:pPr>
              <w:pStyle w:val="TableContents"/>
              <w:bidi w:val="0"/>
              <w:spacing w:before="0" w:after="283"/>
              <w:jc w:val="left"/>
              <w:rPr/>
            </w:pPr>
            <w:r>
              <w:rPr/>
              <w:t> </w:t>
            </w:r>
          </w:p>
        </w:tc>
      </w:tr>
      <w:tr>
        <w:trPr/>
        <w:tc>
          <w:tcPr>
            <w:tcW w:w="3498" w:type="dxa"/>
            <w:tcBorders/>
            <w:shd w:fill="CCEEFF" w:val="clear"/>
            <w:vAlign w:val="bottom"/>
          </w:tcPr>
          <w:p>
            <w:pPr>
              <w:pStyle w:val="TableContents"/>
              <w:bidi w:val="0"/>
              <w:spacing w:before="0" w:after="0"/>
              <w:ind w:left="288" w:right="0" w:hanging="144"/>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11,103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0"/>
              <w:jc w:val="right"/>
              <w:rPr>
                <w:color w:val="000000"/>
              </w:rPr>
            </w:pPr>
            <w:r>
              <w:rPr>
                <w:color w:val="000000"/>
              </w:rPr>
              <w:t>(594</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0"/>
              <w:jc w:val="right"/>
              <w:rPr>
                <w:color w:val="000000"/>
              </w:rPr>
            </w:pPr>
            <w:r>
              <w:rPr>
                <w:color w:val="000000"/>
              </w:rPr>
              <w:t>294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10,803</w:t>
            </w:r>
          </w:p>
        </w:tc>
        <w:tc>
          <w:tcPr>
            <w:tcW w:w="137" w:type="dxa"/>
            <w:tcBorders/>
            <w:shd w:fill="CCEEFF" w:val="clear"/>
            <w:vAlign w:val="bottom"/>
          </w:tcPr>
          <w:p>
            <w:pPr>
              <w:pStyle w:val="TableContents"/>
              <w:bidi w:val="0"/>
              <w:spacing w:before="0" w:after="283"/>
              <w:jc w:val="left"/>
              <w:rPr/>
            </w:pPr>
            <w:r>
              <w:rPr/>
              <w:t> </w:t>
            </w:r>
          </w:p>
        </w:tc>
      </w:tr>
      <w:tr>
        <w:trPr/>
        <w:tc>
          <w:tcPr>
            <w:tcW w:w="3498" w:type="dxa"/>
            <w:tcBorders/>
            <w:vAlign w:val="bottom"/>
          </w:tcPr>
          <w:p>
            <w:pPr>
              <w:pStyle w:val="TableContents"/>
              <w:bidi w:val="0"/>
              <w:spacing w:before="0" w:after="0"/>
              <w:ind w:left="288" w:right="0" w:hanging="144"/>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color w:val="000000"/>
              </w:rPr>
            </w:pPr>
            <w:r>
              <w:rPr>
                <w:color w:val="000000"/>
              </w:rPr>
              <w:t>3,033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0"/>
              <w:jc w:val="right"/>
              <w:rPr>
                <w:color w:val="000000"/>
              </w:rPr>
            </w:pPr>
            <w:r>
              <w:rPr>
                <w:color w:val="000000"/>
              </w:rPr>
              <w:t>515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0"/>
              <w:jc w:val="right"/>
              <w:rPr>
                <w:color w:val="000000"/>
              </w:rPr>
            </w:pPr>
            <w:r>
              <w:rPr>
                <w:color w:val="000000"/>
              </w:rPr>
              <w:t>(281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0"/>
              <w:jc w:val="right"/>
              <w:rPr>
                <w:color w:val="000000"/>
              </w:rPr>
            </w:pPr>
            <w:r>
              <w:rPr>
                <w:color w:val="000000"/>
              </w:rPr>
              <w:t>31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3,298</w:t>
            </w:r>
          </w:p>
        </w:tc>
        <w:tc>
          <w:tcPr>
            <w:tcW w:w="137" w:type="dxa"/>
            <w:tcBorders/>
            <w:vAlign w:val="bottom"/>
          </w:tcPr>
          <w:p>
            <w:pPr>
              <w:pStyle w:val="TableContents"/>
              <w:bidi w:val="0"/>
              <w:spacing w:before="0" w:after="283"/>
              <w:jc w:val="left"/>
              <w:rPr/>
            </w:pPr>
            <w:r>
              <w:rPr/>
              <w:t> </w:t>
            </w:r>
          </w:p>
        </w:tc>
      </w:tr>
      <w:tr>
        <w:trPr/>
        <w:tc>
          <w:tcPr>
            <w:tcW w:w="3498" w:type="dxa"/>
            <w:tcBorders/>
            <w:shd w:fill="CCEEFF" w:val="clear"/>
            <w:vAlign w:val="bottom"/>
          </w:tcPr>
          <w:p>
            <w:pPr>
              <w:pStyle w:val="TableContents"/>
              <w:bidi w:val="0"/>
              <w:spacing w:before="0" w:after="0"/>
              <w:ind w:left="288" w:right="0" w:hanging="144"/>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1,150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0"/>
              <w:jc w:val="right"/>
              <w:rPr>
                <w:color w:val="000000"/>
              </w:rPr>
            </w:pPr>
            <w:r>
              <w:rPr>
                <w:color w:val="000000"/>
              </w:rPr>
              <w:t>129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0"/>
              <w:jc w:val="right"/>
              <w:rPr>
                <w:color w:val="000000"/>
              </w:rPr>
            </w:pPr>
            <w:r>
              <w:rPr>
                <w:color w:val="000000"/>
              </w:rPr>
              <w:t>(339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0"/>
              <w:jc w:val="right"/>
              <w:rPr>
                <w:color w:val="000000"/>
              </w:rPr>
            </w:pPr>
            <w:r>
              <w:rPr>
                <w:color w:val="000000"/>
              </w:rPr>
              <w:t>117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1,057</w:t>
            </w:r>
          </w:p>
        </w:tc>
        <w:tc>
          <w:tcPr>
            <w:tcW w:w="137" w:type="dxa"/>
            <w:tcBorders/>
            <w:shd w:fill="CCEEFF" w:val="clear"/>
            <w:vAlign w:val="bottom"/>
          </w:tcPr>
          <w:p>
            <w:pPr>
              <w:pStyle w:val="TableContents"/>
              <w:bidi w:val="0"/>
              <w:spacing w:before="0" w:after="283"/>
              <w:jc w:val="left"/>
              <w:rPr/>
            </w:pPr>
            <w:r>
              <w:rPr/>
              <w:t> </w:t>
            </w:r>
          </w:p>
        </w:tc>
      </w:tr>
      <w:tr>
        <w:trPr/>
        <w:tc>
          <w:tcPr>
            <w:tcW w:w="3498" w:type="dxa"/>
            <w:tcBorders/>
            <w:vAlign w:val="bottom"/>
          </w:tcPr>
          <w:p>
            <w:pPr>
              <w:pStyle w:val="TableContents"/>
              <w:bidi w:val="0"/>
              <w:spacing w:before="0" w:after="0"/>
              <w:ind w:left="144" w:right="0" w:hanging="144"/>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209" w:type="dxa"/>
            <w:tcBorders>
              <w:bottom w:val="single" w:sz="12" w:space="0" w:color="000000"/>
            </w:tcBorders>
            <w:tcMar>
              <w:bottom w:w="28" w:type="dxa"/>
            </w:tcMar>
            <w:vAlign w:val="bottom"/>
          </w:tcPr>
          <w:p>
            <w:pPr>
              <w:pStyle w:val="TableContents"/>
              <w:bidi w:val="0"/>
              <w:spacing w:before="0" w:after="283"/>
              <w:jc w:val="left"/>
              <w:rPr/>
            </w:pPr>
            <w:r>
              <w:rPr/>
              <w:t> </w:t>
            </w:r>
          </w:p>
        </w:tc>
        <w:tc>
          <w:tcPr>
            <w:tcW w:w="87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1,952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4" w:type="dxa"/>
            <w:tcBorders>
              <w:bottom w:val="single" w:sz="12" w:space="0" w:color="000000"/>
            </w:tcBorders>
            <w:tcMar>
              <w:bottom w:w="28" w:type="dxa"/>
            </w:tcMar>
            <w:vAlign w:val="bottom"/>
          </w:tcPr>
          <w:p>
            <w:pPr>
              <w:pStyle w:val="TableContents"/>
              <w:bidi w:val="0"/>
              <w:spacing w:before="0" w:after="283"/>
              <w:jc w:val="left"/>
              <w:rPr/>
            </w:pPr>
            <w:r>
              <w:rPr/>
              <w:t> </w:t>
            </w:r>
          </w:p>
        </w:tc>
        <w:tc>
          <w:tcPr>
            <w:tcW w:w="98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(40</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324" w:type="dxa"/>
            <w:tcBorders>
              <w:bottom w:val="single" w:sz="12" w:space="0" w:color="000000"/>
            </w:tcBorders>
            <w:tcMar>
              <w:bottom w:w="28" w:type="dxa"/>
            </w:tcMar>
            <w:vAlign w:val="bottom"/>
          </w:tcPr>
          <w:p>
            <w:pPr>
              <w:pStyle w:val="TableContents"/>
              <w:bidi w:val="0"/>
              <w:spacing w:before="0" w:after="283"/>
              <w:jc w:val="left"/>
              <w:rPr/>
            </w:pPr>
            <w:r>
              <w:rPr/>
              <w:t> </w:t>
            </w:r>
          </w:p>
        </w:tc>
        <w:tc>
          <w:tcPr>
            <w:tcW w:w="92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5" w:type="dxa"/>
            <w:tcBorders>
              <w:bottom w:val="single" w:sz="12" w:space="0" w:color="000000"/>
            </w:tcBorders>
            <w:tcMar>
              <w:bottom w:w="28" w:type="dxa"/>
            </w:tcMar>
            <w:vAlign w:val="bottom"/>
          </w:tcPr>
          <w:p>
            <w:pPr>
              <w:pStyle w:val="TableContents"/>
              <w:bidi w:val="0"/>
              <w:spacing w:before="0" w:after="283"/>
              <w:jc w:val="left"/>
              <w:rPr/>
            </w:pPr>
            <w:r>
              <w:rPr/>
              <w:t> </w:t>
            </w:r>
          </w:p>
        </w:tc>
        <w:tc>
          <w:tcPr>
            <w:tcW w:w="8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1,912</w:t>
            </w:r>
          </w:p>
        </w:tc>
        <w:tc>
          <w:tcPr>
            <w:tcW w:w="137" w:type="dxa"/>
            <w:tcBorders/>
            <w:vAlign w:val="bottom"/>
          </w:tcPr>
          <w:p>
            <w:pPr>
              <w:pStyle w:val="TableContents"/>
              <w:bidi w:val="0"/>
              <w:spacing w:before="0" w:after="283"/>
              <w:jc w:val="left"/>
              <w:rPr/>
            </w:pPr>
            <w:r>
              <w:rPr/>
              <w:t> </w:t>
            </w:r>
          </w:p>
        </w:tc>
      </w:tr>
      <w:tr>
        <w:trPr/>
        <w:tc>
          <w:tcPr>
            <w:tcW w:w="349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45,131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8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2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(796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33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487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44,822</w:t>
            </w:r>
          </w:p>
        </w:tc>
        <w:tc>
          <w:tcPr>
            <w:tcW w:w="137" w:type="dxa"/>
            <w:tcBorders/>
            <w:shd w:fill="CCEEFF" w:val="clear"/>
            <w:vAlign w:val="bottom"/>
          </w:tcPr>
          <w:p>
            <w:pPr>
              <w:pStyle w:val="TableContents"/>
              <w:bidi w:val="0"/>
              <w:spacing w:before="0" w:after="283"/>
              <w:jc w:val="left"/>
              <w:rPr/>
            </w:pPr>
            <w:r>
              <w:rPr/>
              <w:t> </w:t>
            </w:r>
          </w:p>
        </w:tc>
      </w:tr>
      <w:tr>
        <w:trPr/>
        <w:tc>
          <w:tcPr>
            <w:tcW w:w="349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137" w:type="dxa"/>
            <w:tcBorders/>
            <w:vAlign w:val="bottom"/>
          </w:tcPr>
          <w:p>
            <w:pPr>
              <w:pStyle w:val="TableContents"/>
              <w:bidi w:val="0"/>
              <w:spacing w:before="0" w:after="283"/>
              <w:jc w:val="left"/>
              <w:rPr/>
            </w:pPr>
            <w:r>
              <w:rPr/>
              <w:t> </w:t>
            </w:r>
          </w:p>
        </w:tc>
      </w:tr>
      <w:tr>
        <w:trPr/>
        <w:tc>
          <w:tcPr>
            <w:tcW w:w="3498" w:type="dxa"/>
            <w:tcBorders/>
            <w:shd w:fill="CCEEFF" w:val="clear"/>
            <w:vAlign w:val="bottom"/>
          </w:tcPr>
          <w:p>
            <w:pPr>
              <w:pStyle w:val="TableContents"/>
              <w:bidi w:val="0"/>
              <w:spacing w:before="0" w:after="0"/>
              <w:jc w:val="left"/>
              <w:rPr>
                <w:color w:val="000000"/>
                <w:u w:val="single"/>
              </w:rPr>
            </w:pPr>
            <w:r>
              <w:rPr>
                <w:color w:val="000000"/>
                <w:u w:val="single"/>
              </w:rPr>
              <w:t>For the three months ended March 31, 2025</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137" w:type="dxa"/>
            <w:tcBorders/>
            <w:shd w:fill="CCEEFF" w:val="clear"/>
            <w:vAlign w:val="bottom"/>
          </w:tcPr>
          <w:p>
            <w:pPr>
              <w:pStyle w:val="TableContents"/>
              <w:bidi w:val="0"/>
              <w:spacing w:before="0" w:after="283"/>
              <w:jc w:val="left"/>
              <w:rPr/>
            </w:pPr>
            <w:r>
              <w:rPr/>
              <w:t> </w:t>
            </w:r>
          </w:p>
        </w:tc>
      </w:tr>
      <w:tr>
        <w:trPr/>
        <w:tc>
          <w:tcPr>
            <w:tcW w:w="3498" w:type="dxa"/>
            <w:tcBorders/>
            <w:vAlign w:val="bottom"/>
          </w:tcPr>
          <w:p>
            <w:pPr>
              <w:pStyle w:val="TableContents"/>
              <w:bidi w:val="0"/>
              <w:spacing w:before="0" w:after="0"/>
              <w:ind w:left="144" w:right="0" w:hanging="144"/>
              <w:jc w:val="left"/>
              <w:rPr>
                <w:color w:val="000000"/>
              </w:rPr>
            </w:pPr>
            <w:r>
              <w:rPr>
                <w:color w:val="000000"/>
              </w:rPr>
              <w:t>Commercial real estate</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0"/>
              <w:jc w:val="left"/>
              <w:rPr>
                <w:color w:val="000000"/>
              </w:rPr>
            </w:pPr>
            <w:r>
              <w:rPr>
                <w:color w:val="000000"/>
              </w:rPr>
              <w:t>$</w:t>
            </w:r>
          </w:p>
        </w:tc>
        <w:tc>
          <w:tcPr>
            <w:tcW w:w="876" w:type="dxa"/>
            <w:tcBorders/>
            <w:vAlign w:val="bottom"/>
          </w:tcPr>
          <w:p>
            <w:pPr>
              <w:pStyle w:val="TableContents"/>
              <w:bidi w:val="0"/>
              <w:spacing w:before="0" w:after="0"/>
              <w:jc w:val="right"/>
              <w:rPr>
                <w:color w:val="000000"/>
              </w:rPr>
            </w:pPr>
            <w:r>
              <w:rPr>
                <w:color w:val="000000"/>
              </w:rPr>
              <w:t>15,973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0"/>
              <w:jc w:val="left"/>
              <w:rPr>
                <w:color w:val="000000"/>
              </w:rPr>
            </w:pPr>
            <w:r>
              <w:rPr>
                <w:color w:val="000000"/>
              </w:rPr>
              <w:t>$</w:t>
            </w:r>
          </w:p>
        </w:tc>
        <w:tc>
          <w:tcPr>
            <w:tcW w:w="986" w:type="dxa"/>
            <w:tcBorders/>
            <w:vAlign w:val="bottom"/>
          </w:tcPr>
          <w:p>
            <w:pPr>
              <w:pStyle w:val="TableContents"/>
              <w:bidi w:val="0"/>
              <w:spacing w:before="0" w:after="0"/>
              <w:jc w:val="right"/>
              <w:rPr>
                <w:color w:val="000000"/>
              </w:rPr>
            </w:pPr>
            <w:r>
              <w:rPr>
                <w:color w:val="000000"/>
              </w:rPr>
              <w:t>(186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0"/>
              <w:jc w:val="left"/>
              <w:rPr>
                <w:color w:val="000000"/>
              </w:rPr>
            </w:pPr>
            <w:r>
              <w:rPr>
                <w:color w:val="000000"/>
              </w:rPr>
              <w:t>$</w:t>
            </w:r>
          </w:p>
        </w:tc>
        <w:tc>
          <w:tcPr>
            <w:tcW w:w="926"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0"/>
              <w:jc w:val="left"/>
              <w:rPr>
                <w:color w:val="000000"/>
              </w:rPr>
            </w:pPr>
            <w:r>
              <w:rPr>
                <w:color w:val="000000"/>
              </w:rPr>
              <w:t>$</w:t>
            </w:r>
          </w:p>
        </w:tc>
        <w:tc>
          <w:tcPr>
            <w:tcW w:w="8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710" w:type="dxa"/>
            <w:tcBorders/>
            <w:vAlign w:val="bottom"/>
          </w:tcPr>
          <w:p>
            <w:pPr>
              <w:pStyle w:val="TableContents"/>
              <w:bidi w:val="0"/>
              <w:spacing w:before="0" w:after="0"/>
              <w:jc w:val="right"/>
              <w:rPr>
                <w:color w:val="000000"/>
              </w:rPr>
            </w:pPr>
            <w:r>
              <w:rPr>
                <w:color w:val="000000"/>
              </w:rPr>
              <w:t>15,787</w:t>
            </w:r>
          </w:p>
        </w:tc>
        <w:tc>
          <w:tcPr>
            <w:tcW w:w="137" w:type="dxa"/>
            <w:tcBorders/>
            <w:vAlign w:val="bottom"/>
          </w:tcPr>
          <w:p>
            <w:pPr>
              <w:pStyle w:val="TableContents"/>
              <w:bidi w:val="0"/>
              <w:spacing w:before="0" w:after="283"/>
              <w:jc w:val="left"/>
              <w:rPr/>
            </w:pPr>
            <w:r>
              <w:rPr/>
              <w:t> </w:t>
            </w:r>
          </w:p>
        </w:tc>
      </w:tr>
      <w:tr>
        <w:trPr/>
        <w:tc>
          <w:tcPr>
            <w:tcW w:w="3498" w:type="dxa"/>
            <w:tcBorders/>
            <w:shd w:fill="CCEEFF" w:val="clear"/>
            <w:vAlign w:val="bottom"/>
          </w:tcPr>
          <w:p>
            <w:pPr>
              <w:pStyle w:val="TableContents"/>
              <w:bidi w:val="0"/>
              <w:spacing w:before="0" w:after="0"/>
              <w:ind w:left="144" w:right="0" w:hanging="144"/>
              <w:jc w:val="left"/>
              <w:rPr>
                <w:color w:val="000000"/>
              </w:rPr>
            </w:pPr>
            <w:r>
              <w:rPr>
                <w:color w:val="000000"/>
              </w:rPr>
              <w:t>Commercial - specialized</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4,640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0"/>
              <w:jc w:val="right"/>
              <w:rPr>
                <w:color w:val="000000"/>
              </w:rPr>
            </w:pPr>
            <w:r>
              <w:rPr>
                <w:color w:val="000000"/>
              </w:rPr>
              <w:t>(151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0"/>
              <w:jc w:val="right"/>
              <w:rPr>
                <w:color w:val="000000"/>
              </w:rPr>
            </w:pPr>
            <w:r>
              <w:rPr>
                <w:color w:val="000000"/>
              </w:rPr>
              <w:t>34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4,523</w:t>
            </w:r>
          </w:p>
        </w:tc>
        <w:tc>
          <w:tcPr>
            <w:tcW w:w="137" w:type="dxa"/>
            <w:tcBorders/>
            <w:shd w:fill="CCEEFF" w:val="clear"/>
            <w:vAlign w:val="bottom"/>
          </w:tcPr>
          <w:p>
            <w:pPr>
              <w:pStyle w:val="TableContents"/>
              <w:bidi w:val="0"/>
              <w:spacing w:before="0" w:after="283"/>
              <w:jc w:val="left"/>
              <w:rPr/>
            </w:pPr>
            <w:r>
              <w:rPr/>
              <w:t> </w:t>
            </w:r>
          </w:p>
        </w:tc>
      </w:tr>
      <w:tr>
        <w:trPr/>
        <w:tc>
          <w:tcPr>
            <w:tcW w:w="3498" w:type="dxa"/>
            <w:tcBorders/>
            <w:vAlign w:val="bottom"/>
          </w:tcPr>
          <w:p>
            <w:pPr>
              <w:pStyle w:val="TableContents"/>
              <w:bidi w:val="0"/>
              <w:spacing w:before="0" w:after="0"/>
              <w:ind w:left="144" w:right="0" w:hanging="144"/>
              <w:jc w:val="left"/>
              <w:rPr>
                <w:color w:val="000000"/>
              </w:rPr>
            </w:pPr>
            <w:r>
              <w:rPr>
                <w:color w:val="000000"/>
              </w:rPr>
              <w:t>Commercial - general</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color w:val="000000"/>
              </w:rPr>
            </w:pPr>
            <w:r>
              <w:rPr>
                <w:color w:val="000000"/>
              </w:rPr>
              <w:t>6,874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0"/>
              <w:jc w:val="right"/>
              <w:rPr>
                <w:color w:val="000000"/>
              </w:rPr>
            </w:pPr>
            <w:r>
              <w:rPr>
                <w:color w:val="000000"/>
              </w:rPr>
              <w:t>(417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0"/>
              <w:jc w:val="right"/>
              <w:rPr>
                <w:color w:val="000000"/>
              </w:rPr>
            </w:pPr>
            <w:r>
              <w:rPr>
                <w:color w:val="000000"/>
              </w:rPr>
              <w:t>(74</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0"/>
              <w:jc w:val="right"/>
              <w:rPr>
                <w:color w:val="000000"/>
              </w:rPr>
            </w:pPr>
            <w:r>
              <w:rPr>
                <w:color w:val="000000"/>
              </w:rPr>
              <w:t>20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6,403</w:t>
            </w:r>
          </w:p>
        </w:tc>
        <w:tc>
          <w:tcPr>
            <w:tcW w:w="137" w:type="dxa"/>
            <w:tcBorders/>
            <w:vAlign w:val="bottom"/>
          </w:tcPr>
          <w:p>
            <w:pPr>
              <w:pStyle w:val="TableContents"/>
              <w:bidi w:val="0"/>
              <w:spacing w:before="0" w:after="283"/>
              <w:jc w:val="left"/>
              <w:rPr/>
            </w:pPr>
            <w:r>
              <w:rPr/>
              <w:t> </w:t>
            </w:r>
          </w:p>
        </w:tc>
      </w:tr>
      <w:tr>
        <w:trPr/>
        <w:tc>
          <w:tcPr>
            <w:tcW w:w="3498" w:type="dxa"/>
            <w:tcBorders/>
            <w:shd w:fill="CCEEFF" w:val="clear"/>
            <w:vAlign w:val="bottom"/>
          </w:tcPr>
          <w:p>
            <w:pPr>
              <w:pStyle w:val="TableContents"/>
              <w:bidi w:val="0"/>
              <w:spacing w:before="0" w:after="0"/>
              <w:ind w:left="144" w:right="0" w:hanging="144"/>
              <w:jc w:val="left"/>
              <w:rPr>
                <w:color w:val="000000"/>
              </w:rPr>
            </w:pPr>
            <w:r>
              <w:rPr>
                <w:color w:val="000000"/>
              </w:rPr>
              <w:t>Consumer:</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137" w:type="dxa"/>
            <w:tcBorders/>
            <w:shd w:fill="CCEEFF" w:val="clear"/>
            <w:vAlign w:val="bottom"/>
          </w:tcPr>
          <w:p>
            <w:pPr>
              <w:pStyle w:val="TableContents"/>
              <w:bidi w:val="0"/>
              <w:spacing w:before="0" w:after="283"/>
              <w:jc w:val="left"/>
              <w:rPr/>
            </w:pPr>
            <w:r>
              <w:rPr/>
              <w:t> </w:t>
            </w:r>
          </w:p>
        </w:tc>
      </w:tr>
      <w:tr>
        <w:trPr/>
        <w:tc>
          <w:tcPr>
            <w:tcW w:w="3498" w:type="dxa"/>
            <w:tcBorders/>
            <w:vAlign w:val="bottom"/>
          </w:tcPr>
          <w:p>
            <w:pPr>
              <w:pStyle w:val="TableContents"/>
              <w:bidi w:val="0"/>
              <w:spacing w:before="0" w:after="0"/>
              <w:ind w:left="288" w:right="0" w:hanging="144"/>
              <w:jc w:val="left"/>
              <w:rPr>
                <w:color w:val="000000"/>
              </w:rPr>
            </w:pPr>
            <w:r>
              <w:rPr>
                <w:color w:val="000000"/>
              </w:rPr>
              <w:t>1-4 family residential</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color w:val="000000"/>
              </w:rPr>
            </w:pPr>
            <w:r>
              <w:rPr>
                <w:color w:val="000000"/>
              </w:rPr>
              <w:t>9,677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0"/>
              <w:jc w:val="right"/>
              <w:rPr>
                <w:color w:val="000000"/>
              </w:rPr>
            </w:pPr>
            <w:r>
              <w:rPr>
                <w:color w:val="000000"/>
              </w:rPr>
              <w:t>395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0"/>
              <w:jc w:val="right"/>
              <w:rPr>
                <w:color w:val="000000"/>
              </w:rPr>
            </w:pPr>
            <w:r>
              <w:rPr>
                <w:color w:val="000000"/>
              </w:rPr>
              <w:t>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10,079</w:t>
            </w:r>
          </w:p>
        </w:tc>
        <w:tc>
          <w:tcPr>
            <w:tcW w:w="137" w:type="dxa"/>
            <w:tcBorders/>
            <w:vAlign w:val="bottom"/>
          </w:tcPr>
          <w:p>
            <w:pPr>
              <w:pStyle w:val="TableContents"/>
              <w:bidi w:val="0"/>
              <w:spacing w:before="0" w:after="283"/>
              <w:jc w:val="left"/>
              <w:rPr/>
            </w:pPr>
            <w:r>
              <w:rPr/>
              <w:t> </w:t>
            </w:r>
          </w:p>
        </w:tc>
      </w:tr>
      <w:tr>
        <w:trPr/>
        <w:tc>
          <w:tcPr>
            <w:tcW w:w="3498" w:type="dxa"/>
            <w:tcBorders/>
            <w:shd w:fill="CCEEFF" w:val="clear"/>
            <w:vAlign w:val="bottom"/>
          </w:tcPr>
          <w:p>
            <w:pPr>
              <w:pStyle w:val="TableContents"/>
              <w:bidi w:val="0"/>
              <w:spacing w:before="0" w:after="0"/>
              <w:ind w:left="288" w:right="0" w:hanging="144"/>
              <w:jc w:val="left"/>
              <w:rPr>
                <w:color w:val="000000"/>
              </w:rPr>
            </w:pPr>
            <w:r>
              <w:rPr>
                <w:color w:val="000000"/>
              </w:rPr>
              <w:t>Auto loans</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3,015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0"/>
              <w:jc w:val="right"/>
              <w:rPr>
                <w:color w:val="000000"/>
              </w:rPr>
            </w:pPr>
            <w:r>
              <w:rPr>
                <w:color w:val="000000"/>
              </w:rPr>
              <w:t>337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0"/>
              <w:jc w:val="right"/>
              <w:rPr>
                <w:color w:val="000000"/>
              </w:rPr>
            </w:pPr>
            <w:r>
              <w:rPr>
                <w:color w:val="000000"/>
              </w:rPr>
              <w:t>(303</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0"/>
              <w:jc w:val="right"/>
              <w:rPr>
                <w:color w:val="000000"/>
              </w:rPr>
            </w:pPr>
            <w:r>
              <w:rPr>
                <w:color w:val="000000"/>
              </w:rPr>
              <w:t>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3,096</w:t>
            </w:r>
          </w:p>
        </w:tc>
        <w:tc>
          <w:tcPr>
            <w:tcW w:w="137" w:type="dxa"/>
            <w:tcBorders/>
            <w:shd w:fill="CCEEFF" w:val="clear"/>
            <w:vAlign w:val="bottom"/>
          </w:tcPr>
          <w:p>
            <w:pPr>
              <w:pStyle w:val="TableContents"/>
              <w:bidi w:val="0"/>
              <w:spacing w:before="0" w:after="283"/>
              <w:jc w:val="left"/>
              <w:rPr/>
            </w:pPr>
            <w:r>
              <w:rPr/>
              <w:t> </w:t>
            </w:r>
          </w:p>
        </w:tc>
      </w:tr>
      <w:tr>
        <w:trPr/>
        <w:tc>
          <w:tcPr>
            <w:tcW w:w="3498" w:type="dxa"/>
            <w:tcBorders/>
            <w:vAlign w:val="bottom"/>
          </w:tcPr>
          <w:p>
            <w:pPr>
              <w:pStyle w:val="TableContents"/>
              <w:bidi w:val="0"/>
              <w:spacing w:before="0" w:after="0"/>
              <w:ind w:left="288" w:right="0" w:hanging="144"/>
              <w:jc w:val="left"/>
              <w:rPr>
                <w:color w:val="000000"/>
              </w:rPr>
            </w:pPr>
            <w:r>
              <w:rPr>
                <w:color w:val="000000"/>
              </w:rPr>
              <w:t>Other consumer</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color w:val="000000"/>
              </w:rPr>
            </w:pPr>
            <w:r>
              <w:rPr>
                <w:color w:val="000000"/>
              </w:rPr>
              <w:t>1,115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0"/>
              <w:jc w:val="right"/>
              <w:rPr>
                <w:color w:val="000000"/>
              </w:rPr>
            </w:pPr>
            <w:r>
              <w:rPr>
                <w:color w:val="000000"/>
              </w:rPr>
              <w:t>247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0"/>
              <w:jc w:val="right"/>
              <w:rPr>
                <w:color w:val="000000"/>
              </w:rPr>
            </w:pPr>
            <w:r>
              <w:rPr>
                <w:color w:val="000000"/>
              </w:rPr>
              <w:t>(313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0"/>
              <w:jc w:val="right"/>
              <w:rPr>
                <w:color w:val="000000"/>
              </w:rPr>
            </w:pPr>
            <w:r>
              <w:rPr>
                <w:color w:val="000000"/>
              </w:rPr>
              <w:t>58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1,107</w:t>
            </w:r>
          </w:p>
        </w:tc>
        <w:tc>
          <w:tcPr>
            <w:tcW w:w="137" w:type="dxa"/>
            <w:tcBorders/>
            <w:vAlign w:val="bottom"/>
          </w:tcPr>
          <w:p>
            <w:pPr>
              <w:pStyle w:val="TableContents"/>
              <w:bidi w:val="0"/>
              <w:spacing w:before="0" w:after="283"/>
              <w:jc w:val="left"/>
              <w:rPr/>
            </w:pPr>
            <w:r>
              <w:rPr/>
              <w:t> </w:t>
            </w:r>
          </w:p>
        </w:tc>
      </w:tr>
      <w:tr>
        <w:trPr/>
        <w:tc>
          <w:tcPr>
            <w:tcW w:w="3498" w:type="dxa"/>
            <w:tcBorders/>
            <w:shd w:fill="CCEEFF" w:val="clear"/>
            <w:vAlign w:val="bottom"/>
          </w:tcPr>
          <w:p>
            <w:pPr>
              <w:pStyle w:val="TableContents"/>
              <w:bidi w:val="0"/>
              <w:spacing w:before="0" w:after="0"/>
              <w:ind w:left="144" w:right="0" w:hanging="144"/>
              <w:jc w:val="left"/>
              <w:rPr>
                <w:color w:val="000000"/>
              </w:rPr>
            </w:pPr>
            <w:r>
              <w:rPr>
                <w:color w:val="000000"/>
              </w:rPr>
              <w:t>Construction</w:t>
            </w:r>
          </w:p>
        </w:tc>
        <w:tc>
          <w:tcPr>
            <w:tcW w:w="90" w:type="dxa"/>
            <w:tcBorders/>
            <w:shd w:fill="CCEEFF" w:val="clear"/>
            <w:vAlign w:val="bottom"/>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1,943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3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1,973</w:t>
            </w:r>
          </w:p>
        </w:tc>
        <w:tc>
          <w:tcPr>
            <w:tcW w:w="137" w:type="dxa"/>
            <w:tcBorders/>
            <w:shd w:fill="CCEEFF" w:val="clear"/>
            <w:vAlign w:val="bottom"/>
          </w:tcPr>
          <w:p>
            <w:pPr>
              <w:pStyle w:val="TableContents"/>
              <w:bidi w:val="0"/>
              <w:spacing w:before="0" w:after="283"/>
              <w:jc w:val="left"/>
              <w:rPr/>
            </w:pPr>
            <w:r>
              <w:rPr/>
              <w:t> </w:t>
            </w:r>
          </w:p>
        </w:tc>
      </w:tr>
      <w:tr>
        <w:trPr/>
        <w:tc>
          <w:tcPr>
            <w:tcW w:w="349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7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43,237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8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250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2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(690</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335"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171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42,968</w:t>
            </w:r>
          </w:p>
        </w:tc>
        <w:tc>
          <w:tcPr>
            <w:tcW w:w="137" w:type="dxa"/>
            <w:tcBorders/>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three months ended March 31, 2026, and 2025 the Company recorded a provision for credit loss of $260 thousand and $420 thousand, respectively, which was comprised of a provision for credit losses on loans of $— and $250 thousand, respectively, and a provision for off-balance sheet credit exposures of $260 thousand, and $170 thousand, respectively.</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shows the Company’s amortized cost and related ACL for individually evaluated collateral dependent loans by class using the fair value of collateral loss estimation methodology of evaluating expected credit losses at the dates indicated (dollars in thousands).</w:t>
      </w:r>
    </w:p>
    <w:p>
      <w:pPr>
        <w:pStyle w:val="TextBody"/>
        <w:bidi w:val="0"/>
        <w:spacing w:before="0" w:after="0"/>
        <w:jc w:val="both"/>
        <w:rPr>
          <w:color w:val="000000"/>
        </w:rPr>
      </w:pPr>
      <w:r>
        <w:rPr>
          <w:color w:val="000000"/>
        </w:rPr>
      </w:r>
    </w:p>
    <w:p>
      <w:pPr>
        <w:pStyle w:val="Normal"/>
        <w:bidi w:val="0"/>
        <w:spacing w:before="0" w:after="0"/>
        <w:jc w:val="center"/>
        <w:rPr>
          <w:sz w:val="4"/>
          <w:szCs w:val="4"/>
        </w:rPr>
      </w:pPr>
      <w:r>
        <w:rPr>
          <w:sz w:val="4"/>
          <w:szCs w:val="4"/>
        </w:rPr>
      </w:r>
      <w:bookmarkStart w:id="51" w:name="zb5d42bc76c6a445cbe63193c7f2eb04c"/>
      <w:bookmarkStart w:id="52" w:name="zb5d42bc76c6a445cbe63193c7f2eb04c"/>
      <w:bookmarkEnd w:id="52"/>
    </w:p>
    <w:tbl>
      <w:tblPr>
        <w:tblW w:w="10205" w:type="dxa"/>
        <w:jc w:val="center"/>
        <w:tblInd w:w="0" w:type="dxa"/>
        <w:tblLayout w:type="fixed"/>
        <w:tblCellMar>
          <w:top w:w="0" w:type="dxa"/>
          <w:left w:w="0" w:type="dxa"/>
          <w:bottom w:w="0" w:type="dxa"/>
          <w:right w:w="0" w:type="dxa"/>
        </w:tblCellMar>
      </w:tblPr>
      <w:tblGrid>
        <w:gridCol w:w="2366"/>
        <w:gridCol w:w="90"/>
        <w:gridCol w:w="348"/>
        <w:gridCol w:w="842"/>
        <w:gridCol w:w="90"/>
        <w:gridCol w:w="90"/>
        <w:gridCol w:w="262"/>
        <w:gridCol w:w="912"/>
        <w:gridCol w:w="90"/>
        <w:gridCol w:w="90"/>
        <w:gridCol w:w="240"/>
        <w:gridCol w:w="410"/>
        <w:gridCol w:w="90"/>
        <w:gridCol w:w="90"/>
        <w:gridCol w:w="567"/>
        <w:gridCol w:w="1975"/>
        <w:gridCol w:w="90"/>
        <w:gridCol w:w="90"/>
        <w:gridCol w:w="493"/>
        <w:gridCol w:w="841"/>
        <w:gridCol w:w="139"/>
      </w:tblGrid>
      <w:tr>
        <w:trPr/>
        <w:tc>
          <w:tcPr>
            <w:tcW w:w="236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Equipment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Real Estate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Other</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4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Total Loans Individually </w:t>
            </w:r>
          </w:p>
          <w:p>
            <w:pPr>
              <w:pStyle w:val="TableContents"/>
              <w:bidi w:val="0"/>
              <w:spacing w:before="0" w:after="0"/>
              <w:jc w:val="center"/>
              <w:rPr>
                <w:b/>
                <w:color w:val="000000"/>
              </w:rPr>
            </w:pPr>
            <w:r>
              <w:rPr>
                <w:b/>
                <w:color w:val="000000"/>
              </w:rPr>
              <w:t>Evaluated</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Total ACL </w:t>
            </w:r>
          </w:p>
          <w:p>
            <w:pPr>
              <w:pStyle w:val="TableContents"/>
              <w:bidi w:val="0"/>
              <w:spacing w:before="0" w:after="0"/>
              <w:jc w:val="center"/>
              <w:rPr>
                <w:b/>
                <w:color w:val="000000"/>
              </w:rPr>
            </w:pPr>
            <w:r>
              <w:rPr>
                <w:b/>
                <w:color w:val="000000"/>
              </w:rPr>
              <w:t xml:space="preserve">for </w:t>
            </w:r>
          </w:p>
          <w:p>
            <w:pPr>
              <w:pStyle w:val="TableContents"/>
              <w:bidi w:val="0"/>
              <w:spacing w:before="0" w:after="0"/>
              <w:jc w:val="center"/>
              <w:rPr>
                <w:b/>
                <w:color w:val="000000"/>
              </w:rPr>
            </w:pPr>
            <w:r>
              <w:rPr>
                <w:b/>
                <w:color w:val="000000"/>
              </w:rPr>
              <w:t xml:space="preserve">Individually </w:t>
            </w:r>
          </w:p>
          <w:p>
            <w:pPr>
              <w:pStyle w:val="TableContents"/>
              <w:bidi w:val="0"/>
              <w:spacing w:before="0" w:after="0"/>
              <w:jc w:val="center"/>
              <w:rPr>
                <w:b/>
                <w:color w:val="000000"/>
              </w:rPr>
            </w:pPr>
            <w:r>
              <w:rPr>
                <w:b/>
                <w:color w:val="000000"/>
              </w:rPr>
              <w:t xml:space="preserve">Evaluated </w:t>
            </w:r>
          </w:p>
          <w:p>
            <w:pPr>
              <w:pStyle w:val="TableContents"/>
              <w:bidi w:val="0"/>
              <w:spacing w:before="0" w:after="0"/>
              <w:jc w:val="center"/>
              <w:rPr>
                <w:b/>
                <w:color w:val="000000"/>
              </w:rPr>
            </w:pPr>
            <w:r>
              <w:rPr>
                <w:b/>
                <w:color w:val="000000"/>
              </w:rPr>
              <w:t>Loans</w:t>
            </w:r>
          </w:p>
        </w:tc>
        <w:tc>
          <w:tcPr>
            <w:tcW w:w="139" w:type="dxa"/>
            <w:tcBorders/>
            <w:vAlign w:val="bottom"/>
          </w:tcPr>
          <w:p>
            <w:pPr>
              <w:pStyle w:val="TableContents"/>
              <w:bidi w:val="0"/>
              <w:spacing w:before="0" w:after="283"/>
              <w:jc w:val="left"/>
              <w:rPr/>
            </w:pPr>
            <w:r>
              <w:rPr/>
              <w:t> </w:t>
            </w:r>
          </w:p>
        </w:tc>
      </w:tr>
      <w:tr>
        <w:trPr/>
        <w:tc>
          <w:tcPr>
            <w:tcW w:w="2366" w:type="dxa"/>
            <w:tcBorders/>
            <w:vAlign w:val="bottom"/>
          </w:tcPr>
          <w:p>
            <w:pPr>
              <w:pStyle w:val="TableContents"/>
              <w:bidi w:val="0"/>
              <w:spacing w:before="0" w:after="0"/>
              <w:jc w:val="left"/>
              <w:rPr>
                <w:color w:val="000000"/>
                <w:u w:val="single"/>
              </w:rPr>
            </w:pPr>
            <w:r>
              <w:rPr>
                <w:color w:val="000000"/>
                <w:u w:val="single"/>
              </w:rPr>
              <w:t>March 31, 2026</w:t>
            </w:r>
          </w:p>
        </w:tc>
        <w:tc>
          <w:tcPr>
            <w:tcW w:w="90" w:type="dxa"/>
            <w:tcBorders/>
            <w:vAlign w:val="bottom"/>
          </w:tcPr>
          <w:p>
            <w:pPr>
              <w:pStyle w:val="TableContents"/>
              <w:bidi w:val="0"/>
              <w:spacing w:before="0" w:after="283"/>
              <w:jc w:val="left"/>
              <w:rPr/>
            </w:pPr>
            <w:r>
              <w:rPr/>
              <w:t> </w:t>
            </w:r>
          </w:p>
        </w:tc>
        <w:tc>
          <w:tcPr>
            <w:tcW w:w="119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7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5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42"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4" w:type="dxa"/>
            <w:gridSpan w:val="2"/>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r>
      <w:tr>
        <w:trPr/>
        <w:tc>
          <w:tcPr>
            <w:tcW w:w="2366" w:type="dxa"/>
            <w:tcBorders/>
            <w:shd w:fill="CCEEFF" w:val="clear"/>
            <w:vAlign w:val="bottom"/>
          </w:tcPr>
          <w:p>
            <w:pPr>
              <w:pStyle w:val="TableContents"/>
              <w:bidi w:val="0"/>
              <w:spacing w:before="0" w:after="0"/>
              <w:ind w:left="144" w:right="0" w:hanging="144"/>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0"/>
              <w:jc w:val="left"/>
              <w:rPr>
                <w:color w:val="000000"/>
              </w:rPr>
            </w:pPr>
            <w:r>
              <w:rPr>
                <w:color w:val="000000"/>
              </w:rPr>
              <w:t>$</w:t>
            </w:r>
          </w:p>
        </w:tc>
        <w:tc>
          <w:tcPr>
            <w:tcW w:w="842" w:type="dxa"/>
            <w:tcBorders/>
            <w:shd w:fill="CCEEFF" w:val="clear"/>
            <w:vAlign w:val="bottom"/>
          </w:tcPr>
          <w:p>
            <w:pPr>
              <w:pStyle w:val="TableContents"/>
              <w:bidi w:val="0"/>
              <w:spacing w:before="0" w:after="0"/>
              <w:jc w:val="right"/>
              <w:rPr>
                <w:color w:val="000000"/>
              </w:rPr>
            </w:pPr>
            <w:r>
              <w:rPr>
                <w:color w:val="000000"/>
              </w:rPr>
              <w:t>462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0"/>
              <w:jc w:val="left"/>
              <w:rPr>
                <w:color w:val="000000"/>
              </w:rPr>
            </w:pPr>
            <w:r>
              <w:rPr>
                <w:color w:val="000000"/>
              </w:rPr>
              <w:t>$</w:t>
            </w:r>
          </w:p>
        </w:tc>
        <w:tc>
          <w:tcPr>
            <w:tcW w:w="912" w:type="dxa"/>
            <w:tcBorders/>
            <w:shd w:fill="CCEEFF" w:val="clear"/>
            <w:vAlign w:val="bottom"/>
          </w:tcPr>
          <w:p>
            <w:pPr>
              <w:pStyle w:val="TableContents"/>
              <w:bidi w:val="0"/>
              <w:spacing w:before="0" w:after="0"/>
              <w:jc w:val="right"/>
              <w:rPr>
                <w:color w:val="000000"/>
              </w:rPr>
            </w:pPr>
            <w:r>
              <w:rPr>
                <w:color w:val="000000"/>
              </w:rPr>
              <w:t>409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0"/>
              <w:jc w:val="left"/>
              <w:rPr>
                <w:color w:val="000000"/>
              </w:rPr>
            </w:pPr>
            <w:r>
              <w:rPr>
                <w:color w:val="000000"/>
              </w:rPr>
              <w:t>$</w:t>
            </w:r>
          </w:p>
        </w:tc>
        <w:tc>
          <w:tcPr>
            <w:tcW w:w="4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0"/>
              <w:jc w:val="left"/>
              <w:rPr>
                <w:color w:val="000000"/>
              </w:rPr>
            </w:pPr>
            <w:r>
              <w:rPr>
                <w:color w:val="000000"/>
              </w:rPr>
              <w:t>$</w:t>
            </w:r>
          </w:p>
        </w:tc>
        <w:tc>
          <w:tcPr>
            <w:tcW w:w="1975" w:type="dxa"/>
            <w:tcBorders/>
            <w:shd w:fill="CCEEFF" w:val="clear"/>
            <w:vAlign w:val="bottom"/>
          </w:tcPr>
          <w:p>
            <w:pPr>
              <w:pStyle w:val="TableContents"/>
              <w:bidi w:val="0"/>
              <w:spacing w:before="0" w:after="0"/>
              <w:jc w:val="right"/>
              <w:rPr>
                <w:color w:val="000000"/>
              </w:rPr>
            </w:pPr>
            <w:r>
              <w:rPr>
                <w:color w:val="000000"/>
              </w:rPr>
              <w:t>871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93" w:type="dxa"/>
            <w:tcBorders/>
            <w:shd w:fill="CCEEFF" w:val="clear"/>
            <w:vAlign w:val="bottom"/>
          </w:tcPr>
          <w:p>
            <w:pPr>
              <w:pStyle w:val="TableContents"/>
              <w:bidi w:val="0"/>
              <w:spacing w:before="0" w:after="0"/>
              <w:jc w:val="left"/>
              <w:rPr>
                <w:color w:val="000000"/>
              </w:rPr>
            </w:pPr>
            <w:r>
              <w:rPr>
                <w:color w:val="000000"/>
              </w:rPr>
              <w:t>$</w:t>
            </w:r>
          </w:p>
        </w:tc>
        <w:tc>
          <w:tcPr>
            <w:tcW w:w="841" w:type="dxa"/>
            <w:tcBorders/>
            <w:shd w:fill="CCEEFF" w:val="clear"/>
            <w:vAlign w:val="bottom"/>
          </w:tcPr>
          <w:p>
            <w:pPr>
              <w:pStyle w:val="TableContents"/>
              <w:bidi w:val="0"/>
              <w:spacing w:before="0" w:after="0"/>
              <w:jc w:val="right"/>
              <w:rPr>
                <w:color w:val="000000"/>
              </w:rPr>
            </w:pPr>
            <w:r>
              <w:rPr>
                <w:color w:val="000000"/>
              </w:rPr>
              <w:t>58</w:t>
            </w:r>
          </w:p>
        </w:tc>
        <w:tc>
          <w:tcPr>
            <w:tcW w:w="139" w:type="dxa"/>
            <w:tcBorders/>
            <w:shd w:fill="CCEEFF" w:val="clear"/>
            <w:vAlign w:val="bottom"/>
          </w:tcPr>
          <w:p>
            <w:pPr>
              <w:pStyle w:val="TableContents"/>
              <w:bidi w:val="0"/>
              <w:spacing w:before="0" w:after="283"/>
              <w:jc w:val="left"/>
              <w:rPr/>
            </w:pPr>
            <w:r>
              <w:rPr/>
              <w:t> </w:t>
            </w:r>
          </w:p>
        </w:tc>
      </w:tr>
      <w:tr>
        <w:trPr/>
        <w:tc>
          <w:tcPr>
            <w:tcW w:w="2366" w:type="dxa"/>
            <w:tcBorders/>
            <w:vAlign w:val="bottom"/>
          </w:tcPr>
          <w:p>
            <w:pPr>
              <w:pStyle w:val="TableContents"/>
              <w:bidi w:val="0"/>
              <w:spacing w:before="0" w:after="0"/>
              <w:ind w:left="144" w:right="0" w:hanging="144"/>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0"/>
              <w:jc w:val="right"/>
              <w:rPr>
                <w:color w:val="000000"/>
              </w:rPr>
            </w:pPr>
            <w:r>
              <w:rPr>
                <w:color w:val="000000"/>
              </w:rPr>
              <w:t>289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0"/>
              <w:jc w:val="right"/>
              <w:rPr>
                <w:color w:val="000000"/>
              </w:rPr>
            </w:pPr>
            <w:r>
              <w:rPr>
                <w:color w:val="000000"/>
              </w:rPr>
              <w:t>255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left"/>
              <w:rPr/>
            </w:pPr>
            <w:r>
              <w:rPr/>
              <w:t> </w:t>
            </w:r>
          </w:p>
        </w:tc>
        <w:tc>
          <w:tcPr>
            <w:tcW w:w="1975" w:type="dxa"/>
            <w:tcBorders/>
            <w:vAlign w:val="bottom"/>
          </w:tcPr>
          <w:p>
            <w:pPr>
              <w:pStyle w:val="TableContents"/>
              <w:bidi w:val="0"/>
              <w:spacing w:before="0" w:after="0"/>
              <w:jc w:val="right"/>
              <w:rPr>
                <w:color w:val="000000"/>
              </w:rPr>
            </w:pPr>
            <w:r>
              <w:rPr>
                <w:color w:val="000000"/>
              </w:rPr>
              <w:t>544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93"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0"/>
              <w:jc w:val="right"/>
              <w:rPr>
                <w:color w:val="000000"/>
              </w:rPr>
            </w:pPr>
            <w:r>
              <w:rPr>
                <w:color w:val="000000"/>
              </w:rPr>
              <w:t>23</w:t>
            </w:r>
          </w:p>
        </w:tc>
        <w:tc>
          <w:tcPr>
            <w:tcW w:w="139" w:type="dxa"/>
            <w:tcBorders/>
            <w:vAlign w:val="bottom"/>
          </w:tcPr>
          <w:p>
            <w:pPr>
              <w:pStyle w:val="TableContents"/>
              <w:bidi w:val="0"/>
              <w:spacing w:before="0" w:after="283"/>
              <w:jc w:val="left"/>
              <w:rPr/>
            </w:pPr>
            <w:r>
              <w:rPr/>
              <w:t> </w:t>
            </w:r>
          </w:p>
        </w:tc>
      </w:tr>
      <w:tr>
        <w:trPr/>
        <w:tc>
          <w:tcPr>
            <w:tcW w:w="2366" w:type="dxa"/>
            <w:tcBorders/>
            <w:shd w:fill="CCEEFF" w:val="clear"/>
            <w:vAlign w:val="bottom"/>
          </w:tcPr>
          <w:p>
            <w:pPr>
              <w:pStyle w:val="TableContents"/>
              <w:bidi w:val="0"/>
              <w:spacing w:before="0" w:after="0"/>
              <w:ind w:left="144" w:right="0" w:hanging="144"/>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0"/>
              <w:jc w:val="right"/>
              <w:rPr>
                <w:color w:val="000000"/>
              </w:rPr>
            </w:pPr>
            <w:r>
              <w:rPr>
                <w:color w:val="000000"/>
              </w:rPr>
              <w:t>403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left"/>
              <w:rPr/>
            </w:pPr>
            <w:r>
              <w:rPr/>
              <w:t> </w:t>
            </w:r>
          </w:p>
        </w:tc>
        <w:tc>
          <w:tcPr>
            <w:tcW w:w="1975" w:type="dxa"/>
            <w:tcBorders/>
            <w:shd w:fill="CCEEFF" w:val="clear"/>
            <w:vAlign w:val="bottom"/>
          </w:tcPr>
          <w:p>
            <w:pPr>
              <w:pStyle w:val="TableContents"/>
              <w:bidi w:val="0"/>
              <w:spacing w:before="0" w:after="0"/>
              <w:jc w:val="right"/>
              <w:rPr>
                <w:color w:val="000000"/>
              </w:rPr>
            </w:pPr>
            <w:r>
              <w:rPr>
                <w:color w:val="000000"/>
              </w:rPr>
              <w:t>403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93"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0"/>
              <w:jc w:val="right"/>
              <w:rPr>
                <w:color w:val="000000"/>
              </w:rPr>
            </w:pPr>
            <w:r>
              <w:rPr>
                <w:color w:val="000000"/>
              </w:rPr>
              <w:t>—</w:t>
            </w:r>
          </w:p>
        </w:tc>
        <w:tc>
          <w:tcPr>
            <w:tcW w:w="139" w:type="dxa"/>
            <w:tcBorders/>
            <w:shd w:fill="CCEEFF" w:val="clear"/>
            <w:vAlign w:val="bottom"/>
          </w:tcPr>
          <w:p>
            <w:pPr>
              <w:pStyle w:val="TableContents"/>
              <w:bidi w:val="0"/>
              <w:spacing w:before="0" w:after="283"/>
              <w:jc w:val="left"/>
              <w:rPr/>
            </w:pPr>
            <w:r>
              <w:rPr/>
              <w:t> </w:t>
            </w:r>
          </w:p>
        </w:tc>
      </w:tr>
      <w:tr>
        <w:trPr/>
        <w:tc>
          <w:tcPr>
            <w:tcW w:w="2366" w:type="dxa"/>
            <w:tcBorders/>
            <w:vAlign w:val="bottom"/>
          </w:tcPr>
          <w:p>
            <w:pPr>
              <w:pStyle w:val="TableContents"/>
              <w:bidi w:val="0"/>
              <w:spacing w:before="0" w:after="0"/>
              <w:ind w:left="144" w:right="0" w:hanging="144"/>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left"/>
              <w:rPr/>
            </w:pPr>
            <w:r>
              <w:rPr/>
              <w:t> </w:t>
            </w:r>
          </w:p>
        </w:tc>
        <w:tc>
          <w:tcPr>
            <w:tcW w:w="1975"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93"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r>
      <w:tr>
        <w:trPr/>
        <w:tc>
          <w:tcPr>
            <w:tcW w:w="2366" w:type="dxa"/>
            <w:tcBorders/>
            <w:shd w:fill="CCEEFF" w:val="clear"/>
            <w:vAlign w:val="bottom"/>
          </w:tcPr>
          <w:p>
            <w:pPr>
              <w:pStyle w:val="TableContents"/>
              <w:bidi w:val="0"/>
              <w:spacing w:before="0" w:after="0"/>
              <w:ind w:left="288" w:right="0" w:hanging="144"/>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left"/>
              <w:rPr/>
            </w:pPr>
            <w:r>
              <w:rPr/>
              <w:t> </w:t>
            </w:r>
          </w:p>
        </w:tc>
        <w:tc>
          <w:tcPr>
            <w:tcW w:w="1975"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93"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0"/>
              <w:jc w:val="right"/>
              <w:rPr>
                <w:color w:val="000000"/>
              </w:rPr>
            </w:pPr>
            <w:r>
              <w:rPr>
                <w:color w:val="000000"/>
              </w:rPr>
              <w:t>—</w:t>
            </w:r>
          </w:p>
        </w:tc>
        <w:tc>
          <w:tcPr>
            <w:tcW w:w="139" w:type="dxa"/>
            <w:tcBorders/>
            <w:shd w:fill="CCEEFF" w:val="clear"/>
            <w:vAlign w:val="bottom"/>
          </w:tcPr>
          <w:p>
            <w:pPr>
              <w:pStyle w:val="TableContents"/>
              <w:bidi w:val="0"/>
              <w:spacing w:before="0" w:after="283"/>
              <w:jc w:val="left"/>
              <w:rPr/>
            </w:pPr>
            <w:r>
              <w:rPr/>
              <w:t> </w:t>
            </w:r>
          </w:p>
        </w:tc>
      </w:tr>
      <w:tr>
        <w:trPr/>
        <w:tc>
          <w:tcPr>
            <w:tcW w:w="2366" w:type="dxa"/>
            <w:tcBorders/>
            <w:vAlign w:val="bottom"/>
          </w:tcPr>
          <w:p>
            <w:pPr>
              <w:pStyle w:val="TableContents"/>
              <w:bidi w:val="0"/>
              <w:spacing w:before="0" w:after="0"/>
              <w:ind w:left="288" w:right="0" w:hanging="144"/>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left"/>
              <w:rPr/>
            </w:pPr>
            <w:r>
              <w:rPr/>
              <w:t> </w:t>
            </w:r>
          </w:p>
        </w:tc>
        <w:tc>
          <w:tcPr>
            <w:tcW w:w="1975"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93"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0"/>
              <w:jc w:val="right"/>
              <w:rPr>
                <w:color w:val="000000"/>
              </w:rPr>
            </w:pPr>
            <w:r>
              <w:rPr>
                <w:color w:val="000000"/>
              </w:rPr>
              <w:t>—</w:t>
            </w:r>
          </w:p>
        </w:tc>
        <w:tc>
          <w:tcPr>
            <w:tcW w:w="139" w:type="dxa"/>
            <w:tcBorders/>
            <w:vAlign w:val="bottom"/>
          </w:tcPr>
          <w:p>
            <w:pPr>
              <w:pStyle w:val="TableContents"/>
              <w:bidi w:val="0"/>
              <w:spacing w:before="0" w:after="283"/>
              <w:jc w:val="left"/>
              <w:rPr/>
            </w:pPr>
            <w:r>
              <w:rPr/>
              <w:t> </w:t>
            </w:r>
          </w:p>
        </w:tc>
      </w:tr>
      <w:tr>
        <w:trPr/>
        <w:tc>
          <w:tcPr>
            <w:tcW w:w="2366" w:type="dxa"/>
            <w:tcBorders/>
            <w:shd w:fill="CCEEFF" w:val="clear"/>
            <w:vAlign w:val="bottom"/>
          </w:tcPr>
          <w:p>
            <w:pPr>
              <w:pStyle w:val="TableContents"/>
              <w:bidi w:val="0"/>
              <w:spacing w:before="0" w:after="0"/>
              <w:ind w:left="288" w:right="0" w:hanging="144"/>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left"/>
              <w:rPr/>
            </w:pPr>
            <w:r>
              <w:rPr/>
              <w:t> </w:t>
            </w:r>
          </w:p>
        </w:tc>
        <w:tc>
          <w:tcPr>
            <w:tcW w:w="1975"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93"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0"/>
              <w:jc w:val="right"/>
              <w:rPr>
                <w:color w:val="000000"/>
              </w:rPr>
            </w:pPr>
            <w:r>
              <w:rPr>
                <w:color w:val="000000"/>
              </w:rPr>
              <w:t>—</w:t>
            </w:r>
          </w:p>
        </w:tc>
        <w:tc>
          <w:tcPr>
            <w:tcW w:w="139" w:type="dxa"/>
            <w:tcBorders/>
            <w:shd w:fill="CCEEFF" w:val="clear"/>
            <w:vAlign w:val="bottom"/>
          </w:tcPr>
          <w:p>
            <w:pPr>
              <w:pStyle w:val="TableContents"/>
              <w:bidi w:val="0"/>
              <w:spacing w:before="0" w:after="283"/>
              <w:jc w:val="left"/>
              <w:rPr/>
            </w:pPr>
            <w:r>
              <w:rPr/>
              <w:t> </w:t>
            </w:r>
          </w:p>
        </w:tc>
      </w:tr>
      <w:tr>
        <w:trPr/>
        <w:tc>
          <w:tcPr>
            <w:tcW w:w="2366" w:type="dxa"/>
            <w:tcBorders/>
            <w:vAlign w:val="bottom"/>
          </w:tcPr>
          <w:p>
            <w:pPr>
              <w:pStyle w:val="TableContents"/>
              <w:bidi w:val="0"/>
              <w:spacing w:before="0" w:after="0"/>
              <w:ind w:left="144" w:right="0" w:hanging="144"/>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348" w:type="dxa"/>
            <w:tcBorders>
              <w:bottom w:val="single" w:sz="12" w:space="0" w:color="000000"/>
            </w:tcBorders>
            <w:tcMar>
              <w:bottom w:w="28" w:type="dxa"/>
            </w:tcMar>
            <w:vAlign w:val="bottom"/>
          </w:tcPr>
          <w:p>
            <w:pPr>
              <w:pStyle w:val="TableContents"/>
              <w:bidi w:val="0"/>
              <w:spacing w:before="0" w:after="283"/>
              <w:jc w:val="left"/>
              <w:rPr/>
            </w:pPr>
            <w:r>
              <w:rPr/>
              <w:t> </w:t>
            </w:r>
          </w:p>
        </w:tc>
        <w:tc>
          <w:tcPr>
            <w:tcW w:w="84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2" w:type="dxa"/>
            <w:tcBorders>
              <w:bottom w:val="single" w:sz="12" w:space="0" w:color="000000"/>
            </w:tcBorders>
            <w:tcMar>
              <w:bottom w:w="28" w:type="dxa"/>
            </w:tcMar>
            <w:vAlign w:val="bottom"/>
          </w:tcPr>
          <w:p>
            <w:pPr>
              <w:pStyle w:val="TableContents"/>
              <w:bidi w:val="0"/>
              <w:spacing w:before="0" w:after="283"/>
              <w:jc w:val="left"/>
              <w:rPr/>
            </w:pPr>
            <w:r>
              <w:rPr/>
              <w:t> </w:t>
            </w:r>
          </w:p>
        </w:tc>
        <w:tc>
          <w:tcPr>
            <w:tcW w:w="91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607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0" w:type="dxa"/>
            <w:tcBorders>
              <w:bottom w:val="single" w:sz="12" w:space="0" w:color="000000"/>
            </w:tcBorders>
            <w:tcMar>
              <w:bottom w:w="28" w:type="dxa"/>
            </w:tcMar>
            <w:vAlign w:val="bottom"/>
          </w:tcPr>
          <w:p>
            <w:pPr>
              <w:pStyle w:val="TableContents"/>
              <w:bidi w:val="0"/>
              <w:spacing w:before="0" w:after="283"/>
              <w:jc w:val="left"/>
              <w:rPr/>
            </w:pPr>
            <w:r>
              <w:rPr/>
              <w:t> </w:t>
            </w:r>
          </w:p>
        </w:tc>
        <w:tc>
          <w:tcPr>
            <w:tcW w:w="4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7" w:type="dxa"/>
            <w:tcBorders>
              <w:bottom w:val="single" w:sz="12" w:space="0" w:color="000000"/>
            </w:tcBorders>
            <w:tcMar>
              <w:bottom w:w="28" w:type="dxa"/>
            </w:tcMar>
            <w:vAlign w:val="bottom"/>
          </w:tcPr>
          <w:p>
            <w:pPr>
              <w:pStyle w:val="TableContents"/>
              <w:bidi w:val="0"/>
              <w:spacing w:before="0" w:after="283"/>
              <w:jc w:val="left"/>
              <w:rPr/>
            </w:pPr>
            <w:r>
              <w:rPr/>
              <w:t> </w:t>
            </w:r>
          </w:p>
        </w:tc>
        <w:tc>
          <w:tcPr>
            <w:tcW w:w="197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607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93" w:type="dxa"/>
            <w:tcBorders>
              <w:bottom w:val="single" w:sz="12" w:space="0" w:color="000000"/>
            </w:tcBorders>
            <w:tcMar>
              <w:bottom w:w="28" w:type="dxa"/>
            </w:tcMar>
            <w:vAlign w:val="bottom"/>
          </w:tcPr>
          <w:p>
            <w:pPr>
              <w:pStyle w:val="TableContents"/>
              <w:bidi w:val="0"/>
              <w:spacing w:before="0" w:after="283"/>
              <w:jc w:val="left"/>
              <w:rPr/>
            </w:pPr>
            <w:r>
              <w:rPr/>
              <w:t> </w:t>
            </w:r>
          </w:p>
        </w:tc>
        <w:tc>
          <w:tcPr>
            <w:tcW w:w="84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39" w:type="dxa"/>
            <w:tcBorders/>
            <w:vAlign w:val="bottom"/>
          </w:tcPr>
          <w:p>
            <w:pPr>
              <w:pStyle w:val="TableContents"/>
              <w:bidi w:val="0"/>
              <w:spacing w:before="0" w:after="283"/>
              <w:jc w:val="left"/>
              <w:rPr/>
            </w:pPr>
            <w:r>
              <w:rPr/>
              <w:t> </w:t>
            </w:r>
          </w:p>
        </w:tc>
      </w:tr>
      <w:tr>
        <w:trPr/>
        <w:tc>
          <w:tcPr>
            <w:tcW w:w="2366"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4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751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1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1,674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4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6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97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2,425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9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4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81</w:t>
            </w:r>
          </w:p>
        </w:tc>
        <w:tc>
          <w:tcPr>
            <w:tcW w:w="139"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Normal"/>
        <w:bidi w:val="0"/>
        <w:spacing w:before="0" w:after="0"/>
        <w:jc w:val="center"/>
        <w:rPr>
          <w:sz w:val="4"/>
          <w:szCs w:val="4"/>
        </w:rPr>
      </w:pPr>
      <w:r>
        <w:rPr>
          <w:sz w:val="4"/>
          <w:szCs w:val="4"/>
        </w:rPr>
      </w:r>
      <w:bookmarkStart w:id="53" w:name="zcfe35dd6f97942bd802b119d287c8e3b"/>
      <w:bookmarkStart w:id="54" w:name="zcfe35dd6f97942bd802b119d287c8e3b"/>
      <w:bookmarkEnd w:id="54"/>
    </w:p>
    <w:tbl>
      <w:tblPr>
        <w:tblW w:w="6715" w:type="dxa"/>
        <w:jc w:val="center"/>
        <w:tblInd w:w="0" w:type="dxa"/>
        <w:tblLayout w:type="fixed"/>
        <w:tblCellMar>
          <w:top w:w="0" w:type="dxa"/>
          <w:left w:w="0" w:type="dxa"/>
          <w:bottom w:w="0" w:type="dxa"/>
          <w:right w:w="0" w:type="dxa"/>
        </w:tblCellMar>
      </w:tblPr>
      <w:tblGrid>
        <w:gridCol w:w="2450"/>
        <w:gridCol w:w="90"/>
        <w:gridCol w:w="170"/>
        <w:gridCol w:w="590"/>
        <w:gridCol w:w="90"/>
        <w:gridCol w:w="90"/>
        <w:gridCol w:w="170"/>
        <w:gridCol w:w="590"/>
        <w:gridCol w:w="90"/>
        <w:gridCol w:w="90"/>
        <w:gridCol w:w="170"/>
        <w:gridCol w:w="290"/>
        <w:gridCol w:w="90"/>
        <w:gridCol w:w="90"/>
        <w:gridCol w:w="170"/>
        <w:gridCol w:w="590"/>
        <w:gridCol w:w="90"/>
        <w:gridCol w:w="90"/>
        <w:gridCol w:w="170"/>
        <w:gridCol w:w="410"/>
        <w:gridCol w:w="135"/>
      </w:tblGrid>
      <w:tr>
        <w:trPr/>
        <w:tc>
          <w:tcPr>
            <w:tcW w:w="2450" w:type="dxa"/>
            <w:tcBorders/>
            <w:vAlign w:val="bottom"/>
          </w:tcPr>
          <w:p>
            <w:pPr>
              <w:pStyle w:val="TableContents"/>
              <w:bidi w:val="0"/>
              <w:spacing w:before="0" w:after="0"/>
              <w:jc w:val="left"/>
              <w:rPr>
                <w:color w:val="000000"/>
                <w:u w:val="single"/>
              </w:rPr>
            </w:pPr>
            <w:r>
              <w:rPr>
                <w:color w:val="000000"/>
                <w:u w:val="single"/>
              </w:rPr>
              <w:t>December 31, 2025</w:t>
            </w:r>
          </w:p>
        </w:tc>
        <w:tc>
          <w:tcPr>
            <w:tcW w:w="90" w:type="dxa"/>
            <w:tcBorders/>
            <w:vAlign w:val="bottom"/>
          </w:tcPr>
          <w:p>
            <w:pPr>
              <w:pStyle w:val="TableContents"/>
              <w:bidi w:val="0"/>
              <w:spacing w:before="0" w:after="283"/>
              <w:jc w:val="left"/>
              <w:rPr/>
            </w:pPr>
            <w:r>
              <w:rPr/>
              <w:t> </w:t>
            </w:r>
          </w:p>
        </w:tc>
        <w:tc>
          <w:tcPr>
            <w:tcW w:w="7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8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144" w:right="0" w:hanging="144"/>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462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941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29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1,403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410" w:type="dxa"/>
            <w:tcBorders/>
            <w:shd w:fill="CCEEFF" w:val="clear"/>
            <w:vAlign w:val="bottom"/>
          </w:tcPr>
          <w:p>
            <w:pPr>
              <w:pStyle w:val="TableContents"/>
              <w:bidi w:val="0"/>
              <w:spacing w:before="0" w:after="0"/>
              <w:jc w:val="right"/>
              <w:rPr>
                <w:color w:val="000000"/>
              </w:rPr>
            </w:pPr>
            <w:r>
              <w:rPr>
                <w:color w:val="000000"/>
              </w:rPr>
              <w:t>112</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44" w:right="0" w:hanging="144"/>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289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255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544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144" w:right="0" w:hanging="144"/>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1,086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2,869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3,955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color w:val="000000"/>
              </w:rPr>
            </w:pPr>
            <w:r>
              <w:rPr>
                <w:color w:val="000000"/>
              </w:rPr>
              <w:t>275</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44" w:right="0" w:hanging="144"/>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288" w:right="0" w:hanging="144"/>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288" w:right="0" w:hanging="144"/>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288" w:right="0" w:hanging="144"/>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44" w:right="0" w:hanging="144"/>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2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4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1,837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4,065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2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5,902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4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387</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table below provides an age analysis on accruing past-due loans and nonaccrual loans at the dates indicated (dollars in thousands):</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55" w:name="z9ba0a3ad319145fa950f890c4cbce711"/>
      <w:bookmarkStart w:id="56" w:name="z9ba0a3ad319145fa950f890c4cbce711"/>
      <w:bookmarkEnd w:id="56"/>
    </w:p>
    <w:tbl>
      <w:tblPr>
        <w:tblW w:w="8003" w:type="dxa"/>
        <w:jc w:val="center"/>
        <w:tblInd w:w="0" w:type="dxa"/>
        <w:tblLayout w:type="fixed"/>
        <w:tblCellMar>
          <w:top w:w="0" w:type="dxa"/>
          <w:left w:w="0" w:type="dxa"/>
          <w:bottom w:w="0" w:type="dxa"/>
          <w:right w:w="0" w:type="dxa"/>
        </w:tblCellMar>
      </w:tblPr>
      <w:tblGrid>
        <w:gridCol w:w="2450"/>
        <w:gridCol w:w="90"/>
        <w:gridCol w:w="262"/>
        <w:gridCol w:w="912"/>
        <w:gridCol w:w="90"/>
        <w:gridCol w:w="90"/>
        <w:gridCol w:w="256"/>
        <w:gridCol w:w="888"/>
        <w:gridCol w:w="90"/>
        <w:gridCol w:w="90"/>
        <w:gridCol w:w="276"/>
        <w:gridCol w:w="959"/>
        <w:gridCol w:w="90"/>
        <w:gridCol w:w="90"/>
        <w:gridCol w:w="276"/>
        <w:gridCol w:w="959"/>
        <w:gridCol w:w="135"/>
      </w:tblGrid>
      <w:tr>
        <w:trPr/>
        <w:tc>
          <w:tcPr>
            <w:tcW w:w="24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30-89 Days</w:t>
            </w:r>
          </w:p>
          <w:p>
            <w:pPr>
              <w:pStyle w:val="TableContents"/>
              <w:bidi w:val="0"/>
              <w:spacing w:before="0" w:after="0"/>
              <w:jc w:val="center"/>
              <w:rPr>
                <w:b/>
                <w:color w:val="000000"/>
              </w:rPr>
            </w:pPr>
            <w:r>
              <w:rPr>
                <w:b/>
                <w:color w:val="000000"/>
              </w:rPr>
              <w:t>Past Due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90 Days or</w:t>
            </w:r>
          </w:p>
          <w:p>
            <w:pPr>
              <w:pStyle w:val="TableContents"/>
              <w:bidi w:val="0"/>
              <w:spacing w:before="0" w:after="0"/>
              <w:jc w:val="center"/>
              <w:rPr>
                <w:b/>
                <w:color w:val="000000"/>
              </w:rPr>
            </w:pPr>
            <w:r>
              <w:rPr>
                <w:b/>
                <w:color w:val="000000"/>
              </w:rPr>
              <w:t>More Past</w:t>
            </w:r>
          </w:p>
          <w:p>
            <w:pPr>
              <w:pStyle w:val="TableContents"/>
              <w:bidi w:val="0"/>
              <w:spacing w:before="0" w:after="0"/>
              <w:jc w:val="center"/>
              <w:rPr>
                <w:b/>
                <w:color w:val="000000"/>
              </w:rPr>
            </w:pPr>
            <w:r>
              <w:rPr>
                <w:b/>
                <w:color w:val="000000"/>
              </w:rPr>
              <w:t>Due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Nonaccrual</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Nonaccrual</w:t>
            </w:r>
          </w:p>
          <w:p>
            <w:pPr>
              <w:pStyle w:val="TableContents"/>
              <w:bidi w:val="0"/>
              <w:spacing w:before="0" w:after="0"/>
              <w:jc w:val="center"/>
              <w:rPr>
                <w:b/>
                <w:color w:val="000000"/>
              </w:rPr>
            </w:pPr>
            <w:r>
              <w:rPr>
                <w:b/>
                <w:color w:val="000000"/>
              </w:rPr>
              <w:t xml:space="preserve">with no </w:t>
            </w:r>
          </w:p>
          <w:p>
            <w:pPr>
              <w:pStyle w:val="TableContents"/>
              <w:bidi w:val="0"/>
              <w:spacing w:before="0" w:after="0"/>
              <w:jc w:val="center"/>
              <w:rPr>
                <w:b/>
                <w:color w:val="000000"/>
              </w:rPr>
            </w:pPr>
            <w:r>
              <w:rPr>
                <w:b/>
                <w:color w:val="000000"/>
              </w:rPr>
              <w:t>ACL</w:t>
            </w:r>
          </w:p>
        </w:tc>
        <w:tc>
          <w:tcPr>
            <w:tcW w:w="135" w:type="dxa"/>
            <w:tcBorders/>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44" w:right="0" w:hanging="144"/>
              <w:jc w:val="left"/>
              <w:rPr>
                <w:color w:val="000000"/>
                <w:u w:val="single"/>
              </w:rPr>
            </w:pPr>
            <w:r>
              <w:rPr>
                <w:color w:val="000000"/>
                <w:u w:val="single"/>
              </w:rPr>
              <w:t>March 31, 2026</w:t>
            </w:r>
          </w:p>
        </w:tc>
        <w:tc>
          <w:tcPr>
            <w:tcW w:w="90" w:type="dxa"/>
            <w:tcBorders/>
            <w:vAlign w:val="bottom"/>
          </w:tcPr>
          <w:p>
            <w:pPr>
              <w:pStyle w:val="TableContents"/>
              <w:bidi w:val="0"/>
              <w:spacing w:before="0" w:after="283"/>
              <w:jc w:val="left"/>
              <w:rPr/>
            </w:pPr>
            <w:r>
              <w:rPr/>
              <w:t> </w:t>
            </w:r>
          </w:p>
        </w:tc>
        <w:tc>
          <w:tcPr>
            <w:tcW w:w="117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5"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144" w:right="0" w:hanging="144"/>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0"/>
              <w:jc w:val="left"/>
              <w:rPr>
                <w:color w:val="000000"/>
              </w:rPr>
            </w:pPr>
            <w:r>
              <w:rPr>
                <w:color w:val="000000"/>
              </w:rPr>
              <w:t>$</w:t>
            </w:r>
          </w:p>
        </w:tc>
        <w:tc>
          <w:tcPr>
            <w:tcW w:w="912" w:type="dxa"/>
            <w:tcBorders/>
            <w:shd w:fill="CCEEFF" w:val="clear"/>
            <w:vAlign w:val="bottom"/>
          </w:tcPr>
          <w:p>
            <w:pPr>
              <w:pStyle w:val="TableContents"/>
              <w:bidi w:val="0"/>
              <w:spacing w:before="0" w:after="0"/>
              <w:jc w:val="right"/>
              <w:rPr>
                <w:color w:val="000000"/>
              </w:rPr>
            </w:pPr>
            <w:r>
              <w:rPr>
                <w:color w:val="000000"/>
              </w:rPr>
              <w:t>834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0"/>
              <w:jc w:val="left"/>
              <w:rPr>
                <w:color w:val="000000"/>
              </w:rPr>
            </w:pPr>
            <w:r>
              <w:rPr>
                <w:color w:val="000000"/>
              </w:rPr>
              <w:t>$</w:t>
            </w:r>
          </w:p>
        </w:tc>
        <w:tc>
          <w:tcPr>
            <w:tcW w:w="888" w:type="dxa"/>
            <w:tcBorders/>
            <w:shd w:fill="CCEEFF" w:val="clear"/>
            <w:vAlign w:val="bottom"/>
          </w:tcPr>
          <w:p>
            <w:pPr>
              <w:pStyle w:val="TableContents"/>
              <w:bidi w:val="0"/>
              <w:spacing w:before="0" w:after="0"/>
              <w:jc w:val="right"/>
              <w:rPr>
                <w:color w:val="000000"/>
              </w:rPr>
            </w:pPr>
            <w:r>
              <w:rPr>
                <w:color w:val="000000"/>
              </w:rPr>
              <w:t>178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0"/>
              <w:jc w:val="left"/>
              <w:rPr>
                <w:color w:val="000000"/>
              </w:rPr>
            </w:pPr>
            <w:r>
              <w:rPr>
                <w:color w:val="000000"/>
              </w:rPr>
              <w:t>$</w:t>
            </w:r>
          </w:p>
        </w:tc>
        <w:tc>
          <w:tcPr>
            <w:tcW w:w="959" w:type="dxa"/>
            <w:tcBorders/>
            <w:shd w:fill="CCEEFF" w:val="clear"/>
            <w:vAlign w:val="bottom"/>
          </w:tcPr>
          <w:p>
            <w:pPr>
              <w:pStyle w:val="TableContents"/>
              <w:bidi w:val="0"/>
              <w:spacing w:before="0" w:after="0"/>
              <w:jc w:val="right"/>
              <w:rPr>
                <w:color w:val="000000"/>
              </w:rPr>
            </w:pPr>
            <w:r>
              <w:rPr>
                <w:color w:val="000000"/>
              </w:rPr>
              <w:t>995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0"/>
              <w:jc w:val="left"/>
              <w:rPr>
                <w:color w:val="000000"/>
              </w:rPr>
            </w:pPr>
            <w:r>
              <w:rPr>
                <w:color w:val="000000"/>
              </w:rPr>
              <w:t>$</w:t>
            </w:r>
          </w:p>
        </w:tc>
        <w:tc>
          <w:tcPr>
            <w:tcW w:w="959" w:type="dxa"/>
            <w:tcBorders/>
            <w:shd w:fill="CCEEFF" w:val="clear"/>
            <w:vAlign w:val="bottom"/>
          </w:tcPr>
          <w:p>
            <w:pPr>
              <w:pStyle w:val="TableContents"/>
              <w:bidi w:val="0"/>
              <w:spacing w:before="0" w:after="0"/>
              <w:jc w:val="right"/>
              <w:rPr>
                <w:color w:val="000000"/>
              </w:rPr>
            </w:pPr>
            <w:r>
              <w:rPr>
                <w:color w:val="000000"/>
              </w:rPr>
              <w:t>54</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44" w:right="0" w:hanging="144"/>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0"/>
              <w:jc w:val="right"/>
              <w:rPr>
                <w:color w:val="000000"/>
              </w:rPr>
            </w:pPr>
            <w:r>
              <w:rPr>
                <w:color w:val="000000"/>
              </w:rPr>
              <w:t>1,102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0"/>
              <w:jc w:val="right"/>
              <w:rPr>
                <w:color w:val="000000"/>
              </w:rPr>
            </w:pPr>
            <w:r>
              <w:rPr>
                <w:color w:val="000000"/>
              </w:rPr>
              <w:t>696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144" w:right="0" w:hanging="144"/>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0"/>
              <w:jc w:val="right"/>
              <w:rPr>
                <w:color w:val="000000"/>
              </w:rPr>
            </w:pPr>
            <w:r>
              <w:rPr>
                <w:color w:val="000000"/>
              </w:rPr>
              <w:t>1,705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color w:val="000000"/>
              </w:rPr>
            </w:pPr>
            <w:r>
              <w:rPr>
                <w:color w:val="000000"/>
              </w:rPr>
              <w:t>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0"/>
              <w:jc w:val="right"/>
              <w:rPr>
                <w:color w:val="000000"/>
              </w:rPr>
            </w:pPr>
            <w:r>
              <w:rPr>
                <w:color w:val="000000"/>
              </w:rPr>
              <w:t>533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0"/>
              <w:jc w:val="right"/>
              <w:rPr>
                <w:color w:val="000000"/>
              </w:rPr>
            </w:pPr>
            <w:r>
              <w:rPr>
                <w:color w:val="000000"/>
              </w:rPr>
              <w:t>403</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44" w:right="0" w:hanging="144"/>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180" w:right="0" w:hanging="0"/>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0"/>
              <w:jc w:val="right"/>
              <w:rPr>
                <w:color w:val="000000"/>
              </w:rPr>
            </w:pPr>
            <w:r>
              <w:rPr>
                <w:color w:val="000000"/>
              </w:rPr>
              <w:t>2,260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color w:val="000000"/>
              </w:rPr>
            </w:pPr>
            <w:r>
              <w:rPr>
                <w:color w:val="000000"/>
              </w:rPr>
              <w:t>1,061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0"/>
              <w:jc w:val="right"/>
              <w:rPr>
                <w:color w:val="000000"/>
              </w:rPr>
            </w:pPr>
            <w:r>
              <w:rPr>
                <w:color w:val="000000"/>
              </w:rPr>
              <w:t>835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288" w:right="0" w:hanging="144"/>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0"/>
              <w:jc w:val="right"/>
              <w:rPr>
                <w:color w:val="000000"/>
              </w:rPr>
            </w:pPr>
            <w:r>
              <w:rPr>
                <w:color w:val="000000"/>
              </w:rPr>
              <w:t>379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color w:val="000000"/>
              </w:rPr>
            </w:pPr>
            <w:r>
              <w:rPr>
                <w:color w:val="000000"/>
              </w:rPr>
              <w:t>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288" w:right="0" w:hanging="144"/>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0"/>
              <w:jc w:val="right"/>
              <w:rPr>
                <w:color w:val="000000"/>
              </w:rPr>
            </w:pPr>
            <w:r>
              <w:rPr>
                <w:color w:val="000000"/>
              </w:rPr>
              <w:t>692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color w:val="000000"/>
              </w:rPr>
            </w:pPr>
            <w:r>
              <w:rPr>
                <w:color w:val="000000"/>
              </w:rPr>
              <w:t>116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0"/>
              <w:jc w:val="right"/>
              <w:rPr>
                <w:color w:val="000000"/>
              </w:rPr>
            </w:pPr>
            <w:r>
              <w:rPr>
                <w:color w:val="000000"/>
              </w:rPr>
              <w:t>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44" w:right="0" w:hanging="144"/>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262" w:type="dxa"/>
            <w:tcBorders>
              <w:bottom w:val="single" w:sz="12" w:space="0" w:color="000000"/>
            </w:tcBorders>
            <w:tcMar>
              <w:bottom w:w="28" w:type="dxa"/>
            </w:tcMar>
            <w:vAlign w:val="bottom"/>
          </w:tcPr>
          <w:p>
            <w:pPr>
              <w:pStyle w:val="TableContents"/>
              <w:bidi w:val="0"/>
              <w:spacing w:before="0" w:after="283"/>
              <w:jc w:val="left"/>
              <w:rPr/>
            </w:pPr>
            <w:r>
              <w:rPr/>
              <w:t> </w:t>
            </w:r>
          </w:p>
        </w:tc>
        <w:tc>
          <w:tcPr>
            <w:tcW w:w="91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6"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 w:type="dxa"/>
            <w:tcBorders>
              <w:bottom w:val="single" w:sz="12" w:space="0" w:color="000000"/>
            </w:tcBorders>
            <w:tcMar>
              <w:bottom w:w="28" w:type="dxa"/>
            </w:tcMar>
            <w:vAlign w:val="bottom"/>
          </w:tcPr>
          <w:p>
            <w:pPr>
              <w:pStyle w:val="TableContents"/>
              <w:bidi w:val="0"/>
              <w:spacing w:before="0" w:after="283"/>
              <w:jc w:val="left"/>
              <w:rPr/>
            </w:pPr>
            <w:r>
              <w:rPr/>
              <w:t> </w:t>
            </w:r>
          </w:p>
        </w:tc>
        <w:tc>
          <w:tcPr>
            <w:tcW w:w="95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607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 w:type="dxa"/>
            <w:tcBorders>
              <w:bottom w:val="single" w:sz="12" w:space="0" w:color="000000"/>
            </w:tcBorders>
            <w:tcMar>
              <w:bottom w:w="28" w:type="dxa"/>
            </w:tcMar>
            <w:vAlign w:val="bottom"/>
          </w:tcPr>
          <w:p>
            <w:pPr>
              <w:pStyle w:val="TableContents"/>
              <w:bidi w:val="0"/>
              <w:spacing w:before="0" w:after="283"/>
              <w:jc w:val="left"/>
              <w:rPr/>
            </w:pPr>
            <w:r>
              <w:rPr/>
              <w:t> </w:t>
            </w:r>
          </w:p>
        </w:tc>
        <w:tc>
          <w:tcPr>
            <w:tcW w:w="95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607</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1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7,077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8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1,413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5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3,680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5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1,064</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57" w:name="zd5f2d4a096af4f2fab0c4e9e9df0e822"/>
      <w:bookmarkStart w:id="58" w:name="zd5f2d4a096af4f2fab0c4e9e9df0e822"/>
      <w:bookmarkEnd w:id="58"/>
    </w:p>
    <w:tbl>
      <w:tblPr>
        <w:tblW w:w="6075" w:type="dxa"/>
        <w:jc w:val="center"/>
        <w:tblInd w:w="0" w:type="dxa"/>
        <w:tblLayout w:type="fixed"/>
        <w:tblCellMar>
          <w:top w:w="0" w:type="dxa"/>
          <w:left w:w="0" w:type="dxa"/>
          <w:bottom w:w="0" w:type="dxa"/>
          <w:right w:w="0" w:type="dxa"/>
        </w:tblCellMar>
      </w:tblPr>
      <w:tblGrid>
        <w:gridCol w:w="2450"/>
        <w:gridCol w:w="90"/>
        <w:gridCol w:w="170"/>
        <w:gridCol w:w="590"/>
        <w:gridCol w:w="90"/>
        <w:gridCol w:w="90"/>
        <w:gridCol w:w="170"/>
        <w:gridCol w:w="590"/>
        <w:gridCol w:w="90"/>
        <w:gridCol w:w="90"/>
        <w:gridCol w:w="170"/>
        <w:gridCol w:w="590"/>
        <w:gridCol w:w="90"/>
        <w:gridCol w:w="90"/>
        <w:gridCol w:w="170"/>
        <w:gridCol w:w="410"/>
        <w:gridCol w:w="135"/>
      </w:tblGrid>
      <w:tr>
        <w:trPr/>
        <w:tc>
          <w:tcPr>
            <w:tcW w:w="2450" w:type="dxa"/>
            <w:tcBorders/>
            <w:vAlign w:val="bottom"/>
          </w:tcPr>
          <w:p>
            <w:pPr>
              <w:pStyle w:val="TableContents"/>
              <w:bidi w:val="0"/>
              <w:spacing w:before="0" w:after="0"/>
              <w:ind w:left="144" w:right="0" w:hanging="144"/>
              <w:jc w:val="left"/>
              <w:rPr>
                <w:color w:val="000000"/>
                <w:u w:val="single"/>
              </w:rPr>
            </w:pPr>
            <w:r>
              <w:rPr>
                <w:color w:val="000000"/>
                <w:u w:val="single"/>
              </w:rPr>
              <w:t>December 31, 2025</w:t>
            </w:r>
          </w:p>
        </w:tc>
        <w:tc>
          <w:tcPr>
            <w:tcW w:w="90" w:type="dxa"/>
            <w:tcBorders/>
            <w:vAlign w:val="bottom"/>
          </w:tcPr>
          <w:p>
            <w:pPr>
              <w:pStyle w:val="TableContents"/>
              <w:bidi w:val="0"/>
              <w:spacing w:before="0" w:after="283"/>
              <w:jc w:val="left"/>
              <w:rPr/>
            </w:pPr>
            <w:r>
              <w:rPr/>
              <w:t> </w:t>
            </w:r>
          </w:p>
        </w:tc>
        <w:tc>
          <w:tcPr>
            <w:tcW w:w="7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8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144" w:right="0" w:hanging="144"/>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2,241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206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1,402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410" w:type="dxa"/>
            <w:tcBorders/>
            <w:shd w:fill="CCEEFF" w:val="clear"/>
            <w:vAlign w:val="bottom"/>
          </w:tcPr>
          <w:p>
            <w:pPr>
              <w:pStyle w:val="TableContents"/>
              <w:bidi w:val="0"/>
              <w:spacing w:before="0" w:after="0"/>
              <w:jc w:val="right"/>
              <w:rPr>
                <w:color w:val="000000"/>
              </w:rPr>
            </w:pPr>
            <w:r>
              <w:rPr>
                <w:color w:val="000000"/>
              </w:rPr>
              <w:t>54</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44" w:right="0" w:hanging="144"/>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264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50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699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right"/>
              <w:rPr>
                <w:color w:val="000000"/>
              </w:rPr>
            </w:pPr>
            <w:r>
              <w:rPr>
                <w:color w:val="000000"/>
              </w:rPr>
              <w:t>544</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144" w:right="0" w:hanging="144"/>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1,173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31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4,108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44" w:right="0" w:hanging="144"/>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288" w:right="0" w:hanging="144"/>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1,221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1,750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845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288" w:right="0" w:hanging="144"/>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395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288" w:right="0" w:hanging="144"/>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765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80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44" w:right="0" w:hanging="144"/>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578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4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6,514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2,735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7,070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4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598</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Credit Quality Indicators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grades its loans on a thirteen-point grading scale. These grades fit in one of the following categories: (i) pass, (ii) special mention, (iii) substandard, (iv) doubtful, or (v) loss. Loans categorized as loss are charged-off immediately. The grading of loans reflects a judgment by the Company about the risks of default associated with the loan. The Company reviews the grades on loans as part of the Company’s on-going monitoring of the credit quality of the loan portfolio. These risk ratings are assigned based on relevant information about the ability of the borrowers to service their debt such as: current financial information, historical payment experience, credit documentation, public information, and current economic trends, among other factors.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Pass loans have financial factors or nature of collateral that are considered reasonable credit risks in the normal course of lending and encompass several grades that are assigned based on varying levels of risk, ranging from credits that are secured by cash or marketable securities, to watch credits which have all the characteristics of an acceptable credit risk but warrant more than the normal level of monitoring.</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Special mention loans have potential weaknesses that deserve management’s close attention. If left uncorrected, these potential weaknesses may result in deterioration of repayment prospects for the loans at some future date.</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Substandard loans are inadequately protected by the current net worth and paying capacity of the borrower or by the collateral pledged, if any. These loans have a well-defined weakness or weaknesses that jeopardize collection and present the distinct possibility that some loss will be sustained if the deficiencies are not corrected. A protracted workout on these credits is a distinct possibility. Prompt corrective action is therefore required to strengthen the Company’s position, and/or to reduce exposure and to assure that adequate remedial measures are taken by the borrower. Credit exposure becomes more likely in such credits and a serious evaluation of the secondary support to the credit is performed. Substandard loans can be accruing or can be nonaccrual depending on the circumstances of the individual loans.</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Doubtful loans have all the weaknesses inherent in substandard loans with the added characteristics that the weaknesses make collection or liquidation in full on the basis of currently existing facts, conditions, and values highly questionable and improbable. All doubtful loans are on nonaccrual.</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connection with the review of the Company’s loan portfolio, management considers risk elements attributable to particular loan type or categories in assessing the quality of individual loans. The list of loans to be analyzed for individual evaluation consists of non-accrual loans over $250 thousand. Interest income recognized using a cash-basis method on non-accrual loans for each of the three months ended March 31, 2026 and 2025 was not significant. In addition, the Company closely monitors substandard accruing loans over $1 million, and past due accruing loans over $250 thousand for possible individual evaluation. All other loans will be evaluated collectively in designated pools unless a loss exposure has been identified. Additional funds committed to be advanced on individually analyzed loans are not significant.</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reflect the amortized cost basis in loans held for investment by credit quality indicator and origination year at the dates indicated, and related year-to-date gross charge-offs. Loans acquired are shown in the table by origination year. The Company had an immaterial amount of revolving loans converted to term loans at March 31, 2026 and December 31, 2025.</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59" w:name="z9ec011f1c9cd44e68ac2af15bab7dabe"/>
      <w:bookmarkStart w:id="60" w:name="z9ec011f1c9cd44e68ac2af15bab7dabe"/>
      <w:bookmarkEnd w:id="60"/>
    </w:p>
    <w:tbl>
      <w:tblPr>
        <w:tblW w:w="11465" w:type="dxa"/>
        <w:jc w:val="center"/>
        <w:tblInd w:w="0" w:type="dxa"/>
        <w:tblLayout w:type="fixed"/>
        <w:tblCellMar>
          <w:top w:w="0" w:type="dxa"/>
          <w:left w:w="0" w:type="dxa"/>
          <w:bottom w:w="0" w:type="dxa"/>
          <w:right w:w="0" w:type="dxa"/>
        </w:tblCellMar>
      </w:tblPr>
      <w:tblGrid>
        <w:gridCol w:w="1850"/>
        <w:gridCol w:w="90"/>
        <w:gridCol w:w="170"/>
        <w:gridCol w:w="710"/>
        <w:gridCol w:w="90"/>
        <w:gridCol w:w="90"/>
        <w:gridCol w:w="170"/>
        <w:gridCol w:w="830"/>
        <w:gridCol w:w="90"/>
        <w:gridCol w:w="90"/>
        <w:gridCol w:w="170"/>
        <w:gridCol w:w="830"/>
        <w:gridCol w:w="90"/>
        <w:gridCol w:w="90"/>
        <w:gridCol w:w="170"/>
        <w:gridCol w:w="830"/>
        <w:gridCol w:w="90"/>
        <w:gridCol w:w="90"/>
        <w:gridCol w:w="170"/>
        <w:gridCol w:w="830"/>
        <w:gridCol w:w="90"/>
        <w:gridCol w:w="90"/>
        <w:gridCol w:w="170"/>
        <w:gridCol w:w="830"/>
        <w:gridCol w:w="90"/>
        <w:gridCol w:w="90"/>
        <w:gridCol w:w="181"/>
        <w:gridCol w:w="889"/>
        <w:gridCol w:w="90"/>
        <w:gridCol w:w="90"/>
        <w:gridCol w:w="170"/>
        <w:gridCol w:w="1010"/>
        <w:gridCol w:w="135"/>
      </w:tblGrid>
      <w:tr>
        <w:trPr/>
        <w:tc>
          <w:tcPr>
            <w:tcW w:w="18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80" w:type="dxa"/>
            <w:gridSpan w:val="6"/>
            <w:tcBorders/>
            <w:vAlign w:val="bottom"/>
          </w:tcPr>
          <w:p>
            <w:pPr>
              <w:pStyle w:val="TableContents"/>
              <w:bidi w:val="0"/>
              <w:spacing w:before="0" w:after="0"/>
              <w:jc w:val="center"/>
              <w:rPr>
                <w:b/>
              </w:rPr>
            </w:pPr>
            <w:r>
              <w:rPr>
                <w:b/>
              </w:rPr>
              <w:t>Term Loans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540" w:type="dxa"/>
            <w:gridSpan w:val="14"/>
            <w:tcBorders/>
            <w:vAlign w:val="bottom"/>
          </w:tcPr>
          <w:p>
            <w:pPr>
              <w:pStyle w:val="TableContents"/>
              <w:bidi w:val="0"/>
              <w:spacing w:before="0" w:after="0"/>
              <w:jc w:val="center"/>
              <w:rPr>
                <w:b/>
              </w:rPr>
            </w:pPr>
            <w:r>
              <w:rPr>
                <w:b/>
              </w:rPr>
              <w:t>Amortized Cost Basis by Origination Year</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jc w:val="left"/>
              <w:rPr/>
            </w:pPr>
            <w:r>
              <w:rPr/>
              <w:t>(Dollars in thousands)</w:t>
            </w:r>
          </w:p>
        </w:tc>
        <w:tc>
          <w:tcPr>
            <w:tcW w:w="90" w:type="dxa"/>
            <w:tcBorders/>
            <w:vAlign w:val="bottom"/>
          </w:tcPr>
          <w:p>
            <w:pPr>
              <w:pStyle w:val="TableContents"/>
              <w:bidi w:val="0"/>
              <w:spacing w:before="0" w:after="283"/>
              <w:jc w:val="left"/>
              <w:rPr/>
            </w:pPr>
            <w:r>
              <w:rPr/>
              <w:t> </w:t>
            </w:r>
          </w:p>
        </w:tc>
        <w:tc>
          <w:tcPr>
            <w:tcW w:w="9390" w:type="dxa"/>
            <w:gridSpan w:val="30"/>
            <w:tcBorders>
              <w:bottom w:val="single" w:sz="12" w:space="0" w:color="000000"/>
            </w:tcBorders>
            <w:tcMar>
              <w:bottom w:w="28" w:type="dxa"/>
            </w:tcMar>
            <w:vAlign w:val="bottom"/>
          </w:tcPr>
          <w:p>
            <w:pPr>
              <w:pStyle w:val="TableContents"/>
              <w:bidi w:val="0"/>
              <w:spacing w:before="0" w:after="0"/>
              <w:jc w:val="center"/>
              <w:rPr>
                <w:b/>
              </w:rPr>
            </w:pPr>
            <w:r>
              <w:rPr>
                <w:b/>
              </w:rPr>
              <w:t>March 31, 2026</w:t>
            </w:r>
          </w:p>
        </w:tc>
        <w:tc>
          <w:tcPr>
            <w:tcW w:w="135" w:type="dxa"/>
            <w:tcBorders/>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Prior</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bottom"/>
          </w:tcPr>
          <w:p>
            <w:pPr>
              <w:pStyle w:val="TableContents"/>
              <w:bidi w:val="0"/>
              <w:spacing w:before="0" w:after="0"/>
              <w:jc w:val="center"/>
              <w:rPr>
                <w:b/>
              </w:rPr>
            </w:pPr>
            <w:r>
              <w:rPr>
                <w:b/>
              </w:rPr>
              <w:t>Revolving Loans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w:t>
            </w:r>
          </w:p>
        </w:tc>
        <w:tc>
          <w:tcPr>
            <w:tcW w:w="135" w:type="dxa"/>
            <w:tcBorders/>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jc w:val="left"/>
              <w:rPr>
                <w:b/>
              </w:rPr>
            </w:pPr>
            <w:r>
              <w:rPr>
                <w:b/>
              </w:rPr>
              <w:t>Commercial real estate</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pPr>
            <w:r>
              <w:rPr/>
              <w:t>Pass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50,472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204,540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130,334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158,649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238,482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223,454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pPr>
            <w:r>
              <w:rPr/>
              <w:t>$</w:t>
            </w:r>
          </w:p>
        </w:tc>
        <w:tc>
          <w:tcPr>
            <w:tcW w:w="889" w:type="dxa"/>
            <w:tcBorders/>
            <w:shd w:fill="CCEEFF" w:val="clear"/>
            <w:vAlign w:val="bottom"/>
          </w:tcPr>
          <w:p>
            <w:pPr>
              <w:pStyle w:val="TableContents"/>
              <w:bidi w:val="0"/>
              <w:spacing w:before="0" w:after="0"/>
              <w:jc w:val="right"/>
              <w:rPr/>
            </w:pPr>
            <w:r>
              <w:rPr/>
              <w:t>11,831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010" w:type="dxa"/>
            <w:tcBorders/>
            <w:shd w:fill="CCEEFF" w:val="clear"/>
            <w:vAlign w:val="bottom"/>
          </w:tcPr>
          <w:p>
            <w:pPr>
              <w:pStyle w:val="TableContents"/>
              <w:bidi w:val="0"/>
              <w:spacing w:before="0" w:after="0"/>
              <w:jc w:val="right"/>
              <w:rPr/>
            </w:pPr>
            <w:r>
              <w:rPr/>
              <w:t>1,017,762</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20" w:right="0" w:hanging="0"/>
              <w:jc w:val="left"/>
              <w:rPr/>
            </w:pPr>
            <w:r>
              <w:rPr/>
              <w:t>Special mention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9,792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3,928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528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pPr>
            <w:r>
              <w:rPr/>
              <w:t>483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14,731</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pPr>
            <w:r>
              <w:rPr/>
              <w:t>Substandard</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890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349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4,254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1,900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13,065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20,458</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140" w:right="0" w:hanging="0"/>
              <w:jc w:val="left"/>
              <w:rPr/>
            </w:pPr>
            <w:r>
              <w:rPr/>
              <w:t>Total commercial real estate loans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710" w:type="dxa"/>
            <w:tcBorders>
              <w:bottom w:val="double" w:sz="8" w:space="0" w:color="000000"/>
            </w:tcBorders>
            <w:tcMar>
              <w:bottom w:w="28" w:type="dxa"/>
            </w:tcMar>
            <w:vAlign w:val="bottom"/>
          </w:tcPr>
          <w:p>
            <w:pPr>
              <w:pStyle w:val="TableContents"/>
              <w:bidi w:val="0"/>
              <w:spacing w:before="0" w:after="0"/>
              <w:jc w:val="right"/>
              <w:rPr/>
            </w:pPr>
            <w:r>
              <w:rPr/>
              <w:t>50,472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205,430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130,683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172,695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244,310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237,047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pPr>
            <w:r>
              <w:rPr/>
              <w:t>$</w:t>
            </w:r>
          </w:p>
        </w:tc>
        <w:tc>
          <w:tcPr>
            <w:tcW w:w="889" w:type="dxa"/>
            <w:tcBorders>
              <w:bottom w:val="double" w:sz="8" w:space="0" w:color="000000"/>
            </w:tcBorders>
            <w:tcMar>
              <w:bottom w:w="28" w:type="dxa"/>
            </w:tcMar>
            <w:vAlign w:val="bottom"/>
          </w:tcPr>
          <w:p>
            <w:pPr>
              <w:pStyle w:val="TableContents"/>
              <w:bidi w:val="0"/>
              <w:spacing w:before="0" w:after="0"/>
              <w:jc w:val="right"/>
              <w:rPr/>
            </w:pPr>
            <w:r>
              <w:rPr/>
              <w:t>12,314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1,052,951</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pPr>
            <w:r>
              <w:rPr/>
              <w:t>Year-to-date gross charge-offs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b/>
              </w:rPr>
            </w:pPr>
            <w:r>
              <w:rPr>
                <w:b/>
              </w:rPr>
              <w:t>Commercial - specialized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20" w:right="0" w:hanging="0"/>
              <w:jc w:val="left"/>
              <w:rPr/>
            </w:pPr>
            <w:r>
              <w:rPr/>
              <w:t>Pass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710" w:type="dxa"/>
            <w:tcBorders/>
            <w:vAlign w:val="bottom"/>
          </w:tcPr>
          <w:p>
            <w:pPr>
              <w:pStyle w:val="TableContents"/>
              <w:bidi w:val="0"/>
              <w:spacing w:before="0" w:after="0"/>
              <w:jc w:val="right"/>
              <w:rPr/>
            </w:pPr>
            <w:r>
              <w:rPr/>
              <w:t>26,221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78,513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38,613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35,601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22,506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55,214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0"/>
              <w:jc w:val="left"/>
              <w:rPr/>
            </w:pPr>
            <w:r>
              <w:rPr/>
              <w:t>$</w:t>
            </w:r>
          </w:p>
        </w:tc>
        <w:tc>
          <w:tcPr>
            <w:tcW w:w="889" w:type="dxa"/>
            <w:tcBorders/>
            <w:vAlign w:val="bottom"/>
          </w:tcPr>
          <w:p>
            <w:pPr>
              <w:pStyle w:val="TableContents"/>
              <w:bidi w:val="0"/>
              <w:spacing w:before="0" w:after="0"/>
              <w:jc w:val="right"/>
              <w:rPr/>
            </w:pPr>
            <w:r>
              <w:rPr/>
              <w:t>115,718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1010" w:type="dxa"/>
            <w:tcBorders/>
            <w:vAlign w:val="bottom"/>
          </w:tcPr>
          <w:p>
            <w:pPr>
              <w:pStyle w:val="TableContents"/>
              <w:bidi w:val="0"/>
              <w:spacing w:before="0" w:after="0"/>
              <w:jc w:val="right"/>
              <w:rPr/>
            </w:pPr>
            <w:r>
              <w:rPr/>
              <w:t>372,386</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pPr>
            <w:r>
              <w:rPr/>
              <w:t>Special mention</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2,443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163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2,327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1,680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pPr>
            <w:r>
              <w:rPr/>
              <w:t>2,002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8,615</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20" w:right="0" w:hanging="0"/>
              <w:jc w:val="left"/>
              <w:rPr/>
            </w:pPr>
            <w:r>
              <w:rPr/>
              <w:t>Substandard</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822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486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1,782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770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3,860</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pPr>
            <w:r>
              <w:rPr/>
              <w:t>Total commercial - specialized loans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pPr>
            <w:r>
              <w:rPr/>
              <w:t>28,664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78,676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41,762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36,087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24,288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57,664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89" w:type="dxa"/>
            <w:tcBorders>
              <w:bottom w:val="double" w:sz="8" w:space="0" w:color="000000"/>
            </w:tcBorders>
            <w:shd w:fill="CCEEFF" w:val="clear"/>
            <w:tcMar>
              <w:bottom w:w="28" w:type="dxa"/>
            </w:tcMar>
            <w:vAlign w:val="bottom"/>
          </w:tcPr>
          <w:p>
            <w:pPr>
              <w:pStyle w:val="TableContents"/>
              <w:bidi w:val="0"/>
              <w:spacing w:before="0" w:after="0"/>
              <w:jc w:val="right"/>
              <w:rPr/>
            </w:pPr>
            <w:r>
              <w:rPr/>
              <w:t>117,720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pPr>
            <w:r>
              <w:rPr/>
              <w:t>384,861</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20" w:right="0" w:hanging="0"/>
              <w:jc w:val="left"/>
              <w:rPr/>
            </w:pPr>
            <w:r>
              <w:rPr/>
              <w:t>Year-to-date gross charge-offs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71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0"/>
              <w:jc w:val="left"/>
              <w:rPr/>
            </w:pPr>
            <w:r>
              <w:rPr/>
              <w:t>$</w:t>
            </w:r>
          </w:p>
        </w:tc>
        <w:tc>
          <w:tcPr>
            <w:tcW w:w="889"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1010" w:type="dxa"/>
            <w:tcBorders>
              <w:bottom w:val="single" w:sz="12" w:space="0" w:color="000000"/>
            </w:tcBorders>
            <w:tcMar>
              <w:bottom w:w="28" w:type="dxa"/>
            </w:tcMar>
            <w:vAlign w:val="bottom"/>
          </w:tcPr>
          <w:p>
            <w:pPr>
              <w:pStyle w:val="TableContents"/>
              <w:bidi w:val="0"/>
              <w:spacing w:before="0" w:after="0"/>
              <w:jc w:val="right"/>
              <w:rPr/>
            </w:pPr>
            <w:r>
              <w:rPr/>
              <w:t>—</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20" w:right="0" w:hanging="0"/>
              <w:jc w:val="left"/>
              <w:rPr>
                <w:b/>
              </w:rPr>
            </w:pPr>
            <w:r>
              <w:rPr>
                <w:b/>
              </w:rPr>
              <w:t>Commercial - general</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pPr>
            <w:r>
              <w:rPr/>
              <w:t>Pass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31,099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179,303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100,892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49,629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78,507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115,625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pPr>
            <w:r>
              <w:rPr/>
              <w:t>$</w:t>
            </w:r>
          </w:p>
        </w:tc>
        <w:tc>
          <w:tcPr>
            <w:tcW w:w="889" w:type="dxa"/>
            <w:tcBorders/>
            <w:shd w:fill="CCEEFF" w:val="clear"/>
            <w:vAlign w:val="bottom"/>
          </w:tcPr>
          <w:p>
            <w:pPr>
              <w:pStyle w:val="TableContents"/>
              <w:bidi w:val="0"/>
              <w:spacing w:before="0" w:after="0"/>
              <w:jc w:val="right"/>
              <w:rPr/>
            </w:pPr>
            <w:r>
              <w:rPr/>
              <w:t>79,603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010" w:type="dxa"/>
            <w:tcBorders/>
            <w:shd w:fill="CCEEFF" w:val="clear"/>
            <w:vAlign w:val="bottom"/>
          </w:tcPr>
          <w:p>
            <w:pPr>
              <w:pStyle w:val="TableContents"/>
              <w:bidi w:val="0"/>
              <w:spacing w:before="0" w:after="0"/>
              <w:jc w:val="right"/>
              <w:rPr/>
            </w:pPr>
            <w:r>
              <w:rPr/>
              <w:t>634,658</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20" w:right="0" w:hanging="0"/>
              <w:jc w:val="left"/>
              <w:rPr/>
            </w:pPr>
            <w:r>
              <w:rPr/>
              <w:t>Special mention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446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10,597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44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1,465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pPr>
            <w:r>
              <w:rPr/>
              <w:t>1,925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14,501</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pPr>
            <w:r>
              <w:rPr/>
              <w:t>Substandard</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126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117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731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1,595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335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2,329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pPr>
            <w:r>
              <w:rPr/>
              <w:t>242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5,475</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20" w:right="0" w:hanging="0"/>
              <w:jc w:val="left"/>
              <w:rPr/>
            </w:pPr>
            <w:r>
              <w:rPr/>
              <w:t>Total commercial - general loans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710" w:type="dxa"/>
            <w:tcBorders>
              <w:bottom w:val="double" w:sz="8" w:space="0" w:color="000000"/>
            </w:tcBorders>
            <w:tcMar>
              <w:bottom w:w="28" w:type="dxa"/>
            </w:tcMar>
            <w:vAlign w:val="bottom"/>
          </w:tcPr>
          <w:p>
            <w:pPr>
              <w:pStyle w:val="TableContents"/>
              <w:bidi w:val="0"/>
              <w:spacing w:before="0" w:after="0"/>
              <w:jc w:val="right"/>
              <w:rPr/>
            </w:pPr>
            <w:r>
              <w:rPr/>
              <w:t>31,225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179,444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102,069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61,821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78,886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119,419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pPr>
            <w:r>
              <w:rPr/>
              <w:t>$</w:t>
            </w:r>
          </w:p>
        </w:tc>
        <w:tc>
          <w:tcPr>
            <w:tcW w:w="889" w:type="dxa"/>
            <w:tcBorders>
              <w:bottom w:val="double" w:sz="8" w:space="0" w:color="000000"/>
            </w:tcBorders>
            <w:tcMar>
              <w:bottom w:w="28" w:type="dxa"/>
            </w:tcMar>
            <w:vAlign w:val="bottom"/>
          </w:tcPr>
          <w:p>
            <w:pPr>
              <w:pStyle w:val="TableContents"/>
              <w:bidi w:val="0"/>
              <w:spacing w:before="0" w:after="0"/>
              <w:jc w:val="right"/>
              <w:rPr/>
            </w:pPr>
            <w:r>
              <w:rPr/>
              <w:t>81,770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654,634</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pPr>
            <w:r>
              <w:rPr/>
              <w:t>Year-to-date gross charge-offs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169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176</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b/>
              </w:rPr>
            </w:pPr>
            <w:r>
              <w:rPr>
                <w:b/>
              </w:rPr>
              <w:t>Consumer 1-4 family residential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pPr>
            <w:r>
              <w:rPr/>
              <w:t>Pass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23,196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92,579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67,377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87,299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125,808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167,857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pPr>
            <w:r>
              <w:rPr/>
              <w:t>$</w:t>
            </w:r>
          </w:p>
        </w:tc>
        <w:tc>
          <w:tcPr>
            <w:tcW w:w="889" w:type="dxa"/>
            <w:tcBorders/>
            <w:shd w:fill="CCEEFF" w:val="clear"/>
            <w:vAlign w:val="bottom"/>
          </w:tcPr>
          <w:p>
            <w:pPr>
              <w:pStyle w:val="TableContents"/>
              <w:bidi w:val="0"/>
              <w:spacing w:before="0" w:after="0"/>
              <w:jc w:val="right"/>
              <w:rPr/>
            </w:pPr>
            <w:r>
              <w:rPr/>
              <w:t>7,184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010" w:type="dxa"/>
            <w:tcBorders/>
            <w:shd w:fill="CCEEFF" w:val="clear"/>
            <w:vAlign w:val="bottom"/>
          </w:tcPr>
          <w:p>
            <w:pPr>
              <w:pStyle w:val="TableContents"/>
              <w:bidi w:val="0"/>
              <w:spacing w:before="0" w:after="0"/>
              <w:jc w:val="right"/>
              <w:rPr/>
            </w:pPr>
            <w:r>
              <w:rPr/>
              <w:t>571,300</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20" w:right="0" w:hanging="0"/>
              <w:jc w:val="left"/>
              <w:rPr/>
            </w:pPr>
            <w:r>
              <w:rPr/>
              <w:t>Special mention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552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210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5,037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5,799</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pPr>
            <w:r>
              <w:rPr/>
              <w:t>Substandard</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214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3,167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2,143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902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5,501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11,927</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20" w:right="0" w:hanging="0"/>
              <w:jc w:val="left"/>
              <w:rPr/>
            </w:pPr>
            <w:r>
              <w:rPr/>
              <w:t>Total consumer 1-4 family residential</w:t>
            </w:r>
          </w:p>
          <w:p>
            <w:pPr>
              <w:pStyle w:val="TableContents"/>
              <w:bidi w:val="0"/>
              <w:spacing w:before="0" w:after="0"/>
              <w:ind w:left="180" w:right="0" w:hanging="0"/>
              <w:jc w:val="left"/>
              <w:rPr/>
            </w:pPr>
            <w:r>
              <w:rPr/>
              <w:t>loans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710" w:type="dxa"/>
            <w:tcBorders>
              <w:bottom w:val="double" w:sz="8" w:space="0" w:color="000000"/>
            </w:tcBorders>
            <w:tcMar>
              <w:bottom w:w="28" w:type="dxa"/>
            </w:tcMar>
            <w:vAlign w:val="bottom"/>
          </w:tcPr>
          <w:p>
            <w:pPr>
              <w:pStyle w:val="TableContents"/>
              <w:bidi w:val="0"/>
              <w:spacing w:before="0" w:after="0"/>
              <w:jc w:val="right"/>
              <w:rPr/>
            </w:pPr>
            <w:r>
              <w:rPr/>
              <w:t>23,196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92,793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70,544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89,994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126,920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178,395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pPr>
            <w:r>
              <w:rPr/>
              <w:t>$</w:t>
            </w:r>
          </w:p>
        </w:tc>
        <w:tc>
          <w:tcPr>
            <w:tcW w:w="889" w:type="dxa"/>
            <w:tcBorders>
              <w:bottom w:val="double" w:sz="8" w:space="0" w:color="000000"/>
            </w:tcBorders>
            <w:tcMar>
              <w:bottom w:w="28" w:type="dxa"/>
            </w:tcMar>
            <w:vAlign w:val="bottom"/>
          </w:tcPr>
          <w:p>
            <w:pPr>
              <w:pStyle w:val="TableContents"/>
              <w:bidi w:val="0"/>
              <w:spacing w:before="0" w:after="0"/>
              <w:jc w:val="right"/>
              <w:rPr/>
            </w:pPr>
            <w:r>
              <w:rPr/>
              <w:t>7,184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589,026</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pPr>
            <w:r>
              <w:rPr/>
              <w:t>Year-to-date gross charge-offs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b/>
              </w:rPr>
            </w:pPr>
            <w:r>
              <w:rPr>
                <w:b/>
              </w:rPr>
              <w:t>Consumer auto loans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20" w:right="0" w:hanging="0"/>
              <w:jc w:val="left"/>
              <w:rPr/>
            </w:pPr>
            <w:r>
              <w:rPr/>
              <w:t>Pass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710" w:type="dxa"/>
            <w:tcBorders/>
            <w:vAlign w:val="bottom"/>
          </w:tcPr>
          <w:p>
            <w:pPr>
              <w:pStyle w:val="TableContents"/>
              <w:bidi w:val="0"/>
              <w:spacing w:before="0" w:after="0"/>
              <w:jc w:val="right"/>
              <w:rPr/>
            </w:pPr>
            <w:r>
              <w:rPr/>
              <w:t>26,273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106,414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43,498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36,645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33,254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9,633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0"/>
              <w:jc w:val="left"/>
              <w:rPr/>
            </w:pPr>
            <w:r>
              <w:rPr/>
              <w:t>$</w:t>
            </w:r>
          </w:p>
        </w:tc>
        <w:tc>
          <w:tcPr>
            <w:tcW w:w="889"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1010" w:type="dxa"/>
            <w:tcBorders/>
            <w:vAlign w:val="bottom"/>
          </w:tcPr>
          <w:p>
            <w:pPr>
              <w:pStyle w:val="TableContents"/>
              <w:bidi w:val="0"/>
              <w:spacing w:before="0" w:after="0"/>
              <w:jc w:val="right"/>
              <w:rPr/>
            </w:pPr>
            <w:r>
              <w:rPr/>
              <w:t>255,717</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pPr>
            <w:r>
              <w:rPr/>
              <w:t>Special mention</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20" w:right="0" w:hanging="0"/>
              <w:jc w:val="left"/>
              <w:rPr/>
            </w:pPr>
            <w:r>
              <w:rPr/>
              <w:t>Substandard</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74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142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80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339</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pPr>
            <w:r>
              <w:rPr/>
              <w:t>Total consumer auto loans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pPr>
            <w:r>
              <w:rPr/>
              <w:t>26,273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106,417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43,538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36,719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33,396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9,713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89"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pPr>
            <w:r>
              <w:rPr/>
              <w:t>256,056</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20" w:right="0" w:hanging="0"/>
              <w:jc w:val="left"/>
              <w:rPr/>
            </w:pPr>
            <w:r>
              <w:rPr/>
              <w:t>Year-to-date gross charge-offs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71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38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10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191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36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0"/>
              <w:jc w:val="left"/>
              <w:rPr/>
            </w:pPr>
            <w:r>
              <w:rPr/>
              <w:t>$</w:t>
            </w:r>
          </w:p>
        </w:tc>
        <w:tc>
          <w:tcPr>
            <w:tcW w:w="889"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1010" w:type="dxa"/>
            <w:tcBorders>
              <w:bottom w:val="single" w:sz="12" w:space="0" w:color="000000"/>
            </w:tcBorders>
            <w:tcMar>
              <w:bottom w:w="28" w:type="dxa"/>
            </w:tcMar>
            <w:vAlign w:val="bottom"/>
          </w:tcPr>
          <w:p>
            <w:pPr>
              <w:pStyle w:val="TableContents"/>
              <w:bidi w:val="0"/>
              <w:spacing w:before="0" w:after="0"/>
              <w:jc w:val="right"/>
              <w:rPr/>
            </w:pPr>
            <w:r>
              <w:rPr/>
              <w:t>281</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20" w:right="0" w:hanging="0"/>
              <w:jc w:val="left"/>
              <w:rPr>
                <w:b/>
              </w:rPr>
            </w:pPr>
            <w:r>
              <w:rPr>
                <w:b/>
              </w:rPr>
              <w:t>Consumer other consumer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pPr>
            <w:r>
              <w:rPr/>
              <w:t>Pass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9,618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23,858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10,793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5,524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5,664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5,474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pPr>
            <w:r>
              <w:rPr/>
              <w:t>$</w:t>
            </w:r>
          </w:p>
        </w:tc>
        <w:tc>
          <w:tcPr>
            <w:tcW w:w="889" w:type="dxa"/>
            <w:tcBorders/>
            <w:shd w:fill="CCEEFF" w:val="clear"/>
            <w:vAlign w:val="bottom"/>
          </w:tcPr>
          <w:p>
            <w:pPr>
              <w:pStyle w:val="TableContents"/>
              <w:bidi w:val="0"/>
              <w:spacing w:before="0" w:after="0"/>
              <w:jc w:val="right"/>
              <w:rPr/>
            </w:pPr>
            <w:r>
              <w:rPr/>
              <w:t>1,539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010" w:type="dxa"/>
            <w:tcBorders/>
            <w:shd w:fill="CCEEFF" w:val="clear"/>
            <w:vAlign w:val="bottom"/>
          </w:tcPr>
          <w:p>
            <w:pPr>
              <w:pStyle w:val="TableContents"/>
              <w:bidi w:val="0"/>
              <w:spacing w:before="0" w:after="0"/>
              <w:jc w:val="right"/>
              <w:rPr/>
            </w:pPr>
            <w:r>
              <w:rPr/>
              <w:t>62,470</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20" w:right="0" w:hanging="0"/>
              <w:jc w:val="left"/>
              <w:rPr/>
            </w:pPr>
            <w:r>
              <w:rPr/>
              <w:t>Special mention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pPr>
            <w:r>
              <w:rPr/>
              <w:t>Substandard</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87</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20" w:right="0" w:hanging="0"/>
              <w:jc w:val="left"/>
              <w:rPr/>
            </w:pPr>
            <w:r>
              <w:rPr/>
              <w:t>Total consumer other consumer</w:t>
            </w:r>
          </w:p>
          <w:p>
            <w:pPr>
              <w:pStyle w:val="TableContents"/>
              <w:bidi w:val="0"/>
              <w:spacing w:before="0" w:after="0"/>
              <w:ind w:left="20" w:right="0" w:firstLine="180"/>
              <w:jc w:val="left"/>
              <w:rPr/>
            </w:pPr>
            <w:r>
              <w:rPr/>
              <w:t>loans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710" w:type="dxa"/>
            <w:tcBorders>
              <w:bottom w:val="double" w:sz="8" w:space="0" w:color="000000"/>
            </w:tcBorders>
            <w:tcMar>
              <w:bottom w:w="28" w:type="dxa"/>
            </w:tcMar>
            <w:vAlign w:val="bottom"/>
          </w:tcPr>
          <w:p>
            <w:pPr>
              <w:pStyle w:val="TableContents"/>
              <w:bidi w:val="0"/>
              <w:spacing w:before="0" w:after="0"/>
              <w:jc w:val="right"/>
              <w:rPr/>
            </w:pPr>
            <w:r>
              <w:rPr/>
              <w:t>9,618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23,881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10,805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5,524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5,677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5,513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pPr>
            <w:r>
              <w:rPr/>
              <w:t>$</w:t>
            </w:r>
          </w:p>
        </w:tc>
        <w:tc>
          <w:tcPr>
            <w:tcW w:w="889" w:type="dxa"/>
            <w:tcBorders>
              <w:bottom w:val="double" w:sz="8" w:space="0" w:color="000000"/>
            </w:tcBorders>
            <w:tcMar>
              <w:bottom w:w="28" w:type="dxa"/>
            </w:tcMar>
            <w:vAlign w:val="bottom"/>
          </w:tcPr>
          <w:p>
            <w:pPr>
              <w:pStyle w:val="TableContents"/>
              <w:bidi w:val="0"/>
              <w:spacing w:before="0" w:after="0"/>
              <w:jc w:val="right"/>
              <w:rPr/>
            </w:pPr>
            <w:r>
              <w:rPr/>
              <w:t>1,539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62,557</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lineRule="auto" w:line="240" w:before="0" w:after="0"/>
              <w:ind w:left="20" w:right="0" w:hanging="0"/>
              <w:jc w:val="left"/>
              <w:rPr/>
            </w:pPr>
            <w:r>
              <w:rPr/>
              <w:t>Year-to-date gross charge-offs (1)</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94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171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54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339</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20" w:right="0" w:hanging="0"/>
              <w:jc w:val="left"/>
              <w:rPr>
                <w:b/>
              </w:rPr>
            </w:pPr>
            <w:r>
              <w:rPr>
                <w:b/>
              </w:rPr>
              <w:t>Construction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20" w:right="0" w:hanging="0"/>
              <w:jc w:val="left"/>
              <w:rPr/>
            </w:pPr>
            <w:r>
              <w:rPr/>
              <w:t>Pass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710" w:type="dxa"/>
            <w:tcBorders/>
            <w:vAlign w:val="bottom"/>
          </w:tcPr>
          <w:p>
            <w:pPr>
              <w:pStyle w:val="TableContents"/>
              <w:bidi w:val="0"/>
              <w:spacing w:before="0" w:after="0"/>
              <w:jc w:val="right"/>
              <w:rPr/>
            </w:pPr>
            <w:r>
              <w:rPr/>
              <w:t>9,005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830" w:type="dxa"/>
            <w:tcBorders/>
            <w:vAlign w:val="bottom"/>
          </w:tcPr>
          <w:p>
            <w:pPr>
              <w:pStyle w:val="TableContents"/>
              <w:bidi w:val="0"/>
              <w:spacing w:before="0" w:after="0"/>
              <w:jc w:val="right"/>
              <w:rPr/>
            </w:pPr>
            <w:r>
              <w:rPr/>
              <w:t>73,960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830" w:type="dxa"/>
            <w:tcBorders/>
            <w:vAlign w:val="bottom"/>
          </w:tcPr>
          <w:p>
            <w:pPr>
              <w:pStyle w:val="TableContents"/>
              <w:bidi w:val="0"/>
              <w:spacing w:before="0" w:after="0"/>
              <w:jc w:val="right"/>
              <w:rPr/>
            </w:pPr>
            <w:r>
              <w:rPr/>
              <w:t>17,902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830" w:type="dxa"/>
            <w:tcBorders/>
            <w:vAlign w:val="bottom"/>
          </w:tcPr>
          <w:p>
            <w:pPr>
              <w:pStyle w:val="TableContents"/>
              <w:bidi w:val="0"/>
              <w:spacing w:before="0" w:after="0"/>
              <w:jc w:val="right"/>
              <w:rPr/>
            </w:pPr>
            <w:r>
              <w:rPr/>
              <w:t>1,130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830" w:type="dxa"/>
            <w:tcBorders/>
            <w:vAlign w:val="bottom"/>
          </w:tcPr>
          <w:p>
            <w:pPr>
              <w:pStyle w:val="TableContents"/>
              <w:bidi w:val="0"/>
              <w:spacing w:before="0" w:after="0"/>
              <w:jc w:val="right"/>
              <w:rPr/>
            </w:pPr>
            <w:r>
              <w:rPr/>
              <w:t>311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830" w:type="dxa"/>
            <w:tcBorders/>
            <w:vAlign w:val="bottom"/>
          </w:tcPr>
          <w:p>
            <w:pPr>
              <w:pStyle w:val="TableContents"/>
              <w:bidi w:val="0"/>
              <w:spacing w:before="0" w:after="283"/>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1010" w:type="dxa"/>
            <w:tcBorders/>
            <w:vAlign w:val="bottom"/>
          </w:tcPr>
          <w:p>
            <w:pPr>
              <w:pStyle w:val="TableContents"/>
              <w:bidi w:val="0"/>
              <w:spacing w:before="0" w:after="0"/>
              <w:jc w:val="right"/>
              <w:rPr/>
            </w:pPr>
            <w:r>
              <w:rPr/>
              <w:t>102,308</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pPr>
            <w:r>
              <w:rPr/>
              <w:t>Special mention</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20" w:right="0" w:hanging="0"/>
              <w:jc w:val="left"/>
              <w:rPr/>
            </w:pPr>
            <w:r>
              <w:rPr/>
              <w:t>Substandard</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283"/>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283"/>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283"/>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1,136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283"/>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283"/>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tcMar>
              <w:bottom w:w="28" w:type="dxa"/>
            </w:tcMar>
            <w:vAlign w:val="bottom"/>
          </w:tcPr>
          <w:p>
            <w:pPr>
              <w:pStyle w:val="TableContents"/>
              <w:bidi w:val="0"/>
              <w:spacing w:before="0" w:after="283"/>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1,136</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pPr>
            <w:r>
              <w:rPr/>
              <w:t>Total construction loans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pPr>
            <w:r>
              <w:rPr/>
              <w:t>9,005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73,960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17,902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2,266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311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283"/>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889" w:type="dxa"/>
            <w:tcBorders>
              <w:bottom w:val="double" w:sz="8" w:space="0" w:color="000000"/>
            </w:tcBorders>
            <w:shd w:fill="CCEEFF" w:val="clear"/>
            <w:tcMar>
              <w:bottom w:w="28" w:type="dxa"/>
            </w:tcMar>
            <w:vAlign w:val="bottom"/>
          </w:tcPr>
          <w:p>
            <w:pPr>
              <w:pStyle w:val="TableContents"/>
              <w:bidi w:val="0"/>
              <w:spacing w:before="0" w:after="283"/>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pPr>
            <w:r>
              <w:rPr/>
              <w:t>103,444</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283"/>
              <w:jc w:val="left"/>
              <w:rPr/>
            </w:pPr>
            <w:r>
              <w:rPr/>
              <w:t xml:space="preserve">Year-to-date gross charge-offs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w:t>
            </w:r>
          </w:p>
        </w:tc>
        <w:tc>
          <w:tcPr>
            <w:tcW w:w="710" w:type="dxa"/>
            <w:tcBorders>
              <w:bottom w:val="single" w:sz="12" w:space="0" w:color="000000"/>
            </w:tcBorders>
            <w:tcMar>
              <w:bottom w:w="28" w:type="dxa"/>
            </w:tcMar>
            <w:vAlign w:val="bottom"/>
          </w:tcPr>
          <w:p>
            <w:pPr>
              <w:pStyle w:val="TableContents"/>
              <w:bidi w:val="0"/>
              <w:spacing w:before="0" w:after="283"/>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w:t>
            </w:r>
          </w:p>
        </w:tc>
        <w:tc>
          <w:tcPr>
            <w:tcW w:w="830" w:type="dxa"/>
            <w:tcBorders>
              <w:bottom w:val="single" w:sz="12" w:space="0" w:color="000000"/>
            </w:tcBorders>
            <w:tcMar>
              <w:bottom w:w="28" w:type="dxa"/>
            </w:tcMar>
            <w:vAlign w:val="bottom"/>
          </w:tcPr>
          <w:p>
            <w:pPr>
              <w:pStyle w:val="TableContents"/>
              <w:bidi w:val="0"/>
              <w:spacing w:before="0" w:after="283"/>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w:t>
            </w:r>
          </w:p>
        </w:tc>
        <w:tc>
          <w:tcPr>
            <w:tcW w:w="830" w:type="dxa"/>
            <w:tcBorders>
              <w:bottom w:val="single" w:sz="12" w:space="0" w:color="000000"/>
            </w:tcBorders>
            <w:tcMar>
              <w:bottom w:w="28" w:type="dxa"/>
            </w:tcMar>
            <w:vAlign w:val="bottom"/>
          </w:tcPr>
          <w:p>
            <w:pPr>
              <w:pStyle w:val="TableContents"/>
              <w:bidi w:val="0"/>
              <w:spacing w:before="0" w:after="283"/>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w:t>
            </w:r>
          </w:p>
        </w:tc>
        <w:tc>
          <w:tcPr>
            <w:tcW w:w="830" w:type="dxa"/>
            <w:tcBorders>
              <w:bottom w:val="single" w:sz="12" w:space="0" w:color="000000"/>
            </w:tcBorders>
            <w:tcMar>
              <w:bottom w:w="28" w:type="dxa"/>
            </w:tcMar>
            <w:vAlign w:val="bottom"/>
          </w:tcPr>
          <w:p>
            <w:pPr>
              <w:pStyle w:val="TableContents"/>
              <w:bidi w:val="0"/>
              <w:spacing w:before="0" w:after="283"/>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w:t>
            </w:r>
          </w:p>
        </w:tc>
        <w:tc>
          <w:tcPr>
            <w:tcW w:w="830" w:type="dxa"/>
            <w:tcBorders>
              <w:bottom w:val="single" w:sz="12" w:space="0" w:color="000000"/>
            </w:tcBorders>
            <w:tcMar>
              <w:bottom w:w="28" w:type="dxa"/>
            </w:tcMar>
            <w:vAlign w:val="bottom"/>
          </w:tcPr>
          <w:p>
            <w:pPr>
              <w:pStyle w:val="TableContents"/>
              <w:bidi w:val="0"/>
              <w:spacing w:before="0" w:after="283"/>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w:t>
            </w:r>
          </w:p>
        </w:tc>
        <w:tc>
          <w:tcPr>
            <w:tcW w:w="830" w:type="dxa"/>
            <w:tcBorders>
              <w:bottom w:val="single" w:sz="12" w:space="0" w:color="000000"/>
            </w:tcBorders>
            <w:tcMar>
              <w:bottom w:w="28" w:type="dxa"/>
            </w:tcMar>
            <w:vAlign w:val="bottom"/>
          </w:tcPr>
          <w:p>
            <w:pPr>
              <w:pStyle w:val="TableContents"/>
              <w:bidi w:val="0"/>
              <w:spacing w:before="0" w:after="283"/>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w:t>
            </w:r>
          </w:p>
        </w:tc>
        <w:tc>
          <w:tcPr>
            <w:tcW w:w="889" w:type="dxa"/>
            <w:tcBorders>
              <w:bottom w:val="single" w:sz="12" w:space="0" w:color="000000"/>
            </w:tcBorders>
            <w:tcMar>
              <w:bottom w:w="28" w:type="dxa"/>
            </w:tcMar>
            <w:vAlign w:val="bottom"/>
          </w:tcPr>
          <w:p>
            <w:pPr>
              <w:pStyle w:val="TableContents"/>
              <w:bidi w:val="0"/>
              <w:spacing w:before="0" w:after="283"/>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w:t>
            </w:r>
          </w:p>
        </w:tc>
        <w:tc>
          <w:tcPr>
            <w:tcW w:w="1010" w:type="dxa"/>
            <w:tcBorders>
              <w:bottom w:val="single" w:sz="12" w:space="0" w:color="000000"/>
            </w:tcBorders>
            <w:tcMar>
              <w:bottom w:w="28" w:type="dxa"/>
            </w:tcMar>
            <w:vAlign w:val="bottom"/>
          </w:tcPr>
          <w:p>
            <w:pPr>
              <w:pStyle w:val="TableContents"/>
              <w:bidi w:val="0"/>
              <w:spacing w:before="0" w:after="283"/>
              <w:jc w:val="right"/>
              <w:rPr/>
            </w:pPr>
            <w:r>
              <w:rPr/>
              <w:t>—</w:t>
            </w:r>
          </w:p>
        </w:tc>
        <w:tc>
          <w:tcPr>
            <w:tcW w:w="135" w:type="dxa"/>
            <w:tcBorders/>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lineRule="auto" w:line="240"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(1) Includes $94 thousand in charged-off demand deposit overdrafts reported as 2026 originations.</w:t>
      </w:r>
    </w:p>
    <w:p>
      <w:pPr>
        <w:pStyle w:val="TextBody"/>
        <w:bidi w:val="0"/>
        <w:spacing w:before="0" w:after="0"/>
        <w:ind w:left="0" w:right="0" w:firstLine="72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Normal"/>
        <w:bidi w:val="0"/>
        <w:spacing w:before="0" w:after="0"/>
        <w:jc w:val="center"/>
        <w:rPr>
          <w:sz w:val="4"/>
          <w:szCs w:val="4"/>
        </w:rPr>
      </w:pPr>
      <w:r>
        <w:rPr>
          <w:sz w:val="4"/>
          <w:szCs w:val="4"/>
        </w:rPr>
      </w:r>
      <w:bookmarkStart w:id="61" w:name="zcb59ca68ae484d1a9345977d4e4ad206"/>
      <w:bookmarkStart w:id="62" w:name="zcb59ca68ae484d1a9345977d4e4ad206"/>
      <w:bookmarkEnd w:id="62"/>
    </w:p>
    <w:tbl>
      <w:tblPr>
        <w:tblW w:w="11585" w:type="dxa"/>
        <w:jc w:val="center"/>
        <w:tblInd w:w="0" w:type="dxa"/>
        <w:tblLayout w:type="fixed"/>
        <w:tblCellMar>
          <w:top w:w="0" w:type="dxa"/>
          <w:left w:w="0" w:type="dxa"/>
          <w:bottom w:w="0" w:type="dxa"/>
          <w:right w:w="0" w:type="dxa"/>
        </w:tblCellMar>
      </w:tblPr>
      <w:tblGrid>
        <w:gridCol w:w="1850"/>
        <w:gridCol w:w="90"/>
        <w:gridCol w:w="170"/>
        <w:gridCol w:w="830"/>
        <w:gridCol w:w="90"/>
        <w:gridCol w:w="90"/>
        <w:gridCol w:w="170"/>
        <w:gridCol w:w="830"/>
        <w:gridCol w:w="90"/>
        <w:gridCol w:w="90"/>
        <w:gridCol w:w="170"/>
        <w:gridCol w:w="830"/>
        <w:gridCol w:w="90"/>
        <w:gridCol w:w="90"/>
        <w:gridCol w:w="170"/>
        <w:gridCol w:w="830"/>
        <w:gridCol w:w="90"/>
        <w:gridCol w:w="90"/>
        <w:gridCol w:w="170"/>
        <w:gridCol w:w="830"/>
        <w:gridCol w:w="90"/>
        <w:gridCol w:w="90"/>
        <w:gridCol w:w="170"/>
        <w:gridCol w:w="830"/>
        <w:gridCol w:w="90"/>
        <w:gridCol w:w="90"/>
        <w:gridCol w:w="181"/>
        <w:gridCol w:w="889"/>
        <w:gridCol w:w="90"/>
        <w:gridCol w:w="90"/>
        <w:gridCol w:w="170"/>
        <w:gridCol w:w="1010"/>
        <w:gridCol w:w="135"/>
      </w:tblGrid>
      <w:tr>
        <w:trPr/>
        <w:tc>
          <w:tcPr>
            <w:tcW w:w="18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80" w:type="dxa"/>
            <w:gridSpan w:val="6"/>
            <w:tcBorders/>
            <w:vAlign w:val="bottom"/>
          </w:tcPr>
          <w:p>
            <w:pPr>
              <w:pStyle w:val="TableContents"/>
              <w:bidi w:val="0"/>
              <w:spacing w:before="0" w:after="0"/>
              <w:jc w:val="center"/>
              <w:rPr>
                <w:b/>
              </w:rPr>
            </w:pPr>
            <w:r>
              <w:rPr>
                <w:b/>
              </w:rPr>
              <w:t>Term Loans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jc w:val="left"/>
              <w:rPr/>
            </w:pPr>
            <w:r>
              <w:rPr/>
              <w:t>(Dollars in thousands)</w:t>
            </w:r>
          </w:p>
        </w:tc>
        <w:tc>
          <w:tcPr>
            <w:tcW w:w="90" w:type="dxa"/>
            <w:tcBorders/>
            <w:vAlign w:val="bottom"/>
          </w:tcPr>
          <w:p>
            <w:pPr>
              <w:pStyle w:val="TableContents"/>
              <w:bidi w:val="0"/>
              <w:spacing w:before="0" w:after="283"/>
              <w:jc w:val="left"/>
              <w:rPr/>
            </w:pPr>
            <w:r>
              <w:rPr/>
              <w:t> </w:t>
            </w:r>
          </w:p>
        </w:tc>
        <w:tc>
          <w:tcPr>
            <w:tcW w:w="9510" w:type="dxa"/>
            <w:gridSpan w:val="30"/>
            <w:tcBorders/>
            <w:vAlign w:val="bottom"/>
          </w:tcPr>
          <w:p>
            <w:pPr>
              <w:pStyle w:val="TableContents"/>
              <w:bidi w:val="0"/>
              <w:spacing w:before="0" w:after="0"/>
              <w:jc w:val="center"/>
              <w:rPr>
                <w:b/>
              </w:rPr>
            </w:pPr>
            <w:r>
              <w:rPr>
                <w:b/>
              </w:rPr>
              <w:t>Amortized Cost Basis by Origination Year</w:t>
            </w:r>
          </w:p>
        </w:tc>
        <w:tc>
          <w:tcPr>
            <w:tcW w:w="135" w:type="dxa"/>
            <w:tcBorders/>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10" w:type="dxa"/>
            <w:gridSpan w:val="30"/>
            <w:tcBorders>
              <w:bottom w:val="single" w:sz="12" w:space="0" w:color="000000"/>
            </w:tcBorders>
            <w:tcMar>
              <w:bottom w:w="28" w:type="dxa"/>
            </w:tcMar>
            <w:vAlign w:val="bottom"/>
          </w:tcPr>
          <w:p>
            <w:pPr>
              <w:pStyle w:val="TableContents"/>
              <w:bidi w:val="0"/>
              <w:spacing w:before="0" w:after="0"/>
              <w:jc w:val="center"/>
              <w:rPr>
                <w:b/>
              </w:rPr>
            </w:pPr>
            <w:r>
              <w:rPr>
                <w:b/>
              </w:rPr>
              <w:t>December 31, 2025</w:t>
            </w:r>
          </w:p>
        </w:tc>
        <w:tc>
          <w:tcPr>
            <w:tcW w:w="135" w:type="dxa"/>
            <w:tcBorders/>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Prior</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bottom"/>
          </w:tcPr>
          <w:p>
            <w:pPr>
              <w:pStyle w:val="TableContents"/>
              <w:bidi w:val="0"/>
              <w:spacing w:before="0" w:after="0"/>
              <w:jc w:val="center"/>
              <w:rPr>
                <w:b/>
              </w:rPr>
            </w:pPr>
            <w:r>
              <w:rPr>
                <w:b/>
              </w:rPr>
              <w:t>Revolving Loans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w:t>
            </w:r>
          </w:p>
        </w:tc>
        <w:tc>
          <w:tcPr>
            <w:tcW w:w="135" w:type="dxa"/>
            <w:tcBorders/>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jc w:val="left"/>
              <w:rPr>
                <w:b/>
              </w:rPr>
            </w:pPr>
            <w:r>
              <w:rPr>
                <w:b/>
              </w:rPr>
              <w:t>Commercial real estate</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pPr>
            <w:r>
              <w:rPr/>
              <w:t>Pass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209,948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137,602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195,747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245,012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95,319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143,422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pPr>
            <w:r>
              <w:rPr/>
              <w:t>$</w:t>
            </w:r>
          </w:p>
        </w:tc>
        <w:tc>
          <w:tcPr>
            <w:tcW w:w="889" w:type="dxa"/>
            <w:tcBorders/>
            <w:shd w:fill="CCEEFF" w:val="clear"/>
            <w:vAlign w:val="bottom"/>
          </w:tcPr>
          <w:p>
            <w:pPr>
              <w:pStyle w:val="TableContents"/>
              <w:bidi w:val="0"/>
              <w:spacing w:before="0" w:after="0"/>
              <w:jc w:val="right"/>
              <w:rPr/>
            </w:pPr>
            <w:r>
              <w:rPr/>
              <w:t>5,372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010" w:type="dxa"/>
            <w:tcBorders/>
            <w:shd w:fill="CCEEFF" w:val="clear"/>
            <w:vAlign w:val="bottom"/>
          </w:tcPr>
          <w:p>
            <w:pPr>
              <w:pStyle w:val="TableContents"/>
              <w:bidi w:val="0"/>
              <w:spacing w:before="0" w:after="0"/>
              <w:jc w:val="right"/>
              <w:rPr/>
            </w:pPr>
            <w:r>
              <w:rPr/>
              <w:t>1,032,422</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20" w:right="0" w:hanging="0"/>
              <w:jc w:val="left"/>
              <w:rPr/>
            </w:pPr>
            <w:r>
              <w:rPr/>
              <w:t>Special mention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2,825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7,343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81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166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1,095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pPr>
            <w:r>
              <w:rPr/>
              <w:t>483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11,993</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pPr>
            <w:r>
              <w:rPr/>
              <w:t>Substandard</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360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62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5,101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1,613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7,095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5,979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20,210</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140" w:right="0" w:hanging="0"/>
              <w:jc w:val="left"/>
              <w:rPr/>
            </w:pPr>
            <w:r>
              <w:rPr/>
              <w:t>Total commercial real estate loans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210,308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140,489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208,191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246,706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102,580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150,496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pPr>
            <w:r>
              <w:rPr/>
              <w:t>$</w:t>
            </w:r>
          </w:p>
        </w:tc>
        <w:tc>
          <w:tcPr>
            <w:tcW w:w="889" w:type="dxa"/>
            <w:tcBorders>
              <w:bottom w:val="double" w:sz="8" w:space="0" w:color="000000"/>
            </w:tcBorders>
            <w:tcMar>
              <w:bottom w:w="28" w:type="dxa"/>
            </w:tcMar>
            <w:vAlign w:val="bottom"/>
          </w:tcPr>
          <w:p>
            <w:pPr>
              <w:pStyle w:val="TableContents"/>
              <w:bidi w:val="0"/>
              <w:spacing w:before="0" w:after="0"/>
              <w:jc w:val="right"/>
              <w:rPr/>
            </w:pPr>
            <w:r>
              <w:rPr/>
              <w:t>5,855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1,064,625</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pPr>
            <w:r>
              <w:rPr/>
              <w:t>Year-to-date gross charge-offs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541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541</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b/>
              </w:rPr>
            </w:pPr>
            <w:r>
              <w:rPr>
                <w:b/>
              </w:rPr>
              <w:t>Commercial - specialized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20" w:right="0" w:hanging="0"/>
              <w:jc w:val="left"/>
              <w:rPr/>
            </w:pPr>
            <w:r>
              <w:rPr/>
              <w:t>Pass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122,003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35,559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38,159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24,081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32,943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29,452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0"/>
              <w:jc w:val="left"/>
              <w:rPr/>
            </w:pPr>
            <w:r>
              <w:rPr/>
              <w:t>$</w:t>
            </w:r>
          </w:p>
        </w:tc>
        <w:tc>
          <w:tcPr>
            <w:tcW w:w="889" w:type="dxa"/>
            <w:tcBorders/>
            <w:vAlign w:val="bottom"/>
          </w:tcPr>
          <w:p>
            <w:pPr>
              <w:pStyle w:val="TableContents"/>
              <w:bidi w:val="0"/>
              <w:spacing w:before="0" w:after="0"/>
              <w:jc w:val="right"/>
              <w:rPr/>
            </w:pPr>
            <w:r>
              <w:rPr/>
              <w:t>103,491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1010" w:type="dxa"/>
            <w:tcBorders/>
            <w:vAlign w:val="bottom"/>
          </w:tcPr>
          <w:p>
            <w:pPr>
              <w:pStyle w:val="TableContents"/>
              <w:bidi w:val="0"/>
              <w:spacing w:before="0" w:after="0"/>
              <w:jc w:val="right"/>
              <w:rPr/>
            </w:pPr>
            <w:r>
              <w:rPr/>
              <w:t>385,688</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pPr>
            <w:r>
              <w:rPr/>
              <w:t>Special mention</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4,572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8,076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799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1,042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1,734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830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pPr>
            <w:r>
              <w:rPr/>
              <w:t>3,770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20,823</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20" w:right="0" w:hanging="0"/>
              <w:jc w:val="left"/>
              <w:rPr/>
            </w:pPr>
            <w:r>
              <w:rPr/>
              <w:t>Substandard</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194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570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811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1,206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59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2,840</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pPr>
            <w:r>
              <w:rPr/>
              <w:t>Total commercial - specialized loans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126,575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43,829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39,528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25,934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35,883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30,341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89" w:type="dxa"/>
            <w:tcBorders>
              <w:bottom w:val="double" w:sz="8" w:space="0" w:color="000000"/>
            </w:tcBorders>
            <w:shd w:fill="CCEEFF" w:val="clear"/>
            <w:tcMar>
              <w:bottom w:w="28" w:type="dxa"/>
            </w:tcMar>
            <w:vAlign w:val="bottom"/>
          </w:tcPr>
          <w:p>
            <w:pPr>
              <w:pStyle w:val="TableContents"/>
              <w:bidi w:val="0"/>
              <w:spacing w:before="0" w:after="0"/>
              <w:jc w:val="right"/>
              <w:rPr/>
            </w:pPr>
            <w:r>
              <w:rPr/>
              <w:t>107,261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pPr>
            <w:r>
              <w:rPr/>
              <w:t>409,351</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20" w:right="0" w:hanging="0"/>
              <w:jc w:val="left"/>
              <w:rPr/>
            </w:pPr>
            <w:r>
              <w:rPr/>
              <w:t>Year-to-date gross charge-offs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0"/>
              <w:jc w:val="left"/>
              <w:rPr/>
            </w:pPr>
            <w:r>
              <w:rPr/>
              <w:t>$</w:t>
            </w:r>
          </w:p>
        </w:tc>
        <w:tc>
          <w:tcPr>
            <w:tcW w:w="889"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1010" w:type="dxa"/>
            <w:tcBorders>
              <w:bottom w:val="single" w:sz="12" w:space="0" w:color="000000"/>
            </w:tcBorders>
            <w:tcMar>
              <w:bottom w:w="28" w:type="dxa"/>
            </w:tcMar>
            <w:vAlign w:val="bottom"/>
          </w:tcPr>
          <w:p>
            <w:pPr>
              <w:pStyle w:val="TableContents"/>
              <w:bidi w:val="0"/>
              <w:spacing w:before="0" w:after="0"/>
              <w:jc w:val="right"/>
              <w:rPr/>
            </w:pPr>
            <w:r>
              <w:rPr/>
              <w:t>—</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20" w:right="0" w:hanging="0"/>
              <w:jc w:val="left"/>
              <w:rPr>
                <w:b/>
              </w:rPr>
            </w:pPr>
            <w:r>
              <w:rPr>
                <w:b/>
              </w:rPr>
              <w:t>Commercial - general</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pPr>
            <w:r>
              <w:rPr/>
              <w:t>Pass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178,827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103,310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51,335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84,327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43,179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79,605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pPr>
            <w:r>
              <w:rPr/>
              <w:t>$</w:t>
            </w:r>
          </w:p>
        </w:tc>
        <w:tc>
          <w:tcPr>
            <w:tcW w:w="889" w:type="dxa"/>
            <w:tcBorders/>
            <w:shd w:fill="CCEEFF" w:val="clear"/>
            <w:vAlign w:val="bottom"/>
          </w:tcPr>
          <w:p>
            <w:pPr>
              <w:pStyle w:val="TableContents"/>
              <w:bidi w:val="0"/>
              <w:spacing w:before="0" w:after="0"/>
              <w:jc w:val="right"/>
              <w:rPr/>
            </w:pPr>
            <w:r>
              <w:rPr/>
              <w:t>92,158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010" w:type="dxa"/>
            <w:tcBorders/>
            <w:shd w:fill="CCEEFF" w:val="clear"/>
            <w:vAlign w:val="bottom"/>
          </w:tcPr>
          <w:p>
            <w:pPr>
              <w:pStyle w:val="TableContents"/>
              <w:bidi w:val="0"/>
              <w:spacing w:before="0" w:after="0"/>
              <w:jc w:val="right"/>
              <w:rPr/>
            </w:pPr>
            <w:r>
              <w:rPr/>
              <w:t>632,741</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20" w:right="0" w:hanging="0"/>
              <w:jc w:val="left"/>
              <w:rPr/>
            </w:pPr>
            <w:r>
              <w:rPr/>
              <w:t>Special mention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60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2,110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12,127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1,011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473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15,781</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pPr>
            <w:r>
              <w:rPr/>
              <w:t>Substandard</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40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758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1,615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1,281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5,749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1,116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pPr>
            <w:r>
              <w:rPr/>
              <w:t>242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10,801</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20" w:right="0" w:hanging="0"/>
              <w:jc w:val="left"/>
              <w:rPr/>
            </w:pPr>
            <w:r>
              <w:rPr/>
              <w:t>Total commercial - general loans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178,927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106,178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65,077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85,608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49,939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81,194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pPr>
            <w:r>
              <w:rPr/>
              <w:t>$</w:t>
            </w:r>
          </w:p>
        </w:tc>
        <w:tc>
          <w:tcPr>
            <w:tcW w:w="889" w:type="dxa"/>
            <w:tcBorders>
              <w:bottom w:val="double" w:sz="8" w:space="0" w:color="000000"/>
            </w:tcBorders>
            <w:tcMar>
              <w:bottom w:w="28" w:type="dxa"/>
            </w:tcMar>
            <w:vAlign w:val="bottom"/>
          </w:tcPr>
          <w:p>
            <w:pPr>
              <w:pStyle w:val="TableContents"/>
              <w:bidi w:val="0"/>
              <w:spacing w:before="0" w:after="0"/>
              <w:jc w:val="right"/>
              <w:rPr/>
            </w:pPr>
            <w:r>
              <w:rPr/>
              <w:t>92,400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659,323</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pPr>
            <w:r>
              <w:rPr/>
              <w:t>Year-to-date gross charge-offs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245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164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116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63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245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pPr>
            <w:r>
              <w:rPr/>
              <w:t>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883</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b/>
              </w:rPr>
            </w:pPr>
            <w:r>
              <w:rPr>
                <w:b/>
              </w:rPr>
              <w:t>Consumer 1-4 family residential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20" w:right="0" w:hanging="0"/>
              <w:jc w:val="left"/>
              <w:rPr/>
            </w:pPr>
            <w:r>
              <w:rPr/>
              <w:t>Pass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95,677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69,844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92,148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137,702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77,474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96,393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0"/>
              <w:jc w:val="left"/>
              <w:rPr/>
            </w:pPr>
            <w:r>
              <w:rPr/>
              <w:t>$</w:t>
            </w:r>
          </w:p>
        </w:tc>
        <w:tc>
          <w:tcPr>
            <w:tcW w:w="889" w:type="dxa"/>
            <w:tcBorders/>
            <w:vAlign w:val="bottom"/>
          </w:tcPr>
          <w:p>
            <w:pPr>
              <w:pStyle w:val="TableContents"/>
              <w:bidi w:val="0"/>
              <w:spacing w:before="0" w:after="0"/>
              <w:jc w:val="right"/>
              <w:rPr/>
            </w:pPr>
            <w:r>
              <w:rPr/>
              <w:t>4,010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1010" w:type="dxa"/>
            <w:tcBorders/>
            <w:vAlign w:val="bottom"/>
          </w:tcPr>
          <w:p>
            <w:pPr>
              <w:pStyle w:val="TableContents"/>
              <w:bidi w:val="0"/>
              <w:spacing w:before="0" w:after="0"/>
              <w:jc w:val="right"/>
              <w:rPr/>
            </w:pPr>
            <w:r>
              <w:rPr/>
              <w:t>573,248</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pPr>
            <w:r>
              <w:rPr/>
              <w:t>Special mention</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621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428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5,061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6,110</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20" w:right="0" w:hanging="0"/>
              <w:jc w:val="left"/>
              <w:rPr/>
            </w:pPr>
            <w:r>
              <w:rPr/>
              <w:t>Substandard</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214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3,095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1,573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1,067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604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3,940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10,493</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pPr>
            <w:r>
              <w:rPr/>
              <w:t xml:space="preserve">Total consumer 1-4 family residential </w:t>
            </w:r>
          </w:p>
          <w:p>
            <w:pPr>
              <w:pStyle w:val="TableContents"/>
              <w:bidi w:val="0"/>
              <w:spacing w:before="0" w:after="0"/>
              <w:ind w:left="20" w:right="0" w:firstLine="180"/>
              <w:jc w:val="left"/>
              <w:rPr/>
            </w:pPr>
            <w:r>
              <w:rPr/>
              <w:t>loans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95,891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72,939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94,342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139,197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83,139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100,333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89" w:type="dxa"/>
            <w:tcBorders>
              <w:bottom w:val="double" w:sz="8" w:space="0" w:color="000000"/>
            </w:tcBorders>
            <w:shd w:fill="CCEEFF" w:val="clear"/>
            <w:tcMar>
              <w:bottom w:w="28" w:type="dxa"/>
            </w:tcMar>
            <w:vAlign w:val="bottom"/>
          </w:tcPr>
          <w:p>
            <w:pPr>
              <w:pStyle w:val="TableContents"/>
              <w:bidi w:val="0"/>
              <w:spacing w:before="0" w:after="0"/>
              <w:jc w:val="right"/>
              <w:rPr/>
            </w:pPr>
            <w:r>
              <w:rPr/>
              <w:t>4,010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pPr>
            <w:r>
              <w:rPr/>
              <w:t>589,851</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20" w:right="0" w:hanging="0"/>
              <w:jc w:val="left"/>
              <w:rPr/>
            </w:pPr>
            <w:r>
              <w:rPr/>
              <w:t>Year-to-date gross charge-offs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31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215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61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0"/>
              <w:jc w:val="left"/>
              <w:rPr/>
            </w:pPr>
            <w:r>
              <w:rPr/>
              <w:t>$</w:t>
            </w:r>
          </w:p>
        </w:tc>
        <w:tc>
          <w:tcPr>
            <w:tcW w:w="889"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1010" w:type="dxa"/>
            <w:tcBorders>
              <w:bottom w:val="single" w:sz="12" w:space="0" w:color="000000"/>
            </w:tcBorders>
            <w:tcMar>
              <w:bottom w:w="28" w:type="dxa"/>
            </w:tcMar>
            <w:vAlign w:val="bottom"/>
          </w:tcPr>
          <w:p>
            <w:pPr>
              <w:pStyle w:val="TableContents"/>
              <w:bidi w:val="0"/>
              <w:spacing w:before="0" w:after="0"/>
              <w:jc w:val="right"/>
              <w:rPr/>
            </w:pPr>
            <w:r>
              <w:rPr/>
              <w:t>307</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20" w:right="0" w:hanging="0"/>
              <w:jc w:val="left"/>
              <w:rPr>
                <w:b/>
              </w:rPr>
            </w:pPr>
            <w:r>
              <w:rPr>
                <w:b/>
              </w:rPr>
              <w:t>Consumer auto loans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pPr>
            <w:r>
              <w:rPr/>
              <w:t>Pass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115,240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48,236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42,397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39,896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11,045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2,015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pPr>
            <w:r>
              <w:rPr/>
              <w:t>$</w:t>
            </w:r>
          </w:p>
        </w:tc>
        <w:tc>
          <w:tcPr>
            <w:tcW w:w="889"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010" w:type="dxa"/>
            <w:tcBorders/>
            <w:shd w:fill="CCEEFF" w:val="clear"/>
            <w:vAlign w:val="bottom"/>
          </w:tcPr>
          <w:p>
            <w:pPr>
              <w:pStyle w:val="TableContents"/>
              <w:bidi w:val="0"/>
              <w:spacing w:before="0" w:after="0"/>
              <w:jc w:val="right"/>
              <w:rPr/>
            </w:pPr>
            <w:r>
              <w:rPr/>
              <w:t>258,829</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20" w:right="0" w:hanging="0"/>
              <w:jc w:val="left"/>
              <w:rPr/>
            </w:pPr>
            <w:r>
              <w:rPr/>
              <w:t>Special mention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pPr>
            <w:r>
              <w:rPr/>
              <w:t>Substandard</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75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328</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20" w:right="0" w:hanging="0"/>
              <w:jc w:val="left"/>
              <w:rPr/>
            </w:pPr>
            <w:r>
              <w:rPr/>
              <w:t>Total consumer auto loans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115,240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48,280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42,467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40,018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11,120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2,032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pPr>
            <w:r>
              <w:rPr/>
              <w:t>$</w:t>
            </w:r>
          </w:p>
        </w:tc>
        <w:tc>
          <w:tcPr>
            <w:tcW w:w="889" w:type="dxa"/>
            <w:tcBorders>
              <w:bottom w:val="double" w:sz="8"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259,157</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pPr>
            <w:r>
              <w:rPr/>
              <w:t>Year-to-date gross charge-offs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243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367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477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198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35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1,349</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b/>
              </w:rPr>
            </w:pPr>
            <w:r>
              <w:rPr>
                <w:b/>
              </w:rPr>
              <w:t>Consumer other consumer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20" w:right="0" w:hanging="0"/>
              <w:jc w:val="left"/>
              <w:rPr/>
            </w:pPr>
            <w:r>
              <w:rPr/>
              <w:t>Pass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27,912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12,521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6,704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7,014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2,223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830" w:type="dxa"/>
            <w:tcBorders/>
            <w:vAlign w:val="bottom"/>
          </w:tcPr>
          <w:p>
            <w:pPr>
              <w:pStyle w:val="TableContents"/>
              <w:bidi w:val="0"/>
              <w:spacing w:before="0" w:after="0"/>
              <w:jc w:val="right"/>
              <w:rPr/>
            </w:pPr>
            <w:r>
              <w:rPr/>
              <w:t>4,096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0"/>
              <w:jc w:val="left"/>
              <w:rPr/>
            </w:pPr>
            <w:r>
              <w:rPr/>
              <w:t>$</w:t>
            </w:r>
          </w:p>
        </w:tc>
        <w:tc>
          <w:tcPr>
            <w:tcW w:w="889" w:type="dxa"/>
            <w:tcBorders/>
            <w:vAlign w:val="bottom"/>
          </w:tcPr>
          <w:p>
            <w:pPr>
              <w:pStyle w:val="TableContents"/>
              <w:bidi w:val="0"/>
              <w:spacing w:before="0" w:after="0"/>
              <w:jc w:val="right"/>
              <w:rPr/>
            </w:pPr>
            <w:r>
              <w:rPr/>
              <w:t>1,534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1010" w:type="dxa"/>
            <w:tcBorders/>
            <w:vAlign w:val="bottom"/>
          </w:tcPr>
          <w:p>
            <w:pPr>
              <w:pStyle w:val="TableContents"/>
              <w:bidi w:val="0"/>
              <w:spacing w:before="0" w:after="0"/>
              <w:jc w:val="right"/>
              <w:rPr/>
            </w:pPr>
            <w:r>
              <w:rPr/>
              <w:t>62,004</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pPr>
            <w:r>
              <w:rPr/>
              <w:t>Special mention</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20" w:right="0" w:hanging="0"/>
              <w:jc w:val="left"/>
              <w:rPr/>
            </w:pPr>
            <w:r>
              <w:rPr/>
              <w:t>Substandard</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13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10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88</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pPr>
            <w:r>
              <w:rPr/>
              <w:t>Total consumer other consumer</w:t>
            </w:r>
          </w:p>
          <w:p>
            <w:pPr>
              <w:pStyle w:val="TableContents"/>
              <w:bidi w:val="0"/>
              <w:spacing w:before="0" w:after="0"/>
              <w:ind w:left="20" w:right="0" w:firstLine="180"/>
              <w:jc w:val="left"/>
              <w:rPr/>
            </w:pPr>
            <w:r>
              <w:rPr/>
              <w:t>loans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27,928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12,534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6,704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7,030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2,233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4,129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89" w:type="dxa"/>
            <w:tcBorders>
              <w:bottom w:val="double" w:sz="8" w:space="0" w:color="000000"/>
            </w:tcBorders>
            <w:shd w:fill="CCEEFF" w:val="clear"/>
            <w:tcMar>
              <w:bottom w:w="28" w:type="dxa"/>
            </w:tcMar>
            <w:vAlign w:val="bottom"/>
          </w:tcPr>
          <w:p>
            <w:pPr>
              <w:pStyle w:val="TableContents"/>
              <w:bidi w:val="0"/>
              <w:spacing w:before="0" w:after="0"/>
              <w:jc w:val="right"/>
              <w:rPr/>
            </w:pPr>
            <w:r>
              <w:rPr/>
              <w:t>1,534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pPr>
            <w:r>
              <w:rPr/>
              <w:t>62,092</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lineRule="auto" w:line="240" w:before="0" w:after="0"/>
              <w:ind w:left="20" w:right="0" w:hanging="0"/>
              <w:jc w:val="left"/>
              <w:rPr/>
            </w:pPr>
            <w:r>
              <w:rPr/>
              <w:t>Year-to-date gross charge-offs (1)</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510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203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44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107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49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830" w:type="dxa"/>
            <w:tcBorders>
              <w:bottom w:val="single" w:sz="12" w:space="0" w:color="000000"/>
            </w:tcBorders>
            <w:tcMar>
              <w:bottom w:w="28" w:type="dxa"/>
            </w:tcMar>
            <w:vAlign w:val="bottom"/>
          </w:tcPr>
          <w:p>
            <w:pPr>
              <w:pStyle w:val="TableContents"/>
              <w:bidi w:val="0"/>
              <w:spacing w:before="0" w:after="0"/>
              <w:jc w:val="right"/>
              <w:rPr/>
            </w:pPr>
            <w:r>
              <w:rPr/>
              <w:t>152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0"/>
              <w:jc w:val="left"/>
              <w:rPr/>
            </w:pPr>
            <w:r>
              <w:rPr/>
              <w:t>$</w:t>
            </w:r>
          </w:p>
        </w:tc>
        <w:tc>
          <w:tcPr>
            <w:tcW w:w="889" w:type="dxa"/>
            <w:tcBorders>
              <w:bottom w:val="single" w:sz="12" w:space="0" w:color="000000"/>
            </w:tcBorders>
            <w:tcMar>
              <w:bottom w:w="28" w:type="dxa"/>
            </w:tcMar>
            <w:vAlign w:val="bottom"/>
          </w:tcPr>
          <w:p>
            <w:pPr>
              <w:pStyle w:val="TableContents"/>
              <w:bidi w:val="0"/>
              <w:spacing w:before="0" w:after="0"/>
              <w:jc w:val="right"/>
              <w:rPr/>
            </w:pPr>
            <w:r>
              <w:rPr/>
              <w:t>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1010" w:type="dxa"/>
            <w:tcBorders>
              <w:bottom w:val="single" w:sz="12" w:space="0" w:color="000000"/>
            </w:tcBorders>
            <w:tcMar>
              <w:bottom w:w="28" w:type="dxa"/>
            </w:tcMar>
            <w:vAlign w:val="bottom"/>
          </w:tcPr>
          <w:p>
            <w:pPr>
              <w:pStyle w:val="TableContents"/>
              <w:bidi w:val="0"/>
              <w:spacing w:before="0" w:after="0"/>
              <w:jc w:val="right"/>
              <w:rPr/>
            </w:pPr>
            <w:r>
              <w:rPr/>
              <w:t>1,066</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283"/>
              <w:jc w:val="left"/>
              <w:rPr>
                <w:b/>
              </w:rPr>
            </w:pPr>
            <w:r>
              <w:rPr>
                <w:b/>
              </w:rPr>
              <w:t>Construction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pPr>
            <w:r>
              <w:rPr/>
              <w:t>Pass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0"/>
              <w:jc w:val="right"/>
              <w:rPr/>
            </w:pPr>
            <w:r>
              <w:rPr/>
              <w:t>71,154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0"/>
              <w:jc w:val="right"/>
              <w:rPr/>
            </w:pPr>
            <w:r>
              <w:rPr/>
              <w:t>24,768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0"/>
              <w:jc w:val="right"/>
              <w:rPr/>
            </w:pPr>
            <w:r>
              <w:rPr/>
              <w:t>2,505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0"/>
              <w:jc w:val="right"/>
              <w:rPr/>
            </w:pPr>
            <w:r>
              <w:rPr/>
              <w:t>570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889"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1010" w:type="dxa"/>
            <w:tcBorders/>
            <w:shd w:fill="CCEEFF" w:val="clear"/>
            <w:vAlign w:val="bottom"/>
          </w:tcPr>
          <w:p>
            <w:pPr>
              <w:pStyle w:val="TableContents"/>
              <w:bidi w:val="0"/>
              <w:spacing w:before="0" w:after="0"/>
              <w:jc w:val="right"/>
              <w:rPr/>
            </w:pPr>
            <w:r>
              <w:rPr/>
              <w:t>98,997</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20" w:right="0" w:hanging="0"/>
              <w:jc w:val="left"/>
              <w:rPr/>
            </w:pPr>
            <w:r>
              <w:rPr/>
              <w:t>Special mention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20" w:right="0" w:hanging="0"/>
              <w:jc w:val="left"/>
              <w:rPr/>
            </w:pPr>
            <w:r>
              <w:rPr/>
              <w:t>Substandard</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1,106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1,106</w:t>
            </w:r>
          </w:p>
        </w:tc>
        <w:tc>
          <w:tcPr>
            <w:tcW w:w="13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20" w:right="0" w:hanging="0"/>
              <w:jc w:val="left"/>
              <w:rPr/>
            </w:pPr>
            <w:r>
              <w:rPr/>
              <w:t>Total construction loans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71,154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24,768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3,611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570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double" w:sz="8" w:space="0" w:color="000000"/>
            </w:tcBorders>
            <w:tcMar>
              <w:bottom w:w="28" w:type="dxa"/>
            </w:tcMar>
            <w:vAlign w:val="bottom"/>
          </w:tcPr>
          <w:p>
            <w:pPr>
              <w:pStyle w:val="TableContents"/>
              <w:bidi w:val="0"/>
              <w:spacing w:before="0" w:after="283"/>
              <w:jc w:val="left"/>
              <w:rPr/>
            </w:pPr>
            <w:r>
              <w:rPr/>
              <w:t>$</w:t>
            </w:r>
          </w:p>
        </w:tc>
        <w:tc>
          <w:tcPr>
            <w:tcW w:w="889" w:type="dxa"/>
            <w:tcBorders>
              <w:bottom w:val="double" w:sz="8"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100,103</w:t>
            </w:r>
          </w:p>
        </w:tc>
        <w:tc>
          <w:tcPr>
            <w:tcW w:w="13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283"/>
              <w:jc w:val="left"/>
              <w:rPr/>
            </w:pPr>
            <w:r>
              <w:rPr/>
              <w:t xml:space="preserve">Year-to-date gross charge-offs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lineRule="auto" w:line="240"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(1) Includes $498 thousand in charged-off demand deposit overdrafts reported as 2025 originations.</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Occasionally, the Company modifies loans to borrowers in financial distress by providing principal forgiveness, term extensions, an other than insignificant payment delay, or interest rate reduction. When principal forgiveness is provided, the amount of forgiveness is charged-off against the allowance for credit losses. Typically, one type of concession, such as term extension, is granted initially. If the borrower continues to experience financial difficulty, another concession, such as principal forgiveness, may be granted. In some cases, the Company provides multiple types of concessions on one loan.</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presents the amortized cost basis of loans at the dates indicated that were both experiencing financial difficulty and modified during each of the three months ended March 31, 2026 and 2025, by class and by type of modification. The percentage of the amortized cost basis of loans that were modified to borrowers in financial distress as compared to the amortized cost basis of each class of financing receivable is also presented below (dollars in thousands):</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63" w:name="z73c9c116e43247e0b6ef81a67a0f7d21"/>
      <w:bookmarkStart w:id="64" w:name="z73c9c116e43247e0b6ef81a67a0f7d21"/>
      <w:bookmarkEnd w:id="64"/>
    </w:p>
    <w:tbl>
      <w:tblPr>
        <w:tblW w:w="11396" w:type="dxa"/>
        <w:jc w:val="center"/>
        <w:tblInd w:w="0" w:type="dxa"/>
        <w:tblLayout w:type="fixed"/>
        <w:tblCellMar>
          <w:top w:w="0" w:type="dxa"/>
          <w:left w:w="0" w:type="dxa"/>
          <w:bottom w:w="0" w:type="dxa"/>
          <w:right w:w="0" w:type="dxa"/>
        </w:tblCellMar>
      </w:tblPr>
      <w:tblGrid>
        <w:gridCol w:w="1136"/>
        <w:gridCol w:w="90"/>
        <w:gridCol w:w="278"/>
        <w:gridCol w:w="672"/>
        <w:gridCol w:w="90"/>
        <w:gridCol w:w="90"/>
        <w:gridCol w:w="309"/>
        <w:gridCol w:w="746"/>
        <w:gridCol w:w="90"/>
        <w:gridCol w:w="90"/>
        <w:gridCol w:w="406"/>
        <w:gridCol w:w="694"/>
        <w:gridCol w:w="90"/>
        <w:gridCol w:w="90"/>
        <w:gridCol w:w="309"/>
        <w:gridCol w:w="746"/>
        <w:gridCol w:w="90"/>
        <w:gridCol w:w="90"/>
        <w:gridCol w:w="406"/>
        <w:gridCol w:w="694"/>
        <w:gridCol w:w="90"/>
        <w:gridCol w:w="90"/>
        <w:gridCol w:w="406"/>
        <w:gridCol w:w="694"/>
        <w:gridCol w:w="90"/>
        <w:gridCol w:w="90"/>
        <w:gridCol w:w="412"/>
        <w:gridCol w:w="703"/>
        <w:gridCol w:w="90"/>
        <w:gridCol w:w="90"/>
        <w:gridCol w:w="184"/>
        <w:gridCol w:w="961"/>
        <w:gridCol w:w="290"/>
      </w:tblGrid>
      <w:tr>
        <w:trPr/>
        <w:tc>
          <w:tcPr>
            <w:tcW w:w="113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Payment Delay</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Term Extension</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Rate Reduction</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Term Extension and Payment Delay</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Term Extension and Interest Rate Reduction</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Payment Delay and Interest Rate Reduction</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Payment Delay, Term</w:t>
            </w:r>
          </w:p>
          <w:p>
            <w:pPr>
              <w:pStyle w:val="TableContents"/>
              <w:bidi w:val="0"/>
              <w:spacing w:before="0" w:after="0"/>
              <w:jc w:val="center"/>
              <w:rPr>
                <w:b/>
                <w:color w:val="000000"/>
              </w:rPr>
            </w:pPr>
            <w:r>
              <w:rPr>
                <w:b/>
                <w:color w:val="000000"/>
              </w:rPr>
              <w:t xml:space="preserve">Extension, and Interest </w:t>
            </w:r>
          </w:p>
          <w:p>
            <w:pPr>
              <w:pStyle w:val="TableContents"/>
              <w:bidi w:val="0"/>
              <w:spacing w:before="0" w:after="0"/>
              <w:jc w:val="center"/>
              <w:rPr>
                <w:b/>
                <w:color w:val="000000"/>
              </w:rPr>
            </w:pPr>
            <w:r>
              <w:rPr>
                <w:b/>
                <w:color w:val="000000"/>
              </w:rPr>
              <w:t>Rate Reduction</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of Total Class of</w:t>
            </w:r>
          </w:p>
          <w:p>
            <w:pPr>
              <w:pStyle w:val="TableContents"/>
              <w:bidi w:val="0"/>
              <w:spacing w:before="0" w:after="0"/>
              <w:jc w:val="center"/>
              <w:rPr>
                <w:b/>
                <w:color w:val="000000"/>
              </w:rPr>
            </w:pPr>
            <w:r>
              <w:rPr>
                <w:b/>
                <w:color w:val="000000"/>
              </w:rPr>
              <w:t>Financing Receivable</w:t>
            </w:r>
          </w:p>
        </w:tc>
        <w:tc>
          <w:tcPr>
            <w:tcW w:w="290" w:type="dxa"/>
            <w:tcBorders/>
            <w:vAlign w:val="bottom"/>
          </w:tcPr>
          <w:p>
            <w:pPr>
              <w:pStyle w:val="TableContents"/>
              <w:bidi w:val="0"/>
              <w:spacing w:before="0" w:after="283"/>
              <w:jc w:val="left"/>
              <w:rPr/>
            </w:pPr>
            <w:r>
              <w:rPr/>
              <w:t> </w:t>
            </w:r>
          </w:p>
        </w:tc>
      </w:tr>
      <w:tr>
        <w:trPr/>
        <w:tc>
          <w:tcPr>
            <w:tcW w:w="1136" w:type="dxa"/>
            <w:tcBorders/>
            <w:vAlign w:val="bottom"/>
          </w:tcPr>
          <w:p>
            <w:pPr>
              <w:pStyle w:val="TableContents"/>
              <w:bidi w:val="0"/>
              <w:spacing w:before="0" w:after="0"/>
              <w:jc w:val="left"/>
              <w:rPr>
                <w:color w:val="000000"/>
                <w:u w:val="single"/>
              </w:rPr>
            </w:pPr>
            <w:r>
              <w:rPr>
                <w:color w:val="000000"/>
                <w:u w:val="single"/>
              </w:rPr>
              <w:t>March 31, 2026</w:t>
            </w:r>
          </w:p>
        </w:tc>
        <w:tc>
          <w:tcPr>
            <w:tcW w:w="9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r>
      <w:tr>
        <w:trPr/>
        <w:tc>
          <w:tcPr>
            <w:tcW w:w="1136" w:type="dxa"/>
            <w:tcBorders/>
            <w:shd w:fill="CCEEFF" w:val="clear"/>
            <w:vAlign w:val="bottom"/>
          </w:tcPr>
          <w:p>
            <w:pPr>
              <w:pStyle w:val="TableContents"/>
              <w:bidi w:val="0"/>
              <w:spacing w:before="0" w:after="0"/>
              <w:ind w:left="144" w:right="0" w:hanging="144"/>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0"/>
              <w:jc w:val="left"/>
              <w:rPr>
                <w:color w:val="000000"/>
              </w:rPr>
            </w:pPr>
            <w:r>
              <w:rPr>
                <w:color w:val="000000"/>
              </w:rPr>
              <w:t>$</w:t>
            </w:r>
          </w:p>
        </w:tc>
        <w:tc>
          <w:tcPr>
            <w:tcW w:w="67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0"/>
              <w:jc w:val="left"/>
              <w:rPr>
                <w:color w:val="000000"/>
              </w:rPr>
            </w:pPr>
            <w:r>
              <w:rPr>
                <w:color w:val="000000"/>
              </w:rPr>
              <w:t>$</w:t>
            </w:r>
          </w:p>
        </w:tc>
        <w:tc>
          <w:tcPr>
            <w:tcW w:w="746"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0"/>
              <w:jc w:val="left"/>
              <w:rPr>
                <w:color w:val="000000"/>
              </w:rPr>
            </w:pPr>
            <w:r>
              <w:rPr>
                <w:color w:val="000000"/>
              </w:rPr>
              <w:t>$</w:t>
            </w:r>
          </w:p>
        </w:tc>
        <w:tc>
          <w:tcPr>
            <w:tcW w:w="694"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0"/>
              <w:jc w:val="left"/>
              <w:rPr>
                <w:color w:val="000000"/>
              </w:rPr>
            </w:pPr>
            <w:r>
              <w:rPr>
                <w:color w:val="000000"/>
              </w:rPr>
              <w:t>$</w:t>
            </w:r>
          </w:p>
        </w:tc>
        <w:tc>
          <w:tcPr>
            <w:tcW w:w="746"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0"/>
              <w:jc w:val="left"/>
              <w:rPr>
                <w:color w:val="000000"/>
              </w:rPr>
            </w:pPr>
            <w:r>
              <w:rPr>
                <w:color w:val="000000"/>
              </w:rPr>
              <w:t>$</w:t>
            </w:r>
          </w:p>
        </w:tc>
        <w:tc>
          <w:tcPr>
            <w:tcW w:w="694"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0"/>
              <w:jc w:val="left"/>
              <w:rPr>
                <w:color w:val="000000"/>
              </w:rPr>
            </w:pPr>
            <w:r>
              <w:rPr>
                <w:color w:val="000000"/>
              </w:rPr>
              <w:t>$</w:t>
            </w:r>
          </w:p>
        </w:tc>
        <w:tc>
          <w:tcPr>
            <w:tcW w:w="694"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0"/>
              <w:jc w:val="left"/>
              <w:rPr>
                <w:color w:val="000000"/>
              </w:rPr>
            </w:pPr>
            <w:r>
              <w:rPr>
                <w:color w:val="000000"/>
              </w:rPr>
              <w:t>$</w:t>
            </w:r>
          </w:p>
        </w:tc>
        <w:tc>
          <w:tcPr>
            <w:tcW w:w="70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0"/>
              <w:jc w:val="right"/>
              <w:rPr>
                <w:color w:val="000000"/>
              </w:rPr>
            </w:pPr>
            <w:r>
              <w:rPr>
                <w:color w:val="000000"/>
              </w:rPr>
              <w:t>—</w:t>
            </w:r>
          </w:p>
        </w:tc>
        <w:tc>
          <w:tcPr>
            <w:tcW w:w="290" w:type="dxa"/>
            <w:tcBorders/>
            <w:shd w:fill="CCEEFF" w:val="clear"/>
            <w:vAlign w:val="bottom"/>
          </w:tcPr>
          <w:p>
            <w:pPr>
              <w:pStyle w:val="TableContents"/>
              <w:bidi w:val="0"/>
              <w:spacing w:before="0" w:after="283"/>
              <w:jc w:val="left"/>
              <w:rPr/>
            </w:pPr>
            <w:r>
              <w:rPr/>
              <w:t> </w:t>
            </w:r>
          </w:p>
        </w:tc>
      </w:tr>
      <w:tr>
        <w:trPr/>
        <w:tc>
          <w:tcPr>
            <w:tcW w:w="1136" w:type="dxa"/>
            <w:tcBorders/>
            <w:vAlign w:val="bottom"/>
          </w:tcPr>
          <w:p>
            <w:pPr>
              <w:pStyle w:val="TableContents"/>
              <w:bidi w:val="0"/>
              <w:spacing w:before="0" w:after="0"/>
              <w:ind w:left="144" w:right="0" w:hanging="144"/>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color w:val="000000"/>
              </w:rPr>
            </w:pPr>
            <w:r>
              <w:rPr>
                <w:color w:val="000000"/>
              </w:rPr>
              <w:t>545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0"/>
              <w:jc w:val="right"/>
              <w:rPr>
                <w:color w:val="000000"/>
              </w:rPr>
            </w:pPr>
            <w:r>
              <w:rPr>
                <w:color w:val="000000"/>
              </w:rPr>
              <w:t>50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0"/>
              <w:jc w:val="right"/>
              <w:rPr>
                <w:color w:val="000000"/>
              </w:rPr>
            </w:pPr>
            <w:r>
              <w:rPr>
                <w:color w:val="000000"/>
              </w:rPr>
              <w:t>0.15</w:t>
            </w:r>
          </w:p>
        </w:tc>
        <w:tc>
          <w:tcPr>
            <w:tcW w:w="290" w:type="dxa"/>
            <w:tcBorders/>
            <w:vAlign w:val="bottom"/>
          </w:tcPr>
          <w:p>
            <w:pPr>
              <w:pStyle w:val="TableContents"/>
              <w:bidi w:val="0"/>
              <w:spacing w:before="0" w:after="0"/>
              <w:jc w:val="left"/>
              <w:rPr>
                <w:color w:val="000000"/>
              </w:rPr>
            </w:pPr>
            <w:r>
              <w:rPr>
                <w:color w:val="000000"/>
              </w:rPr>
              <w:t>%</w:t>
            </w:r>
          </w:p>
        </w:tc>
      </w:tr>
      <w:tr>
        <w:trPr/>
        <w:tc>
          <w:tcPr>
            <w:tcW w:w="1136" w:type="dxa"/>
            <w:tcBorders/>
            <w:shd w:fill="CCEEFF" w:val="clear"/>
            <w:vAlign w:val="bottom"/>
          </w:tcPr>
          <w:p>
            <w:pPr>
              <w:pStyle w:val="TableContents"/>
              <w:bidi w:val="0"/>
              <w:spacing w:before="0" w:after="0"/>
              <w:ind w:left="144" w:right="0" w:hanging="144"/>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color w:val="000000"/>
              </w:rPr>
            </w:pPr>
            <w:r>
              <w:rPr>
                <w:color w:val="000000"/>
              </w:rPr>
              <w:t>15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0"/>
              <w:jc w:val="right"/>
              <w:rPr>
                <w:color w:val="000000"/>
              </w:rPr>
            </w:pPr>
            <w:r>
              <w:rPr>
                <w:color w:val="000000"/>
              </w:rPr>
              <w:t>20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0"/>
              <w:jc w:val="right"/>
              <w:rPr>
                <w:color w:val="000000"/>
              </w:rPr>
            </w:pPr>
            <w:r>
              <w:rPr>
                <w:color w:val="000000"/>
              </w:rPr>
              <w:t>0.01</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1136" w:type="dxa"/>
            <w:tcBorders/>
            <w:vAlign w:val="bottom"/>
          </w:tcPr>
          <w:p>
            <w:pPr>
              <w:pStyle w:val="TableContents"/>
              <w:bidi w:val="0"/>
              <w:spacing w:before="0" w:after="0"/>
              <w:ind w:left="144" w:right="0" w:hanging="144"/>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r>
      <w:tr>
        <w:trPr/>
        <w:tc>
          <w:tcPr>
            <w:tcW w:w="1136" w:type="dxa"/>
            <w:tcBorders/>
            <w:shd w:fill="CCEEFF" w:val="clear"/>
            <w:vAlign w:val="bottom"/>
          </w:tcPr>
          <w:p>
            <w:pPr>
              <w:pStyle w:val="TableContents"/>
              <w:bidi w:val="0"/>
              <w:spacing w:before="0" w:after="0"/>
              <w:ind w:left="288" w:right="0" w:hanging="144"/>
              <w:jc w:val="left"/>
              <w:rPr>
                <w:color w:val="000000"/>
              </w:rPr>
            </w:pPr>
            <w:r>
              <w:rPr>
                <w:color w:val="000000"/>
              </w:rPr>
              <w:t>1-4 family</w:t>
            </w:r>
          </w:p>
        </w:tc>
        <w:tc>
          <w:tcPr>
            <w:tcW w:w="9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0"/>
              <w:jc w:val="right"/>
              <w:rPr>
                <w:color w:val="000000"/>
              </w:rPr>
            </w:pPr>
            <w:r>
              <w:rPr>
                <w:color w:val="000000"/>
              </w:rPr>
              <w:t>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0"/>
              <w:jc w:val="right"/>
              <w:rPr>
                <w:color w:val="000000"/>
              </w:rPr>
            </w:pPr>
            <w:r>
              <w:rPr>
                <w:color w:val="000000"/>
              </w:rPr>
              <w:t>249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0"/>
              <w:jc w:val="right"/>
              <w:rPr>
                <w:color w:val="000000"/>
              </w:rPr>
            </w:pPr>
            <w:r>
              <w:rPr>
                <w:color w:val="000000"/>
              </w:rPr>
              <w:t>0.05</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1136" w:type="dxa"/>
            <w:tcBorders/>
            <w:vAlign w:val="bottom"/>
          </w:tcPr>
          <w:p>
            <w:pPr>
              <w:pStyle w:val="TableContents"/>
              <w:bidi w:val="0"/>
              <w:spacing w:before="0" w:after="0"/>
              <w:ind w:left="288" w:right="0" w:hanging="144"/>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0"/>
              <w:jc w:val="right"/>
              <w:rPr>
                <w:color w:val="000000"/>
              </w:rPr>
            </w:pPr>
            <w:r>
              <w:rPr>
                <w:color w:val="000000"/>
              </w:rPr>
              <w:t>—</w:t>
            </w:r>
          </w:p>
        </w:tc>
        <w:tc>
          <w:tcPr>
            <w:tcW w:w="290" w:type="dxa"/>
            <w:tcBorders/>
            <w:vAlign w:val="bottom"/>
          </w:tcPr>
          <w:p>
            <w:pPr>
              <w:pStyle w:val="TableContents"/>
              <w:bidi w:val="0"/>
              <w:spacing w:before="0" w:after="283"/>
              <w:jc w:val="left"/>
              <w:rPr/>
            </w:pPr>
            <w:r>
              <w:rPr/>
              <w:t> </w:t>
            </w:r>
          </w:p>
        </w:tc>
      </w:tr>
      <w:tr>
        <w:trPr/>
        <w:tc>
          <w:tcPr>
            <w:tcW w:w="1136" w:type="dxa"/>
            <w:tcBorders/>
            <w:shd w:fill="CCEEFF" w:val="clear"/>
            <w:vAlign w:val="bottom"/>
          </w:tcPr>
          <w:p>
            <w:pPr>
              <w:pStyle w:val="TableContents"/>
              <w:bidi w:val="0"/>
              <w:spacing w:before="0" w:after="0"/>
              <w:ind w:left="288" w:right="0" w:hanging="144"/>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0"/>
              <w:jc w:val="right"/>
              <w:rPr>
                <w:color w:val="000000"/>
              </w:rPr>
            </w:pPr>
            <w:r>
              <w:rPr>
                <w:color w:val="000000"/>
              </w:rPr>
              <w:t>—</w:t>
            </w:r>
          </w:p>
        </w:tc>
        <w:tc>
          <w:tcPr>
            <w:tcW w:w="290" w:type="dxa"/>
            <w:tcBorders/>
            <w:shd w:fill="CCEEFF" w:val="clear"/>
            <w:vAlign w:val="bottom"/>
          </w:tcPr>
          <w:p>
            <w:pPr>
              <w:pStyle w:val="TableContents"/>
              <w:bidi w:val="0"/>
              <w:spacing w:before="0" w:after="283"/>
              <w:jc w:val="left"/>
              <w:rPr/>
            </w:pPr>
            <w:r>
              <w:rPr/>
              <w:t> </w:t>
            </w:r>
          </w:p>
        </w:tc>
      </w:tr>
      <w:tr>
        <w:trPr/>
        <w:tc>
          <w:tcPr>
            <w:tcW w:w="1136" w:type="dxa"/>
            <w:tcBorders/>
            <w:vAlign w:val="bottom"/>
          </w:tcPr>
          <w:p>
            <w:pPr>
              <w:pStyle w:val="TableContents"/>
              <w:bidi w:val="0"/>
              <w:spacing w:before="0" w:after="0"/>
              <w:ind w:left="144" w:right="0" w:hanging="144"/>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278"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9" w:type="dxa"/>
            <w:tcBorders>
              <w:bottom w:val="single" w:sz="12" w:space="0" w:color="000000"/>
            </w:tcBorders>
            <w:tcMar>
              <w:bottom w:w="28" w:type="dxa"/>
            </w:tcMar>
            <w:vAlign w:val="bottom"/>
          </w:tcPr>
          <w:p>
            <w:pPr>
              <w:pStyle w:val="TableContents"/>
              <w:bidi w:val="0"/>
              <w:spacing w:before="0" w:after="283"/>
              <w:jc w:val="left"/>
              <w:rPr/>
            </w:pPr>
            <w:r>
              <w:rPr/>
              <w:t> </w:t>
            </w:r>
          </w:p>
        </w:tc>
        <w:tc>
          <w:tcPr>
            <w:tcW w:w="74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529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bottom w:val="single" w:sz="12" w:space="0" w:color="000000"/>
            </w:tcBorders>
            <w:tcMar>
              <w:bottom w:w="28" w:type="dxa"/>
            </w:tcMar>
            <w:vAlign w:val="bottom"/>
          </w:tcPr>
          <w:p>
            <w:pPr>
              <w:pStyle w:val="TableContents"/>
              <w:bidi w:val="0"/>
              <w:spacing w:before="0" w:after="283"/>
              <w:jc w:val="left"/>
              <w:rPr/>
            </w:pPr>
            <w:r>
              <w:rPr/>
              <w:t> </w:t>
            </w:r>
          </w:p>
        </w:tc>
        <w:tc>
          <w:tcPr>
            <w:tcW w:w="69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9" w:type="dxa"/>
            <w:tcBorders>
              <w:bottom w:val="single" w:sz="12" w:space="0" w:color="000000"/>
            </w:tcBorders>
            <w:tcMar>
              <w:bottom w:w="28" w:type="dxa"/>
            </w:tcMar>
            <w:vAlign w:val="bottom"/>
          </w:tcPr>
          <w:p>
            <w:pPr>
              <w:pStyle w:val="TableContents"/>
              <w:bidi w:val="0"/>
              <w:spacing w:before="0" w:after="283"/>
              <w:jc w:val="left"/>
              <w:rPr/>
            </w:pPr>
            <w:r>
              <w:rPr/>
              <w:t> </w:t>
            </w:r>
          </w:p>
        </w:tc>
        <w:tc>
          <w:tcPr>
            <w:tcW w:w="74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607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bottom w:val="single" w:sz="12" w:space="0" w:color="000000"/>
            </w:tcBorders>
            <w:tcMar>
              <w:bottom w:w="28" w:type="dxa"/>
            </w:tcMar>
            <w:vAlign w:val="bottom"/>
          </w:tcPr>
          <w:p>
            <w:pPr>
              <w:pStyle w:val="TableContents"/>
              <w:bidi w:val="0"/>
              <w:spacing w:before="0" w:after="283"/>
              <w:jc w:val="left"/>
              <w:rPr/>
            </w:pPr>
            <w:r>
              <w:rPr/>
              <w:t> </w:t>
            </w:r>
          </w:p>
        </w:tc>
        <w:tc>
          <w:tcPr>
            <w:tcW w:w="69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bottom w:val="single" w:sz="12" w:space="0" w:color="000000"/>
            </w:tcBorders>
            <w:tcMar>
              <w:bottom w:w="28" w:type="dxa"/>
            </w:tcMar>
            <w:vAlign w:val="bottom"/>
          </w:tcPr>
          <w:p>
            <w:pPr>
              <w:pStyle w:val="TableContents"/>
              <w:bidi w:val="0"/>
              <w:spacing w:before="0" w:after="283"/>
              <w:jc w:val="left"/>
              <w:rPr/>
            </w:pPr>
            <w:r>
              <w:rPr/>
              <w:t> </w:t>
            </w:r>
          </w:p>
        </w:tc>
        <w:tc>
          <w:tcPr>
            <w:tcW w:w="69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2" w:type="dxa"/>
            <w:tcBorders>
              <w:bottom w:val="single" w:sz="12" w:space="0" w:color="000000"/>
            </w:tcBorders>
            <w:tcMar>
              <w:bottom w:w="28" w:type="dxa"/>
            </w:tcMar>
            <w:vAlign w:val="bottom"/>
          </w:tcPr>
          <w:p>
            <w:pPr>
              <w:pStyle w:val="TableContents"/>
              <w:bidi w:val="0"/>
              <w:spacing w:before="0" w:after="283"/>
              <w:jc w:val="left"/>
              <w:rPr/>
            </w:pPr>
            <w:r>
              <w:rPr/>
              <w:t> </w:t>
            </w:r>
          </w:p>
        </w:tc>
        <w:tc>
          <w:tcPr>
            <w:tcW w:w="70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0"/>
              <w:jc w:val="right"/>
              <w:rPr>
                <w:color w:val="000000"/>
              </w:rPr>
            </w:pPr>
            <w:r>
              <w:rPr>
                <w:color w:val="000000"/>
              </w:rPr>
              <w:t>1.10</w:t>
            </w:r>
          </w:p>
        </w:tc>
        <w:tc>
          <w:tcPr>
            <w:tcW w:w="290" w:type="dxa"/>
            <w:tcBorders/>
            <w:vAlign w:val="bottom"/>
          </w:tcPr>
          <w:p>
            <w:pPr>
              <w:pStyle w:val="TableContents"/>
              <w:bidi w:val="0"/>
              <w:spacing w:before="0" w:after="0"/>
              <w:jc w:val="left"/>
              <w:rPr>
                <w:color w:val="000000"/>
              </w:rPr>
            </w:pPr>
            <w:r>
              <w:rPr>
                <w:color w:val="000000"/>
              </w:rPr>
              <w:t>%</w:t>
            </w:r>
          </w:p>
        </w:tc>
      </w:tr>
      <w:tr>
        <w:trPr/>
        <w:tc>
          <w:tcPr>
            <w:tcW w:w="1136"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7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0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4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579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0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9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0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4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906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0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9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0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9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1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0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0"/>
              <w:jc w:val="right"/>
              <w:rPr>
                <w:color w:val="000000"/>
              </w:rPr>
            </w:pPr>
            <w:r>
              <w:rPr>
                <w:color w:val="000000"/>
              </w:rPr>
              <w:t>0.07</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1136" w:type="dxa"/>
            <w:tcBorders/>
            <w:vAlign w:val="bottom"/>
          </w:tcPr>
          <w:p>
            <w:pPr>
              <w:pStyle w:val="TableContents"/>
              <w:bidi w:val="0"/>
              <w:spacing w:before="0" w:after="0"/>
              <w:jc w:val="left"/>
              <w:rPr>
                <w:color w:val="000000"/>
                <w:u w:val="single"/>
              </w:rPr>
            </w:pPr>
            <w:r>
              <w:rPr>
                <w:color w:val="000000"/>
                <w:u w:val="single"/>
              </w:rPr>
              <w:t>March 31, 2025</w:t>
            </w:r>
          </w:p>
        </w:tc>
        <w:tc>
          <w:tcPr>
            <w:tcW w:w="9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r>
      <w:tr>
        <w:trPr/>
        <w:tc>
          <w:tcPr>
            <w:tcW w:w="1136" w:type="dxa"/>
            <w:tcBorders/>
            <w:shd w:fill="CCEEFF" w:val="clear"/>
            <w:vAlign w:val="bottom"/>
          </w:tcPr>
          <w:p>
            <w:pPr>
              <w:pStyle w:val="TableContents"/>
              <w:bidi w:val="0"/>
              <w:spacing w:before="0" w:after="0"/>
              <w:ind w:left="144" w:right="0" w:hanging="144"/>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0"/>
              <w:jc w:val="left"/>
              <w:rPr>
                <w:color w:val="000000"/>
              </w:rPr>
            </w:pPr>
            <w:r>
              <w:rPr>
                <w:color w:val="000000"/>
              </w:rPr>
              <w:t>$</w:t>
            </w:r>
          </w:p>
        </w:tc>
        <w:tc>
          <w:tcPr>
            <w:tcW w:w="67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0"/>
              <w:jc w:val="left"/>
              <w:rPr>
                <w:color w:val="000000"/>
              </w:rPr>
            </w:pPr>
            <w:r>
              <w:rPr>
                <w:color w:val="000000"/>
              </w:rPr>
              <w:t>$</w:t>
            </w:r>
          </w:p>
        </w:tc>
        <w:tc>
          <w:tcPr>
            <w:tcW w:w="746"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0"/>
              <w:jc w:val="left"/>
              <w:rPr>
                <w:color w:val="000000"/>
              </w:rPr>
            </w:pPr>
            <w:r>
              <w:rPr>
                <w:color w:val="000000"/>
              </w:rPr>
              <w:t>$</w:t>
            </w:r>
          </w:p>
        </w:tc>
        <w:tc>
          <w:tcPr>
            <w:tcW w:w="694"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0"/>
              <w:jc w:val="left"/>
              <w:rPr>
                <w:color w:val="000000"/>
              </w:rPr>
            </w:pPr>
            <w:r>
              <w:rPr>
                <w:color w:val="000000"/>
              </w:rPr>
              <w:t>$</w:t>
            </w:r>
          </w:p>
        </w:tc>
        <w:tc>
          <w:tcPr>
            <w:tcW w:w="746"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0"/>
              <w:jc w:val="left"/>
              <w:rPr>
                <w:color w:val="000000"/>
              </w:rPr>
            </w:pPr>
            <w:r>
              <w:rPr>
                <w:color w:val="000000"/>
              </w:rPr>
              <w:t>$</w:t>
            </w:r>
          </w:p>
        </w:tc>
        <w:tc>
          <w:tcPr>
            <w:tcW w:w="694"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0"/>
              <w:jc w:val="left"/>
              <w:rPr>
                <w:color w:val="000000"/>
              </w:rPr>
            </w:pPr>
            <w:r>
              <w:rPr>
                <w:color w:val="000000"/>
              </w:rPr>
              <w:t>$</w:t>
            </w:r>
          </w:p>
        </w:tc>
        <w:tc>
          <w:tcPr>
            <w:tcW w:w="694"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0"/>
              <w:jc w:val="left"/>
              <w:rPr>
                <w:color w:val="000000"/>
              </w:rPr>
            </w:pPr>
            <w:r>
              <w:rPr>
                <w:color w:val="000000"/>
              </w:rPr>
              <w:t>$</w:t>
            </w:r>
          </w:p>
        </w:tc>
        <w:tc>
          <w:tcPr>
            <w:tcW w:w="70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0"/>
              <w:jc w:val="right"/>
              <w:rPr>
                <w:color w:val="000000"/>
              </w:rPr>
            </w:pPr>
            <w:r>
              <w:rPr>
                <w:color w:val="000000"/>
              </w:rPr>
              <w:t>—</w:t>
            </w:r>
          </w:p>
        </w:tc>
        <w:tc>
          <w:tcPr>
            <w:tcW w:w="290" w:type="dxa"/>
            <w:tcBorders/>
            <w:shd w:fill="CCEEFF" w:val="clear"/>
            <w:vAlign w:val="bottom"/>
          </w:tcPr>
          <w:p>
            <w:pPr>
              <w:pStyle w:val="TableContents"/>
              <w:bidi w:val="0"/>
              <w:spacing w:before="0" w:after="283"/>
              <w:jc w:val="left"/>
              <w:rPr/>
            </w:pPr>
            <w:r>
              <w:rPr/>
              <w:t> </w:t>
            </w:r>
          </w:p>
        </w:tc>
      </w:tr>
      <w:tr>
        <w:trPr/>
        <w:tc>
          <w:tcPr>
            <w:tcW w:w="1136" w:type="dxa"/>
            <w:tcBorders/>
            <w:vAlign w:val="bottom"/>
          </w:tcPr>
          <w:p>
            <w:pPr>
              <w:pStyle w:val="TableContents"/>
              <w:bidi w:val="0"/>
              <w:spacing w:before="0" w:after="0"/>
              <w:ind w:left="144" w:right="0" w:hanging="144"/>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0"/>
              <w:jc w:val="right"/>
              <w:rPr>
                <w:color w:val="000000"/>
              </w:rPr>
            </w:pPr>
            <w:r>
              <w:rPr>
                <w:color w:val="000000"/>
              </w:rPr>
              <w:t>—</w:t>
            </w:r>
          </w:p>
        </w:tc>
        <w:tc>
          <w:tcPr>
            <w:tcW w:w="290" w:type="dxa"/>
            <w:tcBorders/>
            <w:vAlign w:val="bottom"/>
          </w:tcPr>
          <w:p>
            <w:pPr>
              <w:pStyle w:val="TableContents"/>
              <w:bidi w:val="0"/>
              <w:spacing w:before="0" w:after="283"/>
              <w:jc w:val="left"/>
              <w:rPr/>
            </w:pPr>
            <w:r>
              <w:rPr/>
              <w:t> </w:t>
            </w:r>
          </w:p>
        </w:tc>
      </w:tr>
      <w:tr>
        <w:trPr/>
        <w:tc>
          <w:tcPr>
            <w:tcW w:w="1136" w:type="dxa"/>
            <w:tcBorders/>
            <w:shd w:fill="CCEEFF" w:val="clear"/>
            <w:vAlign w:val="bottom"/>
          </w:tcPr>
          <w:p>
            <w:pPr>
              <w:pStyle w:val="TableContents"/>
              <w:bidi w:val="0"/>
              <w:spacing w:before="0" w:after="0"/>
              <w:ind w:left="144" w:right="0" w:hanging="144"/>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0"/>
              <w:jc w:val="right"/>
              <w:rPr>
                <w:color w:val="000000"/>
              </w:rPr>
            </w:pPr>
            <w:r>
              <w:rPr>
                <w:color w:val="000000"/>
              </w:rPr>
              <w:t>270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0"/>
              <w:jc w:val="right"/>
              <w:rPr>
                <w:color w:val="000000"/>
              </w:rPr>
            </w:pPr>
            <w:r>
              <w:rPr>
                <w:color w:val="000000"/>
              </w:rPr>
              <w:t>43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0"/>
              <w:jc w:val="right"/>
              <w:rPr>
                <w:color w:val="000000"/>
              </w:rPr>
            </w:pPr>
            <w:r>
              <w:rPr>
                <w:color w:val="000000"/>
              </w:rPr>
              <w:t>0.05</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1136" w:type="dxa"/>
            <w:tcBorders/>
            <w:vAlign w:val="bottom"/>
          </w:tcPr>
          <w:p>
            <w:pPr>
              <w:pStyle w:val="TableContents"/>
              <w:bidi w:val="0"/>
              <w:spacing w:before="0" w:after="0"/>
              <w:ind w:left="144" w:right="0" w:hanging="144"/>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r>
      <w:tr>
        <w:trPr/>
        <w:tc>
          <w:tcPr>
            <w:tcW w:w="1136" w:type="dxa"/>
            <w:tcBorders/>
            <w:shd w:fill="CCEEFF" w:val="clear"/>
            <w:vAlign w:val="bottom"/>
          </w:tcPr>
          <w:p>
            <w:pPr>
              <w:pStyle w:val="TableContents"/>
              <w:bidi w:val="0"/>
              <w:spacing w:before="0" w:after="0"/>
              <w:ind w:left="288" w:right="0" w:hanging="144"/>
              <w:jc w:val="left"/>
              <w:rPr>
                <w:color w:val="000000"/>
              </w:rPr>
            </w:pPr>
            <w:r>
              <w:rPr>
                <w:color w:val="000000"/>
              </w:rPr>
              <w:t>1-4 family</w:t>
            </w:r>
          </w:p>
        </w:tc>
        <w:tc>
          <w:tcPr>
            <w:tcW w:w="9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0"/>
              <w:jc w:val="right"/>
              <w:rPr>
                <w:color w:val="000000"/>
              </w:rPr>
            </w:pPr>
            <w:r>
              <w:rPr>
                <w:color w:val="000000"/>
              </w:rPr>
              <w:t>—</w:t>
            </w:r>
          </w:p>
        </w:tc>
        <w:tc>
          <w:tcPr>
            <w:tcW w:w="290" w:type="dxa"/>
            <w:tcBorders/>
            <w:shd w:fill="CCEEFF" w:val="clear"/>
            <w:vAlign w:val="bottom"/>
          </w:tcPr>
          <w:p>
            <w:pPr>
              <w:pStyle w:val="TableContents"/>
              <w:bidi w:val="0"/>
              <w:spacing w:before="0" w:after="283"/>
              <w:jc w:val="left"/>
              <w:rPr/>
            </w:pPr>
            <w:r>
              <w:rPr/>
              <w:t> </w:t>
            </w:r>
          </w:p>
        </w:tc>
      </w:tr>
      <w:tr>
        <w:trPr/>
        <w:tc>
          <w:tcPr>
            <w:tcW w:w="1136" w:type="dxa"/>
            <w:tcBorders/>
            <w:vAlign w:val="bottom"/>
          </w:tcPr>
          <w:p>
            <w:pPr>
              <w:pStyle w:val="TableContents"/>
              <w:bidi w:val="0"/>
              <w:spacing w:before="0" w:after="0"/>
              <w:ind w:left="288" w:right="0" w:hanging="144"/>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0"/>
              <w:jc w:val="right"/>
              <w:rPr>
                <w:color w:val="000000"/>
              </w:rPr>
            </w:pPr>
            <w:r>
              <w:rPr>
                <w:color w:val="000000"/>
              </w:rPr>
              <w:t>—</w:t>
            </w:r>
          </w:p>
        </w:tc>
        <w:tc>
          <w:tcPr>
            <w:tcW w:w="290" w:type="dxa"/>
            <w:tcBorders/>
            <w:vAlign w:val="bottom"/>
          </w:tcPr>
          <w:p>
            <w:pPr>
              <w:pStyle w:val="TableContents"/>
              <w:bidi w:val="0"/>
              <w:spacing w:before="0" w:after="283"/>
              <w:jc w:val="left"/>
              <w:rPr/>
            </w:pPr>
            <w:r>
              <w:rPr/>
              <w:t> </w:t>
            </w:r>
          </w:p>
        </w:tc>
      </w:tr>
      <w:tr>
        <w:trPr/>
        <w:tc>
          <w:tcPr>
            <w:tcW w:w="1136" w:type="dxa"/>
            <w:tcBorders/>
            <w:shd w:fill="CCEEFF" w:val="clear"/>
            <w:vAlign w:val="bottom"/>
          </w:tcPr>
          <w:p>
            <w:pPr>
              <w:pStyle w:val="TableContents"/>
              <w:bidi w:val="0"/>
              <w:spacing w:before="0" w:after="0"/>
              <w:ind w:left="288" w:right="0" w:hanging="144"/>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0"/>
              <w:jc w:val="right"/>
              <w:rPr>
                <w:color w:val="000000"/>
              </w:rPr>
            </w:pPr>
            <w:r>
              <w:rPr>
                <w:color w:val="000000"/>
              </w:rPr>
              <w:t>—</w:t>
            </w:r>
          </w:p>
        </w:tc>
        <w:tc>
          <w:tcPr>
            <w:tcW w:w="290" w:type="dxa"/>
            <w:tcBorders/>
            <w:shd w:fill="CCEEFF" w:val="clear"/>
            <w:vAlign w:val="bottom"/>
          </w:tcPr>
          <w:p>
            <w:pPr>
              <w:pStyle w:val="TableContents"/>
              <w:bidi w:val="0"/>
              <w:spacing w:before="0" w:after="283"/>
              <w:jc w:val="left"/>
              <w:rPr/>
            </w:pPr>
            <w:r>
              <w:rPr/>
              <w:t> </w:t>
            </w:r>
          </w:p>
        </w:tc>
      </w:tr>
      <w:tr>
        <w:trPr/>
        <w:tc>
          <w:tcPr>
            <w:tcW w:w="1136" w:type="dxa"/>
            <w:tcBorders/>
            <w:vAlign w:val="bottom"/>
          </w:tcPr>
          <w:p>
            <w:pPr>
              <w:pStyle w:val="TableContents"/>
              <w:bidi w:val="0"/>
              <w:spacing w:before="0" w:after="0"/>
              <w:ind w:left="144" w:right="0" w:hanging="144"/>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278"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9" w:type="dxa"/>
            <w:tcBorders>
              <w:bottom w:val="single" w:sz="12" w:space="0" w:color="000000"/>
            </w:tcBorders>
            <w:tcMar>
              <w:bottom w:w="28" w:type="dxa"/>
            </w:tcMar>
            <w:vAlign w:val="bottom"/>
          </w:tcPr>
          <w:p>
            <w:pPr>
              <w:pStyle w:val="TableContents"/>
              <w:bidi w:val="0"/>
              <w:spacing w:before="0" w:after="283"/>
              <w:jc w:val="left"/>
              <w:rPr/>
            </w:pPr>
            <w:r>
              <w:rPr/>
              <w:t> </w:t>
            </w:r>
          </w:p>
        </w:tc>
        <w:tc>
          <w:tcPr>
            <w:tcW w:w="74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bottom w:val="single" w:sz="12" w:space="0" w:color="000000"/>
            </w:tcBorders>
            <w:tcMar>
              <w:bottom w:w="28" w:type="dxa"/>
            </w:tcMar>
            <w:vAlign w:val="bottom"/>
          </w:tcPr>
          <w:p>
            <w:pPr>
              <w:pStyle w:val="TableContents"/>
              <w:bidi w:val="0"/>
              <w:spacing w:before="0" w:after="283"/>
              <w:jc w:val="left"/>
              <w:rPr/>
            </w:pPr>
            <w:r>
              <w:rPr/>
              <w:t> </w:t>
            </w:r>
          </w:p>
        </w:tc>
        <w:tc>
          <w:tcPr>
            <w:tcW w:w="69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9" w:type="dxa"/>
            <w:tcBorders>
              <w:bottom w:val="single" w:sz="12" w:space="0" w:color="000000"/>
            </w:tcBorders>
            <w:tcMar>
              <w:bottom w:w="28" w:type="dxa"/>
            </w:tcMar>
            <w:vAlign w:val="bottom"/>
          </w:tcPr>
          <w:p>
            <w:pPr>
              <w:pStyle w:val="TableContents"/>
              <w:bidi w:val="0"/>
              <w:spacing w:before="0" w:after="283"/>
              <w:jc w:val="left"/>
              <w:rPr/>
            </w:pPr>
            <w:r>
              <w:rPr/>
              <w:t> </w:t>
            </w:r>
          </w:p>
        </w:tc>
        <w:tc>
          <w:tcPr>
            <w:tcW w:w="74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bottom w:val="single" w:sz="12" w:space="0" w:color="000000"/>
            </w:tcBorders>
            <w:tcMar>
              <w:bottom w:w="28" w:type="dxa"/>
            </w:tcMar>
            <w:vAlign w:val="bottom"/>
          </w:tcPr>
          <w:p>
            <w:pPr>
              <w:pStyle w:val="TableContents"/>
              <w:bidi w:val="0"/>
              <w:spacing w:before="0" w:after="283"/>
              <w:jc w:val="left"/>
              <w:rPr/>
            </w:pPr>
            <w:r>
              <w:rPr/>
              <w:t> </w:t>
            </w:r>
          </w:p>
        </w:tc>
        <w:tc>
          <w:tcPr>
            <w:tcW w:w="69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 w:type="dxa"/>
            <w:tcBorders>
              <w:bottom w:val="single" w:sz="12" w:space="0" w:color="000000"/>
            </w:tcBorders>
            <w:tcMar>
              <w:bottom w:w="28" w:type="dxa"/>
            </w:tcMar>
            <w:vAlign w:val="bottom"/>
          </w:tcPr>
          <w:p>
            <w:pPr>
              <w:pStyle w:val="TableContents"/>
              <w:bidi w:val="0"/>
              <w:spacing w:before="0" w:after="283"/>
              <w:jc w:val="left"/>
              <w:rPr/>
            </w:pPr>
            <w:r>
              <w:rPr/>
              <w:t> </w:t>
            </w:r>
          </w:p>
        </w:tc>
        <w:tc>
          <w:tcPr>
            <w:tcW w:w="69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2" w:type="dxa"/>
            <w:tcBorders>
              <w:bottom w:val="single" w:sz="12" w:space="0" w:color="000000"/>
            </w:tcBorders>
            <w:tcMar>
              <w:bottom w:w="28" w:type="dxa"/>
            </w:tcMar>
            <w:vAlign w:val="bottom"/>
          </w:tcPr>
          <w:p>
            <w:pPr>
              <w:pStyle w:val="TableContents"/>
              <w:bidi w:val="0"/>
              <w:spacing w:before="0" w:after="283"/>
              <w:jc w:val="left"/>
              <w:rPr/>
            </w:pPr>
            <w:r>
              <w:rPr/>
              <w:t> </w:t>
            </w:r>
          </w:p>
        </w:tc>
        <w:tc>
          <w:tcPr>
            <w:tcW w:w="70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0"/>
              <w:jc w:val="right"/>
              <w:rPr>
                <w:color w:val="000000"/>
              </w:rPr>
            </w:pPr>
            <w:r>
              <w:rPr>
                <w:color w:val="000000"/>
              </w:rPr>
              <w:t>—</w:t>
            </w:r>
          </w:p>
        </w:tc>
        <w:tc>
          <w:tcPr>
            <w:tcW w:w="290" w:type="dxa"/>
            <w:tcBorders/>
            <w:vAlign w:val="bottom"/>
          </w:tcPr>
          <w:p>
            <w:pPr>
              <w:pStyle w:val="TableContents"/>
              <w:bidi w:val="0"/>
              <w:spacing w:before="0" w:after="283"/>
              <w:jc w:val="left"/>
              <w:rPr/>
            </w:pPr>
            <w:r>
              <w:rPr/>
              <w:t> </w:t>
            </w:r>
          </w:p>
        </w:tc>
      </w:tr>
      <w:tr>
        <w:trPr/>
        <w:tc>
          <w:tcPr>
            <w:tcW w:w="1136"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7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0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4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0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9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0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4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0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9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0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9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1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0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0"/>
              <w:jc w:val="right"/>
              <w:rPr>
                <w:color w:val="000000"/>
              </w:rPr>
            </w:pPr>
            <w:r>
              <w:rPr>
                <w:color w:val="000000"/>
              </w:rPr>
              <w:t>0.01</w:t>
            </w:r>
          </w:p>
        </w:tc>
        <w:tc>
          <w:tcPr>
            <w:tcW w:w="290"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presents the financial effects of the loan modifications presented above to borrowers experiencing financial difficulty for each of the three months ended March 31, 2026 and 2025 (dollars in thousands):</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65" w:name="zcea5eb0e40504683a86c27053339ac9d"/>
      <w:bookmarkStart w:id="66" w:name="zcea5eb0e40504683a86c27053339ac9d"/>
      <w:bookmarkEnd w:id="66"/>
    </w:p>
    <w:tbl>
      <w:tblPr>
        <w:tblW w:w="6253" w:type="dxa"/>
        <w:jc w:val="center"/>
        <w:tblInd w:w="0" w:type="dxa"/>
        <w:tblLayout w:type="fixed"/>
        <w:tblCellMar>
          <w:top w:w="0" w:type="dxa"/>
          <w:left w:w="0" w:type="dxa"/>
          <w:bottom w:w="0" w:type="dxa"/>
          <w:right w:w="0" w:type="dxa"/>
        </w:tblCellMar>
      </w:tblPr>
      <w:tblGrid>
        <w:gridCol w:w="2450"/>
        <w:gridCol w:w="90"/>
        <w:gridCol w:w="426"/>
        <w:gridCol w:w="1378"/>
        <w:gridCol w:w="90"/>
        <w:gridCol w:w="90"/>
        <w:gridCol w:w="376"/>
        <w:gridCol w:w="1218"/>
        <w:gridCol w:w="135"/>
      </w:tblGrid>
      <w:tr>
        <w:trPr/>
        <w:tc>
          <w:tcPr>
            <w:tcW w:w="24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0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 xml:space="preserve">Average Interest </w:t>
            </w:r>
          </w:p>
          <w:p>
            <w:pPr>
              <w:pStyle w:val="TableContents"/>
              <w:bidi w:val="0"/>
              <w:spacing w:before="0" w:after="0"/>
              <w:jc w:val="center"/>
              <w:rPr>
                <w:b/>
                <w:color w:val="000000"/>
              </w:rPr>
            </w:pPr>
            <w:r>
              <w:rPr>
                <w:b/>
                <w:color w:val="000000"/>
              </w:rPr>
              <w:t>Rate Reduction</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9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 xml:space="preserve">Average Term </w:t>
            </w:r>
          </w:p>
          <w:p>
            <w:pPr>
              <w:pStyle w:val="TableContents"/>
              <w:bidi w:val="0"/>
              <w:spacing w:before="0" w:after="0"/>
              <w:jc w:val="center"/>
              <w:rPr>
                <w:b/>
                <w:color w:val="000000"/>
              </w:rPr>
            </w:pPr>
            <w:r>
              <w:rPr>
                <w:b/>
                <w:color w:val="000000"/>
              </w:rPr>
              <w:t>Extension</w:t>
            </w:r>
          </w:p>
          <w:p>
            <w:pPr>
              <w:pStyle w:val="TableContents"/>
              <w:bidi w:val="0"/>
              <w:spacing w:before="0" w:after="0"/>
              <w:jc w:val="center"/>
              <w:rPr>
                <w:b/>
                <w:color w:val="000000"/>
              </w:rPr>
            </w:pPr>
            <w:r>
              <w:rPr>
                <w:b/>
                <w:color w:val="000000"/>
              </w:rPr>
              <w:t>(Months)</w:t>
            </w:r>
          </w:p>
        </w:tc>
        <w:tc>
          <w:tcPr>
            <w:tcW w:w="135" w:type="dxa"/>
            <w:tcBorders/>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jc w:val="left"/>
              <w:rPr>
                <w:color w:val="000000"/>
                <w:u w:val="single"/>
              </w:rPr>
            </w:pPr>
            <w:r>
              <w:rPr>
                <w:color w:val="000000"/>
                <w:u w:val="single"/>
              </w:rPr>
              <w:t>March 31, 2026</w:t>
            </w:r>
          </w:p>
        </w:tc>
        <w:tc>
          <w:tcPr>
            <w:tcW w:w="90" w:type="dxa"/>
            <w:tcBorders/>
            <w:vAlign w:val="bottom"/>
          </w:tcPr>
          <w:p>
            <w:pPr>
              <w:pStyle w:val="TableContents"/>
              <w:bidi w:val="0"/>
              <w:spacing w:before="0" w:after="283"/>
              <w:jc w:val="left"/>
              <w:rPr/>
            </w:pPr>
            <w:r>
              <w:rPr/>
              <w:t> </w:t>
            </w:r>
          </w:p>
        </w:tc>
        <w:tc>
          <w:tcPr>
            <w:tcW w:w="180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94"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144" w:right="0" w:hanging="144"/>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44" w:right="0" w:hanging="144"/>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37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0"/>
              <w:jc w:val="right"/>
              <w:rPr>
                <w:color w:val="000000"/>
              </w:rPr>
            </w:pPr>
            <w:r>
              <w:rPr>
                <w:color w:val="000000"/>
              </w:rPr>
              <w:t>4</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144" w:right="0" w:hanging="144"/>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0"/>
              <w:jc w:val="right"/>
              <w:rPr>
                <w:color w:val="000000"/>
              </w:rPr>
            </w:pPr>
            <w:r>
              <w:rPr>
                <w:color w:val="000000"/>
              </w:rPr>
              <w:t>13</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44" w:right="0" w:hanging="144"/>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37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288" w:right="0" w:hanging="144"/>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0"/>
              <w:jc w:val="right"/>
              <w:rPr>
                <w:color w:val="000000"/>
              </w:rPr>
            </w:pPr>
            <w:r>
              <w:rPr>
                <w:color w:val="000000"/>
              </w:rPr>
              <w:t>45</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288" w:right="0" w:hanging="144"/>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37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288" w:right="0" w:hanging="144"/>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44" w:right="0" w:hanging="144"/>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37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0"/>
              <w:jc w:val="right"/>
              <w:rPr>
                <w:color w:val="000000"/>
              </w:rPr>
            </w:pPr>
            <w:r>
              <w:rPr>
                <w:color w:val="000000"/>
              </w:rPr>
              <w:t>8</w:t>
            </w:r>
          </w:p>
        </w:tc>
        <w:tc>
          <w:tcPr>
            <w:tcW w:w="135" w:type="dxa"/>
            <w:tcBorders/>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67" w:name="z067312a21c534b11af09aa4a3a27f1cf"/>
      <w:bookmarkStart w:id="68" w:name="z067312a21c534b11af09aa4a3a27f1cf"/>
      <w:bookmarkEnd w:id="68"/>
    </w:p>
    <w:tbl>
      <w:tblPr>
        <w:tblW w:w="3615" w:type="dxa"/>
        <w:jc w:val="center"/>
        <w:tblInd w:w="0" w:type="dxa"/>
        <w:tblLayout w:type="fixed"/>
        <w:tblCellMar>
          <w:top w:w="0" w:type="dxa"/>
          <w:left w:w="0" w:type="dxa"/>
          <w:bottom w:w="0" w:type="dxa"/>
          <w:right w:w="0" w:type="dxa"/>
        </w:tblCellMar>
      </w:tblPr>
      <w:tblGrid>
        <w:gridCol w:w="2450"/>
        <w:gridCol w:w="90"/>
        <w:gridCol w:w="90"/>
        <w:gridCol w:w="290"/>
        <w:gridCol w:w="90"/>
        <w:gridCol w:w="90"/>
        <w:gridCol w:w="90"/>
        <w:gridCol w:w="290"/>
        <w:gridCol w:w="135"/>
      </w:tblGrid>
      <w:tr>
        <w:trPr/>
        <w:tc>
          <w:tcPr>
            <w:tcW w:w="2450" w:type="dxa"/>
            <w:tcBorders/>
            <w:vAlign w:val="bottom"/>
          </w:tcPr>
          <w:p>
            <w:pPr>
              <w:pStyle w:val="TableContents"/>
              <w:bidi w:val="0"/>
              <w:spacing w:before="0" w:after="0"/>
              <w:jc w:val="left"/>
              <w:rPr>
                <w:color w:val="000000"/>
                <w:u w:val="single"/>
              </w:rPr>
            </w:pPr>
            <w:r>
              <w:rPr>
                <w:color w:val="000000"/>
                <w:u w:val="single"/>
              </w:rPr>
              <w:t>March 31, 2025</w:t>
            </w:r>
          </w:p>
        </w:tc>
        <w:tc>
          <w:tcPr>
            <w:tcW w:w="90" w:type="dxa"/>
            <w:tcBorders/>
            <w:vAlign w:val="bottom"/>
          </w:tcPr>
          <w:p>
            <w:pPr>
              <w:pStyle w:val="TableContents"/>
              <w:bidi w:val="0"/>
              <w:spacing w:before="0" w:after="283"/>
              <w:jc w:val="left"/>
              <w:rPr/>
            </w:pPr>
            <w:r>
              <w:rPr/>
              <w:t> </w:t>
            </w:r>
          </w:p>
        </w:tc>
        <w:tc>
          <w:tcPr>
            <w:tcW w:w="3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8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144" w:right="0" w:hanging="144"/>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44" w:right="0" w:hanging="144"/>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144" w:right="0" w:hanging="144"/>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0"/>
              <w:jc w:val="right"/>
              <w:rPr>
                <w:color w:val="000000"/>
              </w:rPr>
            </w:pPr>
            <w:r>
              <w:rPr>
                <w:color w:val="000000"/>
              </w:rPr>
              <w:t>36</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44" w:right="0" w:hanging="144"/>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288" w:right="0" w:hanging="144"/>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288" w:right="0" w:hanging="144"/>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288" w:right="0" w:hanging="144"/>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44" w:right="0" w:hanging="144"/>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closely monitors the performance of loans that are modified to borrowers experiencing financial difficulty to understand the effectiveness of its modification efforts. The following table presents the performance of such loans that have been modified in the last twelve months at the dates indicated (dollars in thousands):</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69" w:name="z5fb9d23823e04d529517c1b58439eab2"/>
      <w:bookmarkStart w:id="70" w:name="z5fb9d23823e04d529517c1b58439eab2"/>
      <w:bookmarkEnd w:id="70"/>
    </w:p>
    <w:tbl>
      <w:tblPr>
        <w:tblW w:w="7658" w:type="dxa"/>
        <w:jc w:val="center"/>
        <w:tblInd w:w="0" w:type="dxa"/>
        <w:tblLayout w:type="fixed"/>
        <w:tblCellMar>
          <w:top w:w="0" w:type="dxa"/>
          <w:left w:w="0" w:type="dxa"/>
          <w:bottom w:w="0" w:type="dxa"/>
          <w:right w:w="0" w:type="dxa"/>
        </w:tblCellMar>
      </w:tblPr>
      <w:tblGrid>
        <w:gridCol w:w="2450"/>
        <w:gridCol w:w="90"/>
        <w:gridCol w:w="199"/>
        <w:gridCol w:w="691"/>
        <w:gridCol w:w="90"/>
        <w:gridCol w:w="90"/>
        <w:gridCol w:w="344"/>
        <w:gridCol w:w="830"/>
        <w:gridCol w:w="90"/>
        <w:gridCol w:w="90"/>
        <w:gridCol w:w="422"/>
        <w:gridCol w:w="722"/>
        <w:gridCol w:w="90"/>
        <w:gridCol w:w="90"/>
        <w:gridCol w:w="276"/>
        <w:gridCol w:w="959"/>
        <w:gridCol w:w="135"/>
      </w:tblGrid>
      <w:tr>
        <w:trPr/>
        <w:tc>
          <w:tcPr>
            <w:tcW w:w="24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Current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30-89 Days</w:t>
            </w:r>
          </w:p>
          <w:p>
            <w:pPr>
              <w:pStyle w:val="TableContents"/>
              <w:bidi w:val="0"/>
              <w:spacing w:before="0" w:after="0"/>
              <w:jc w:val="center"/>
              <w:rPr>
                <w:b/>
                <w:color w:val="000000"/>
              </w:rPr>
            </w:pPr>
            <w:r>
              <w:rPr>
                <w:b/>
                <w:color w:val="000000"/>
              </w:rPr>
              <w:t>Past Due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90 Days or</w:t>
            </w:r>
          </w:p>
          <w:p>
            <w:pPr>
              <w:pStyle w:val="TableContents"/>
              <w:bidi w:val="0"/>
              <w:spacing w:before="0" w:after="0"/>
              <w:jc w:val="center"/>
              <w:rPr>
                <w:b/>
                <w:color w:val="000000"/>
              </w:rPr>
            </w:pPr>
            <w:r>
              <w:rPr>
                <w:b/>
                <w:color w:val="000000"/>
              </w:rPr>
              <w:t>More Past</w:t>
            </w:r>
          </w:p>
          <w:p>
            <w:pPr>
              <w:pStyle w:val="TableContents"/>
              <w:bidi w:val="0"/>
              <w:spacing w:before="0" w:after="0"/>
              <w:jc w:val="center"/>
              <w:rPr>
                <w:b/>
                <w:color w:val="000000"/>
              </w:rPr>
            </w:pPr>
            <w:r>
              <w:rPr>
                <w:b/>
                <w:color w:val="000000"/>
              </w:rPr>
              <w:t>Due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Nonaccrual</w:t>
            </w:r>
          </w:p>
        </w:tc>
        <w:tc>
          <w:tcPr>
            <w:tcW w:w="135" w:type="dxa"/>
            <w:tcBorders/>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44" w:right="0" w:hanging="144"/>
              <w:jc w:val="left"/>
              <w:rPr>
                <w:color w:val="000000"/>
                <w:u w:val="single"/>
              </w:rPr>
            </w:pPr>
            <w:r>
              <w:rPr>
                <w:color w:val="000000"/>
                <w:u w:val="single"/>
              </w:rPr>
              <w:t>March 31, 2026</w:t>
            </w:r>
          </w:p>
        </w:tc>
        <w:tc>
          <w:tcPr>
            <w:tcW w:w="90"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7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5"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144" w:right="0" w:hanging="144"/>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0"/>
              <w:jc w:val="left"/>
              <w:rPr>
                <w:color w:val="000000"/>
              </w:rPr>
            </w:pPr>
            <w:r>
              <w:rPr>
                <w:color w:val="000000"/>
              </w:rPr>
              <w:t>$</w:t>
            </w:r>
          </w:p>
        </w:tc>
        <w:tc>
          <w:tcPr>
            <w:tcW w:w="69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0"/>
              <w:jc w:val="left"/>
              <w:rPr>
                <w:color w:val="000000"/>
              </w:rPr>
            </w:pPr>
            <w:r>
              <w:rPr>
                <w:color w:val="000000"/>
              </w:rPr>
              <w:t>$</w:t>
            </w:r>
          </w:p>
        </w:tc>
        <w:tc>
          <w:tcPr>
            <w:tcW w:w="72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0"/>
              <w:jc w:val="left"/>
              <w:rPr>
                <w:color w:val="000000"/>
              </w:rPr>
            </w:pPr>
            <w:r>
              <w:rPr>
                <w:color w:val="000000"/>
              </w:rPr>
              <w:t>$</w:t>
            </w:r>
          </w:p>
        </w:tc>
        <w:tc>
          <w:tcPr>
            <w:tcW w:w="959" w:type="dxa"/>
            <w:tcBorders/>
            <w:shd w:fill="CCEEFF" w:val="clear"/>
            <w:vAlign w:val="bottom"/>
          </w:tcPr>
          <w:p>
            <w:pPr>
              <w:pStyle w:val="TableContents"/>
              <w:bidi w:val="0"/>
              <w:spacing w:before="0" w:after="0"/>
              <w:jc w:val="right"/>
              <w:rPr>
                <w:color w:val="000000"/>
              </w:rPr>
            </w:pPr>
            <w:r>
              <w:rPr>
                <w:color w:val="000000"/>
              </w:rPr>
              <w:t>124</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44" w:right="0" w:hanging="144"/>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0"/>
              <w:jc w:val="right"/>
              <w:rPr>
                <w:color w:val="000000"/>
              </w:rPr>
            </w:pPr>
            <w:r>
              <w:rPr>
                <w:color w:val="000000"/>
              </w:rPr>
              <w:t>638</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144" w:right="0" w:hanging="144"/>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0"/>
              <w:jc w:val="right"/>
              <w:rPr>
                <w:color w:val="000000"/>
              </w:rPr>
            </w:pPr>
            <w:r>
              <w:rPr>
                <w:color w:val="000000"/>
              </w:rPr>
              <w:t>694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0"/>
              <w:jc w:val="right"/>
              <w:rPr>
                <w:color w:val="000000"/>
              </w:rPr>
            </w:pPr>
            <w:r>
              <w:rPr>
                <w:color w:val="000000"/>
              </w:rPr>
              <w:t>423</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44" w:right="0" w:hanging="144"/>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288" w:right="0" w:hanging="144"/>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0"/>
              <w:jc w:val="right"/>
              <w:rPr>
                <w:color w:val="000000"/>
              </w:rPr>
            </w:pPr>
            <w:r>
              <w:rPr>
                <w:color w:val="000000"/>
              </w:rPr>
              <w:t>138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0"/>
              <w:jc w:val="right"/>
              <w:rPr>
                <w:color w:val="000000"/>
              </w:rPr>
            </w:pPr>
            <w:r>
              <w:rPr>
                <w:color w:val="000000"/>
              </w:rPr>
              <w:t>141</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288" w:right="0" w:hanging="144"/>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0"/>
              <w:jc w:val="right"/>
              <w:rPr>
                <w:color w:val="000000"/>
              </w:rPr>
            </w:pPr>
            <w:r>
              <w:rPr>
                <w:color w:val="000000"/>
              </w:rPr>
              <w:t>58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288" w:right="0" w:hanging="144"/>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0"/>
              <w:jc w:val="right"/>
              <w:rPr>
                <w:color w:val="000000"/>
              </w:rPr>
            </w:pPr>
            <w:r>
              <w:rPr>
                <w:color w:val="000000"/>
              </w:rPr>
              <w:t>12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44" w:right="0" w:hanging="144"/>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199" w:type="dxa"/>
            <w:tcBorders>
              <w:bottom w:val="single" w:sz="12" w:space="0" w:color="000000"/>
            </w:tcBorders>
            <w:tcMar>
              <w:bottom w:w="28" w:type="dxa"/>
            </w:tcMar>
            <w:vAlign w:val="bottom"/>
          </w:tcPr>
          <w:p>
            <w:pPr>
              <w:pStyle w:val="TableContents"/>
              <w:bidi w:val="0"/>
              <w:spacing w:before="0" w:after="283"/>
              <w:jc w:val="left"/>
              <w:rPr/>
            </w:pPr>
            <w:r>
              <w:rPr/>
              <w:t> </w:t>
            </w:r>
          </w:p>
        </w:tc>
        <w:tc>
          <w:tcPr>
            <w:tcW w:w="69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529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4"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2" w:type="dxa"/>
            <w:tcBorders>
              <w:bottom w:val="single" w:sz="12" w:space="0" w:color="000000"/>
            </w:tcBorders>
            <w:tcMar>
              <w:bottom w:w="28" w:type="dxa"/>
            </w:tcMar>
            <w:vAlign w:val="bottom"/>
          </w:tcPr>
          <w:p>
            <w:pPr>
              <w:pStyle w:val="TableContents"/>
              <w:bidi w:val="0"/>
              <w:spacing w:before="0" w:after="283"/>
              <w:jc w:val="left"/>
              <w:rPr/>
            </w:pPr>
            <w:r>
              <w:rPr/>
              <w:t> </w:t>
            </w:r>
          </w:p>
        </w:tc>
        <w:tc>
          <w:tcPr>
            <w:tcW w:w="72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 w:type="dxa"/>
            <w:tcBorders>
              <w:bottom w:val="single" w:sz="12" w:space="0" w:color="000000"/>
            </w:tcBorders>
            <w:tcMar>
              <w:bottom w:w="28" w:type="dxa"/>
            </w:tcMar>
            <w:vAlign w:val="bottom"/>
          </w:tcPr>
          <w:p>
            <w:pPr>
              <w:pStyle w:val="TableContents"/>
              <w:bidi w:val="0"/>
              <w:spacing w:before="0" w:after="283"/>
              <w:jc w:val="left"/>
              <w:rPr/>
            </w:pPr>
            <w:r>
              <w:rPr/>
              <w:t> </w:t>
            </w:r>
          </w:p>
        </w:tc>
        <w:tc>
          <w:tcPr>
            <w:tcW w:w="95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607</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9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1,431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140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2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5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1,933</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71" w:name="z6ae75a2fbab64ab891b1c657113094b7"/>
      <w:bookmarkStart w:id="72" w:name="z6ae75a2fbab64ab891b1c657113094b7"/>
      <w:bookmarkEnd w:id="72"/>
    </w:p>
    <w:tbl>
      <w:tblPr>
        <w:tblW w:w="5595" w:type="dxa"/>
        <w:jc w:val="center"/>
        <w:tblInd w:w="0" w:type="dxa"/>
        <w:tblLayout w:type="fixed"/>
        <w:tblCellMar>
          <w:top w:w="0" w:type="dxa"/>
          <w:left w:w="0" w:type="dxa"/>
          <w:bottom w:w="0" w:type="dxa"/>
          <w:right w:w="0" w:type="dxa"/>
        </w:tblCellMar>
      </w:tblPr>
      <w:tblGrid>
        <w:gridCol w:w="2450"/>
        <w:gridCol w:w="90"/>
        <w:gridCol w:w="170"/>
        <w:gridCol w:w="590"/>
        <w:gridCol w:w="90"/>
        <w:gridCol w:w="90"/>
        <w:gridCol w:w="170"/>
        <w:gridCol w:w="410"/>
        <w:gridCol w:w="90"/>
        <w:gridCol w:w="90"/>
        <w:gridCol w:w="170"/>
        <w:gridCol w:w="290"/>
        <w:gridCol w:w="90"/>
        <w:gridCol w:w="90"/>
        <w:gridCol w:w="170"/>
        <w:gridCol w:w="410"/>
        <w:gridCol w:w="135"/>
      </w:tblGrid>
      <w:tr>
        <w:trPr/>
        <w:tc>
          <w:tcPr>
            <w:tcW w:w="2450" w:type="dxa"/>
            <w:tcBorders/>
            <w:vAlign w:val="bottom"/>
          </w:tcPr>
          <w:p>
            <w:pPr>
              <w:pStyle w:val="TableContents"/>
              <w:bidi w:val="0"/>
              <w:spacing w:before="0" w:after="0"/>
              <w:ind w:left="144" w:right="0" w:hanging="144"/>
              <w:jc w:val="left"/>
              <w:rPr>
                <w:color w:val="000000"/>
                <w:u w:val="single"/>
              </w:rPr>
            </w:pPr>
            <w:r>
              <w:rPr>
                <w:color w:val="000000"/>
                <w:u w:val="single"/>
              </w:rPr>
              <w:t>March 31, 2025</w:t>
            </w:r>
          </w:p>
        </w:tc>
        <w:tc>
          <w:tcPr>
            <w:tcW w:w="90" w:type="dxa"/>
            <w:tcBorders/>
            <w:vAlign w:val="bottom"/>
          </w:tcPr>
          <w:p>
            <w:pPr>
              <w:pStyle w:val="TableContents"/>
              <w:bidi w:val="0"/>
              <w:spacing w:before="0" w:after="283"/>
              <w:jc w:val="left"/>
              <w:rPr/>
            </w:pPr>
            <w:r>
              <w:rPr/>
              <w:t> </w:t>
            </w:r>
          </w:p>
        </w:tc>
        <w:tc>
          <w:tcPr>
            <w:tcW w:w="7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8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144" w:right="0" w:hanging="144"/>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90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410" w:type="dxa"/>
            <w:tcBorders/>
            <w:shd w:fill="CCEEFF" w:val="clear"/>
            <w:vAlign w:val="bottom"/>
          </w:tcPr>
          <w:p>
            <w:pPr>
              <w:pStyle w:val="TableContents"/>
              <w:bidi w:val="0"/>
              <w:spacing w:before="0" w:after="0"/>
              <w:jc w:val="right"/>
              <w:rPr>
                <w:color w:val="000000"/>
              </w:rPr>
            </w:pPr>
            <w:r>
              <w:rPr>
                <w:color w:val="000000"/>
              </w:rPr>
              <w:t>46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29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410" w:type="dxa"/>
            <w:tcBorders/>
            <w:shd w:fill="CCEEFF" w:val="clear"/>
            <w:vAlign w:val="bottom"/>
          </w:tcPr>
          <w:p>
            <w:pPr>
              <w:pStyle w:val="TableContents"/>
              <w:bidi w:val="0"/>
              <w:spacing w:before="0" w:after="0"/>
              <w:jc w:val="right"/>
              <w:rPr>
                <w:color w:val="000000"/>
              </w:rPr>
            </w:pPr>
            <w:r>
              <w:rPr>
                <w:color w:val="000000"/>
              </w:rPr>
              <w:t>336</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44" w:right="0" w:hanging="144"/>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right"/>
              <w:rPr>
                <w:color w:val="000000"/>
              </w:rPr>
            </w:pPr>
            <w:r>
              <w:rPr>
                <w:color w:val="000000"/>
              </w:rPr>
              <w:t>12</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144" w:right="0" w:hanging="144"/>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607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color w:val="000000"/>
              </w:rPr>
            </w:pPr>
            <w:r>
              <w:rPr>
                <w:color w:val="000000"/>
              </w:rPr>
              <w:t>172</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44" w:right="0" w:hanging="144"/>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288" w:right="0" w:hanging="144"/>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1,025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color w:val="000000"/>
              </w:rPr>
            </w:pPr>
            <w:r>
              <w:rPr>
                <w:color w:val="000000"/>
              </w:rPr>
              <w:t>238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0"/>
              <w:jc w:val="right"/>
              <w:rPr>
                <w:color w:val="000000"/>
              </w:rPr>
            </w:pPr>
            <w:r>
              <w:rPr>
                <w:color w:val="000000"/>
              </w:rPr>
              <w:t>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288" w:right="0" w:hanging="144"/>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288" w:right="0" w:hanging="144"/>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44" w:right="0" w:hanging="144"/>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4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2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4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141</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1,722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4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284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2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4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661</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an ongoing basis, the performance of modified loans is monitored for subsequent payment default. Payment default is defined as movement to nonperforming status, foreclosure, or charge-off. During the three months ended March 31, 2026, the Company had three loans made to borrowers experiencing financial difficulty totaling $577 thousand that were modified during the last twelve months that subsequently defaulted. During the three months ended March 31, 2025, the Company had three loans made to borrowers experiencing financial difficulty totaling $141 thousand that were modified during the last twelve months that subsequently defaulted.</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Upon the Company’s determination that a modified loan has subsequently been deemed to not be fully collectible, the uncollectible amount is written off. Therefore, the amortized cost basis of the loan is reduced by the uncollectible amount and the allowance for credit losses is adjusted by the same amount.</w:t>
      </w:r>
    </w:p>
    <w:p>
      <w:pPr>
        <w:pStyle w:val="TextBody"/>
        <w:bidi w:val="0"/>
        <w:spacing w:before="0" w:after="0"/>
        <w:jc w:val="center"/>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5. GOODWILL AND INTANGIBLES</w:t>
      </w:r>
    </w:p>
    <w:p>
      <w:pPr>
        <w:pStyle w:val="TextBody"/>
        <w:bidi w:val="0"/>
        <w:spacing w:before="0" w:after="0"/>
        <w:jc w:val="center"/>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Company had goodwill of $19.3 million at March 31, 2026 and December 31, 2025.</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Other intangible assets, which consisted of core deposit intangibles at the dates indicated are summarized below (dollars in thousands):</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73" w:name="z77514ab84a094cb3b37822cd1dce7d87"/>
      <w:bookmarkStart w:id="74" w:name="z77514ab84a094cb3b37822cd1dce7d87"/>
      <w:bookmarkEnd w:id="74"/>
    </w:p>
    <w:tbl>
      <w:tblPr>
        <w:tblW w:w="7208" w:type="dxa"/>
        <w:jc w:val="center"/>
        <w:tblInd w:w="0" w:type="dxa"/>
        <w:tblLayout w:type="fixed"/>
        <w:tblCellMar>
          <w:top w:w="0" w:type="dxa"/>
          <w:left w:w="0" w:type="dxa"/>
          <w:bottom w:w="0" w:type="dxa"/>
          <w:right w:w="0" w:type="dxa"/>
        </w:tblCellMar>
      </w:tblPr>
      <w:tblGrid>
        <w:gridCol w:w="3110"/>
        <w:gridCol w:w="90"/>
        <w:gridCol w:w="333"/>
        <w:gridCol w:w="1306"/>
        <w:gridCol w:w="125"/>
        <w:gridCol w:w="90"/>
        <w:gridCol w:w="402"/>
        <w:gridCol w:w="1582"/>
        <w:gridCol w:w="170"/>
      </w:tblGrid>
      <w:tr>
        <w:trPr/>
        <w:tc>
          <w:tcPr>
            <w:tcW w:w="3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March 31, 2026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8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2025</w:t>
            </w:r>
          </w:p>
        </w:tc>
        <w:tc>
          <w:tcPr>
            <w:tcW w:w="170" w:type="dxa"/>
            <w:tcBorders/>
            <w:vAlign w:val="bottom"/>
          </w:tcPr>
          <w:p>
            <w:pPr>
              <w:pStyle w:val="TableContents"/>
              <w:bidi w:val="0"/>
              <w:spacing w:before="0" w:after="283"/>
              <w:jc w:val="left"/>
              <w:rPr/>
            </w:pPr>
            <w:r>
              <w:rPr/>
              <w:t> </w:t>
            </w:r>
          </w:p>
        </w:tc>
      </w:tr>
      <w:tr>
        <w:trPr/>
        <w:tc>
          <w:tcPr>
            <w:tcW w:w="3110" w:type="dxa"/>
            <w:tcBorders/>
            <w:vAlign w:val="bottom"/>
          </w:tcPr>
          <w:p>
            <w:pPr>
              <w:pStyle w:val="TableContents"/>
              <w:bidi w:val="0"/>
              <w:spacing w:before="0" w:after="0"/>
              <w:ind w:left="144" w:right="0" w:hanging="144"/>
              <w:jc w:val="left"/>
              <w:rPr>
                <w:color w:val="000000"/>
              </w:rPr>
            </w:pPr>
            <w:r>
              <w:rPr>
                <w:color w:val="000000"/>
              </w:rPr>
              <w:t>Amortized intangible assets:</w:t>
            </w:r>
          </w:p>
        </w:tc>
        <w:tc>
          <w:tcPr>
            <w:tcW w:w="90" w:type="dxa"/>
            <w:tcBorders/>
            <w:vAlign w:val="bottom"/>
          </w:tcPr>
          <w:p>
            <w:pPr>
              <w:pStyle w:val="TableContents"/>
              <w:bidi w:val="0"/>
              <w:spacing w:before="0" w:after="283"/>
              <w:jc w:val="left"/>
              <w:rPr/>
            </w:pPr>
            <w:r>
              <w:rPr/>
              <w:t> </w:t>
            </w:r>
          </w:p>
        </w:tc>
        <w:tc>
          <w:tcPr>
            <w:tcW w:w="1639"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84" w:type="dxa"/>
            <w:gridSpan w:val="2"/>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r>
      <w:tr>
        <w:trPr/>
        <w:tc>
          <w:tcPr>
            <w:tcW w:w="3110" w:type="dxa"/>
            <w:tcBorders/>
            <w:shd w:fill="CCEEFF" w:val="clear"/>
            <w:vAlign w:val="bottom"/>
          </w:tcPr>
          <w:p>
            <w:pPr>
              <w:pStyle w:val="TableContents"/>
              <w:bidi w:val="0"/>
              <w:spacing w:before="0" w:after="0"/>
              <w:jc w:val="left"/>
              <w:rPr>
                <w:color w:val="000000"/>
              </w:rPr>
            </w:pPr>
            <w:r>
              <w:rPr>
                <w:color w:val="000000"/>
              </w:rPr>
              <w:t>Core deposit intangible</w:t>
            </w:r>
          </w:p>
        </w:tc>
        <w:tc>
          <w:tcPr>
            <w:tcW w:w="9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0"/>
              <w:jc w:val="left"/>
              <w:rPr>
                <w:color w:val="000000"/>
              </w:rPr>
            </w:pPr>
            <w:r>
              <w:rPr>
                <w:color w:val="000000"/>
              </w:rPr>
              <w:t>$</w:t>
            </w:r>
          </w:p>
        </w:tc>
        <w:tc>
          <w:tcPr>
            <w:tcW w:w="1306" w:type="dxa"/>
            <w:tcBorders/>
            <w:shd w:fill="CCEEFF" w:val="clear"/>
            <w:vAlign w:val="bottom"/>
          </w:tcPr>
          <w:p>
            <w:pPr>
              <w:pStyle w:val="TableContents"/>
              <w:bidi w:val="0"/>
              <w:spacing w:before="0" w:after="0"/>
              <w:jc w:val="right"/>
              <w:rPr>
                <w:color w:val="000000"/>
              </w:rPr>
            </w:pPr>
            <w:r>
              <w:rPr>
                <w:color w:val="000000"/>
              </w:rPr>
              <w:t>6,679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0"/>
              <w:jc w:val="left"/>
              <w:rPr>
                <w:color w:val="000000"/>
              </w:rPr>
            </w:pPr>
            <w:r>
              <w:rPr>
                <w:color w:val="000000"/>
              </w:rPr>
              <w:t>$</w:t>
            </w:r>
          </w:p>
        </w:tc>
        <w:tc>
          <w:tcPr>
            <w:tcW w:w="1582" w:type="dxa"/>
            <w:tcBorders/>
            <w:shd w:fill="CCEEFF" w:val="clear"/>
            <w:vAlign w:val="bottom"/>
          </w:tcPr>
          <w:p>
            <w:pPr>
              <w:pStyle w:val="TableContents"/>
              <w:bidi w:val="0"/>
              <w:spacing w:before="0" w:after="0"/>
              <w:jc w:val="right"/>
              <w:rPr>
                <w:color w:val="000000"/>
              </w:rPr>
            </w:pPr>
            <w:r>
              <w:rPr>
                <w:color w:val="000000"/>
              </w:rPr>
              <w:t>6,679</w:t>
            </w:r>
          </w:p>
        </w:tc>
        <w:tc>
          <w:tcPr>
            <w:tcW w:w="170" w:type="dxa"/>
            <w:tcBorders/>
            <w:shd w:fill="CCEEFF" w:val="clear"/>
            <w:vAlign w:val="bottom"/>
          </w:tcPr>
          <w:p>
            <w:pPr>
              <w:pStyle w:val="TableContents"/>
              <w:bidi w:val="0"/>
              <w:spacing w:before="0" w:after="283"/>
              <w:jc w:val="left"/>
              <w:rPr/>
            </w:pPr>
            <w:r>
              <w:rPr/>
              <w:t> </w:t>
            </w:r>
          </w:p>
        </w:tc>
      </w:tr>
      <w:tr>
        <w:trPr/>
        <w:tc>
          <w:tcPr>
            <w:tcW w:w="3110" w:type="dxa"/>
            <w:tcBorders/>
            <w:vAlign w:val="bottom"/>
          </w:tcPr>
          <w:p>
            <w:pPr>
              <w:pStyle w:val="TableContents"/>
              <w:bidi w:val="0"/>
              <w:spacing w:before="0" w:after="0"/>
              <w:jc w:val="left"/>
              <w:rPr>
                <w:color w:val="000000"/>
              </w:rPr>
            </w:pPr>
            <w:r>
              <w:rPr>
                <w:color w:val="000000"/>
              </w:rPr>
              <w:t>Less: Accumulated amortization</w:t>
            </w:r>
          </w:p>
        </w:tc>
        <w:tc>
          <w:tcPr>
            <w:tcW w:w="90" w:type="dxa"/>
            <w:tcBorders/>
            <w:vAlign w:val="bottom"/>
          </w:tcPr>
          <w:p>
            <w:pPr>
              <w:pStyle w:val="TableContents"/>
              <w:bidi w:val="0"/>
              <w:spacing w:before="0" w:after="283"/>
              <w:jc w:val="left"/>
              <w:rPr/>
            </w:pPr>
            <w:r>
              <w:rPr/>
              <w:t> </w:t>
            </w:r>
          </w:p>
        </w:tc>
        <w:tc>
          <w:tcPr>
            <w:tcW w:w="333" w:type="dxa"/>
            <w:tcBorders>
              <w:bottom w:val="single" w:sz="12" w:space="0" w:color="000000"/>
            </w:tcBorders>
            <w:tcMar>
              <w:bottom w:w="28" w:type="dxa"/>
            </w:tcMar>
            <w:vAlign w:val="bottom"/>
          </w:tcPr>
          <w:p>
            <w:pPr>
              <w:pStyle w:val="TableContents"/>
              <w:bidi w:val="0"/>
              <w:spacing w:before="0" w:after="283"/>
              <w:jc w:val="left"/>
              <w:rPr/>
            </w:pPr>
            <w:r>
              <w:rPr/>
              <w:t> </w:t>
            </w:r>
          </w:p>
        </w:tc>
        <w:tc>
          <w:tcPr>
            <w:tcW w:w="130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(5,667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402" w:type="dxa"/>
            <w:tcBorders>
              <w:bottom w:val="single" w:sz="12" w:space="0" w:color="000000"/>
            </w:tcBorders>
            <w:tcMar>
              <w:bottom w:w="28" w:type="dxa"/>
            </w:tcMar>
            <w:vAlign w:val="bottom"/>
          </w:tcPr>
          <w:p>
            <w:pPr>
              <w:pStyle w:val="TableContents"/>
              <w:bidi w:val="0"/>
              <w:spacing w:before="0" w:after="283"/>
              <w:jc w:val="left"/>
              <w:rPr/>
            </w:pPr>
            <w:r>
              <w:rPr/>
              <w:t> </w:t>
            </w:r>
          </w:p>
        </w:tc>
        <w:tc>
          <w:tcPr>
            <w:tcW w:w="158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(5,546</w:t>
            </w:r>
          </w:p>
        </w:tc>
        <w:tc>
          <w:tcPr>
            <w:tcW w:w="170" w:type="dxa"/>
            <w:tcBorders/>
            <w:vAlign w:val="bottom"/>
          </w:tcPr>
          <w:p>
            <w:pPr>
              <w:pStyle w:val="TableContents"/>
              <w:bidi w:val="0"/>
              <w:spacing w:before="0" w:after="0"/>
              <w:jc w:val="left"/>
              <w:rPr>
                <w:color w:val="000000"/>
              </w:rPr>
            </w:pPr>
            <w:r>
              <w:rPr>
                <w:color w:val="000000"/>
              </w:rPr>
              <w:t>)</w:t>
            </w:r>
          </w:p>
        </w:tc>
      </w:tr>
      <w:tr>
        <w:trPr/>
        <w:tc>
          <w:tcPr>
            <w:tcW w:w="3110" w:type="dxa"/>
            <w:tcBorders/>
            <w:shd w:fill="CCEEFF" w:val="clear"/>
            <w:vAlign w:val="bottom"/>
          </w:tcPr>
          <w:p>
            <w:pPr>
              <w:pStyle w:val="TableContents"/>
              <w:bidi w:val="0"/>
              <w:spacing w:before="0" w:after="0"/>
              <w:jc w:val="left"/>
              <w:rPr>
                <w:color w:val="000000"/>
              </w:rPr>
            </w:pPr>
            <w:r>
              <w:rPr>
                <w:color w:val="000000"/>
              </w:rPr>
              <w:t>Other intangible assets, net</w:t>
            </w:r>
          </w:p>
        </w:tc>
        <w:tc>
          <w:tcPr>
            <w:tcW w:w="90" w:type="dxa"/>
            <w:tcBorders/>
            <w:shd w:fill="CCEEFF" w:val="clear"/>
            <w:vAlign w:val="bottom"/>
          </w:tcPr>
          <w:p>
            <w:pPr>
              <w:pStyle w:val="TableContents"/>
              <w:bidi w:val="0"/>
              <w:spacing w:before="0" w:after="283"/>
              <w:jc w:val="left"/>
              <w:rPr/>
            </w:pPr>
            <w:r>
              <w:rPr/>
              <w:t> </w:t>
            </w:r>
          </w:p>
        </w:tc>
        <w:tc>
          <w:tcPr>
            <w:tcW w:w="33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0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1,012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0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8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1,133</w:t>
            </w:r>
          </w:p>
        </w:tc>
        <w:tc>
          <w:tcPr>
            <w:tcW w:w="1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ind w:left="720" w:right="0" w:hanging="720"/>
        <w:jc w:val="both"/>
        <w:rPr>
          <w:rFonts w:ascii="Times New Roman" w:hAnsi="Times New Roman"/>
          <w:b/>
          <w:color w:val="000000"/>
          <w:sz w:val="20"/>
          <w:shd w:fill="FFFFFF" w:val="clear"/>
        </w:rPr>
      </w:pPr>
      <w:r>
        <w:rPr>
          <w:rFonts w:ascii="Times New Roman" w:hAnsi="Times New Roman"/>
          <w:b/>
          <w:color w:val="000000"/>
          <w:sz w:val="20"/>
          <w:shd w:fill="FFFFFF" w:val="clear"/>
        </w:rPr>
        <w:t>6. MORTGAGE SERVICING RIGHTS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reflects the changes in fair value of the Company’s mortgage servicing rights asset included in the Consolidated Balance Sheets, and other information related to the serviced portfolio, for the periods or dates presented (dollars in thousands):</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75" w:name="zd91b0d0326b84ef792c66a4c3eb30987"/>
      <w:bookmarkStart w:id="76" w:name="zd91b0d0326b84ef792c66a4c3eb30987"/>
      <w:bookmarkEnd w:id="76"/>
    </w:p>
    <w:tbl>
      <w:tblPr>
        <w:tblW w:w="4571" w:type="dxa"/>
        <w:jc w:val="center"/>
        <w:tblInd w:w="0" w:type="dxa"/>
        <w:tblLayout w:type="fixed"/>
        <w:tblCellMar>
          <w:top w:w="0" w:type="dxa"/>
          <w:left w:w="0" w:type="dxa"/>
          <w:bottom w:w="0" w:type="dxa"/>
          <w:right w:w="0" w:type="dxa"/>
        </w:tblCellMar>
      </w:tblPr>
      <w:tblGrid>
        <w:gridCol w:w="2075"/>
        <w:gridCol w:w="90"/>
        <w:gridCol w:w="196"/>
        <w:gridCol w:w="819"/>
        <w:gridCol w:w="103"/>
        <w:gridCol w:w="103"/>
        <w:gridCol w:w="196"/>
        <w:gridCol w:w="819"/>
        <w:gridCol w:w="170"/>
      </w:tblGrid>
      <w:tr>
        <w:trPr/>
        <w:tc>
          <w:tcPr>
            <w:tcW w:w="20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36"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w:t>
            </w:r>
          </w:p>
          <w:p>
            <w:pPr>
              <w:pStyle w:val="TableContents"/>
              <w:bidi w:val="0"/>
              <w:spacing w:before="0" w:after="0"/>
              <w:jc w:val="center"/>
              <w:rPr>
                <w:b/>
                <w:color w:val="000000"/>
              </w:rPr>
            </w:pPr>
            <w:r>
              <w:rPr>
                <w:b/>
                <w:color w:val="000000"/>
              </w:rPr>
              <w:t>March 31,</w:t>
            </w:r>
          </w:p>
        </w:tc>
        <w:tc>
          <w:tcPr>
            <w:tcW w:w="170" w:type="dxa"/>
            <w:tcBorders/>
            <w:vAlign w:val="bottom"/>
          </w:tcPr>
          <w:p>
            <w:pPr>
              <w:pStyle w:val="TableContents"/>
              <w:bidi w:val="0"/>
              <w:spacing w:before="0" w:after="283"/>
              <w:jc w:val="left"/>
              <w:rPr/>
            </w:pPr>
            <w:r>
              <w:rPr/>
              <w:t> </w:t>
            </w:r>
          </w:p>
        </w:tc>
      </w:tr>
      <w:tr>
        <w:trPr/>
        <w:tc>
          <w:tcPr>
            <w:tcW w:w="20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70" w:type="dxa"/>
            <w:tcBorders/>
            <w:vAlign w:val="bottom"/>
          </w:tcPr>
          <w:p>
            <w:pPr>
              <w:pStyle w:val="TableContents"/>
              <w:bidi w:val="0"/>
              <w:spacing w:before="0" w:after="283"/>
              <w:jc w:val="left"/>
              <w:rPr/>
            </w:pPr>
            <w:r>
              <w:rPr/>
              <w:t> </w:t>
            </w:r>
          </w:p>
        </w:tc>
      </w:tr>
      <w:tr>
        <w:trPr/>
        <w:tc>
          <w:tcPr>
            <w:tcW w:w="2075" w:type="dxa"/>
            <w:tcBorders/>
            <w:shd w:fill="CCEEFF" w:val="clear"/>
            <w:vAlign w:val="bottom"/>
          </w:tcPr>
          <w:p>
            <w:pPr>
              <w:pStyle w:val="TableContents"/>
              <w:bidi w:val="0"/>
              <w:spacing w:before="0" w:after="0"/>
              <w:ind w:left="144" w:right="0" w:hanging="144"/>
              <w:jc w:val="left"/>
              <w:rPr>
                <w:color w:val="000000"/>
              </w:rPr>
            </w:pPr>
            <w:r>
              <w:rPr>
                <w:color w:val="000000"/>
              </w:rPr>
              <w:t>Beginning balance</w:t>
            </w:r>
          </w:p>
        </w:tc>
        <w:tc>
          <w:tcPr>
            <w:tcW w:w="9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0"/>
              <w:jc w:val="left"/>
              <w:rPr>
                <w:color w:val="000000"/>
              </w:rPr>
            </w:pPr>
            <w:r>
              <w:rPr>
                <w:color w:val="000000"/>
              </w:rPr>
              <w:t>$</w:t>
            </w:r>
          </w:p>
        </w:tc>
        <w:tc>
          <w:tcPr>
            <w:tcW w:w="819" w:type="dxa"/>
            <w:tcBorders/>
            <w:shd w:fill="CCEEFF" w:val="clear"/>
            <w:vAlign w:val="bottom"/>
          </w:tcPr>
          <w:p>
            <w:pPr>
              <w:pStyle w:val="TableContents"/>
              <w:bidi w:val="0"/>
              <w:spacing w:before="0" w:after="0"/>
              <w:jc w:val="right"/>
              <w:rPr>
                <w:color w:val="000000"/>
              </w:rPr>
            </w:pPr>
            <w:r>
              <w:rPr>
                <w:color w:val="000000"/>
              </w:rPr>
              <w:t>24,041</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0"/>
              <w:jc w:val="left"/>
              <w:rPr>
                <w:color w:val="000000"/>
              </w:rPr>
            </w:pPr>
            <w:r>
              <w:rPr>
                <w:color w:val="000000"/>
              </w:rPr>
              <w:t>$</w:t>
            </w:r>
          </w:p>
        </w:tc>
        <w:tc>
          <w:tcPr>
            <w:tcW w:w="819" w:type="dxa"/>
            <w:tcBorders/>
            <w:shd w:fill="CCEEFF" w:val="clear"/>
            <w:vAlign w:val="bottom"/>
          </w:tcPr>
          <w:p>
            <w:pPr>
              <w:pStyle w:val="TableContents"/>
              <w:bidi w:val="0"/>
              <w:spacing w:before="0" w:after="0"/>
              <w:jc w:val="right"/>
              <w:rPr>
                <w:color w:val="000000"/>
              </w:rPr>
            </w:pPr>
            <w:r>
              <w:rPr>
                <w:color w:val="000000"/>
              </w:rPr>
              <w:t>26,292</w:t>
            </w:r>
          </w:p>
        </w:tc>
        <w:tc>
          <w:tcPr>
            <w:tcW w:w="170" w:type="dxa"/>
            <w:tcBorders/>
            <w:shd w:fill="CCEEFF" w:val="clear"/>
            <w:vAlign w:val="bottom"/>
          </w:tcPr>
          <w:p>
            <w:pPr>
              <w:pStyle w:val="TableContents"/>
              <w:bidi w:val="0"/>
              <w:spacing w:before="0" w:after="283"/>
              <w:jc w:val="left"/>
              <w:rPr/>
            </w:pPr>
            <w:r>
              <w:rPr/>
              <w:t> </w:t>
            </w:r>
          </w:p>
        </w:tc>
      </w:tr>
      <w:tr>
        <w:trPr/>
        <w:tc>
          <w:tcPr>
            <w:tcW w:w="2075" w:type="dxa"/>
            <w:tcBorders/>
            <w:vAlign w:val="bottom"/>
          </w:tcPr>
          <w:p>
            <w:pPr>
              <w:pStyle w:val="TableContents"/>
              <w:bidi w:val="0"/>
              <w:spacing w:before="0" w:after="0"/>
              <w:ind w:left="144" w:right="0" w:hanging="144"/>
              <w:jc w:val="left"/>
              <w:rPr>
                <w:color w:val="000000"/>
              </w:rPr>
            </w:pPr>
            <w:r>
              <w:rPr>
                <w:color w:val="000000"/>
              </w:rPr>
              <w:t>Additions</w:t>
            </w:r>
          </w:p>
        </w:tc>
        <w:tc>
          <w:tcPr>
            <w:tcW w:w="9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0"/>
              <w:jc w:val="right"/>
              <w:rPr>
                <w:color w:val="000000"/>
              </w:rPr>
            </w:pPr>
            <w:r>
              <w:rPr>
                <w:color w:val="000000"/>
              </w:rPr>
              <w:t>320</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0"/>
              <w:jc w:val="right"/>
              <w:rPr>
                <w:color w:val="000000"/>
              </w:rPr>
            </w:pPr>
            <w:r>
              <w:rPr>
                <w:color w:val="000000"/>
              </w:rPr>
              <w:t>199</w:t>
            </w:r>
          </w:p>
        </w:tc>
        <w:tc>
          <w:tcPr>
            <w:tcW w:w="170" w:type="dxa"/>
            <w:tcBorders/>
            <w:vAlign w:val="bottom"/>
          </w:tcPr>
          <w:p>
            <w:pPr>
              <w:pStyle w:val="TableContents"/>
              <w:bidi w:val="0"/>
              <w:spacing w:before="0" w:after="283"/>
              <w:jc w:val="left"/>
              <w:rPr/>
            </w:pPr>
            <w:r>
              <w:rPr/>
              <w:t> </w:t>
            </w:r>
          </w:p>
        </w:tc>
      </w:tr>
      <w:tr>
        <w:trPr/>
        <w:tc>
          <w:tcPr>
            <w:tcW w:w="2075" w:type="dxa"/>
            <w:tcBorders/>
            <w:shd w:fill="CCEEFF" w:val="clear"/>
            <w:vAlign w:val="bottom"/>
          </w:tcPr>
          <w:p>
            <w:pPr>
              <w:pStyle w:val="TableContents"/>
              <w:bidi w:val="0"/>
              <w:spacing w:before="0" w:after="0"/>
              <w:ind w:left="144" w:right="0" w:hanging="144"/>
              <w:jc w:val="left"/>
              <w:rPr>
                <w:color w:val="000000"/>
              </w:rPr>
            </w:pPr>
            <w:r>
              <w:rPr>
                <w:color w:val="000000"/>
              </w:rPr>
              <w:t>Valuation adjustment</w:t>
            </w:r>
          </w:p>
        </w:tc>
        <w:tc>
          <w:tcPr>
            <w:tcW w:w="90" w:type="dxa"/>
            <w:tcBorders/>
            <w:shd w:fill="CCEEFF" w:val="clear"/>
            <w:vAlign w:val="bottom"/>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250</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(1,585</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2075" w:type="dxa"/>
            <w:tcBorders/>
            <w:vAlign w:val="bottom"/>
          </w:tcPr>
          <w:p>
            <w:pPr>
              <w:pStyle w:val="TableContents"/>
              <w:bidi w:val="0"/>
              <w:spacing w:before="0" w:after="0"/>
              <w:ind w:left="144" w:right="0" w:hanging="144"/>
              <w:jc w:val="left"/>
              <w:rPr>
                <w:color w:val="000000"/>
              </w:rPr>
            </w:pPr>
            <w:r>
              <w:rPr>
                <w:color w:val="000000"/>
              </w:rPr>
              <w:t>Ending balance</w:t>
            </w:r>
          </w:p>
        </w:tc>
        <w:tc>
          <w:tcPr>
            <w:tcW w:w="90" w:type="dxa"/>
            <w:tcBorders/>
            <w:vAlign w:val="bottom"/>
          </w:tcPr>
          <w:p>
            <w:pPr>
              <w:pStyle w:val="TableContents"/>
              <w:bidi w:val="0"/>
              <w:spacing w:before="0" w:after="283"/>
              <w:jc w:val="left"/>
              <w:rPr/>
            </w:pPr>
            <w:r>
              <w:rPr/>
              <w:t> </w:t>
            </w:r>
          </w:p>
        </w:tc>
        <w:tc>
          <w:tcPr>
            <w:tcW w:w="19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1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24,611</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9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1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24,906</w:t>
            </w:r>
          </w:p>
        </w:tc>
        <w:tc>
          <w:tcPr>
            <w:tcW w:w="17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center"/>
        <w:tblInd w:w="0" w:type="dxa"/>
        <w:tblLayout w:type="fixed"/>
        <w:tblCellMar>
          <w:top w:w="0" w:type="dxa"/>
          <w:left w:w="0" w:type="dxa"/>
          <w:bottom w:w="0" w:type="dxa"/>
          <w:right w:w="0" w:type="dxa"/>
        </w:tblCellMar>
      </w:tblPr>
      <w:tblGrid>
        <w:gridCol w:w="6091"/>
        <w:gridCol w:w="90"/>
        <w:gridCol w:w="224"/>
        <w:gridCol w:w="1333"/>
        <w:gridCol w:w="245"/>
        <w:gridCol w:w="90"/>
        <w:gridCol w:w="264"/>
        <w:gridCol w:w="1576"/>
        <w:gridCol w:w="292"/>
      </w:tblGrid>
      <w:tr>
        <w:trPr/>
        <w:tc>
          <w:tcPr>
            <w:tcW w:w="609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March 31, 2026</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2025</w:t>
            </w:r>
          </w:p>
        </w:tc>
        <w:tc>
          <w:tcPr>
            <w:tcW w:w="292" w:type="dxa"/>
            <w:tcBorders/>
            <w:vAlign w:val="bottom"/>
          </w:tcPr>
          <w:p>
            <w:pPr>
              <w:pStyle w:val="TableContents"/>
              <w:bidi w:val="0"/>
              <w:spacing w:before="0" w:after="283"/>
              <w:jc w:val="left"/>
              <w:rPr/>
            </w:pPr>
            <w:r>
              <w:rPr/>
              <w:t> </w:t>
            </w:r>
          </w:p>
        </w:tc>
      </w:tr>
      <w:tr>
        <w:trPr/>
        <w:tc>
          <w:tcPr>
            <w:tcW w:w="6091" w:type="dxa"/>
            <w:tcBorders/>
            <w:shd w:fill="CCEEFF" w:val="clear"/>
            <w:vAlign w:val="bottom"/>
          </w:tcPr>
          <w:p>
            <w:pPr>
              <w:pStyle w:val="TableContents"/>
              <w:bidi w:val="0"/>
              <w:spacing w:before="0" w:after="0"/>
              <w:jc w:val="left"/>
              <w:rPr>
                <w:color w:val="000000"/>
              </w:rPr>
            </w:pPr>
            <w:r>
              <w:rPr>
                <w:color w:val="000000"/>
              </w:rPr>
              <w:t>Mortgage loans serviced for others</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0"/>
              <w:jc w:val="left"/>
              <w:rPr>
                <w:color w:val="000000"/>
              </w:rPr>
            </w:pPr>
            <w:r>
              <w:rPr>
                <w:color w:val="000000"/>
              </w:rPr>
              <w:t>$</w:t>
            </w:r>
          </w:p>
        </w:tc>
        <w:tc>
          <w:tcPr>
            <w:tcW w:w="1333" w:type="dxa"/>
            <w:tcBorders/>
            <w:shd w:fill="CCEEFF" w:val="clear"/>
            <w:vAlign w:val="bottom"/>
          </w:tcPr>
          <w:p>
            <w:pPr>
              <w:pStyle w:val="TableContents"/>
              <w:bidi w:val="0"/>
              <w:spacing w:before="0" w:after="0"/>
              <w:jc w:val="right"/>
              <w:rPr>
                <w:color w:val="000000"/>
              </w:rPr>
            </w:pPr>
            <w:r>
              <w:rPr>
                <w:color w:val="000000"/>
              </w:rPr>
              <w:t>1,792,545</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0"/>
              <w:jc w:val="left"/>
              <w:rPr>
                <w:color w:val="000000"/>
              </w:rPr>
            </w:pPr>
            <w:r>
              <w:rPr>
                <w:color w:val="000000"/>
              </w:rPr>
              <w:t>$</w:t>
            </w:r>
          </w:p>
        </w:tc>
        <w:tc>
          <w:tcPr>
            <w:tcW w:w="1576" w:type="dxa"/>
            <w:tcBorders/>
            <w:shd w:fill="CCEEFF" w:val="clear"/>
            <w:vAlign w:val="bottom"/>
          </w:tcPr>
          <w:p>
            <w:pPr>
              <w:pStyle w:val="TableContents"/>
              <w:bidi w:val="0"/>
              <w:spacing w:before="0" w:after="0"/>
              <w:jc w:val="right"/>
              <w:rPr>
                <w:color w:val="000000"/>
              </w:rPr>
            </w:pPr>
            <w:r>
              <w:rPr>
                <w:color w:val="000000"/>
              </w:rPr>
              <w:t>1,810,579</w:t>
            </w:r>
          </w:p>
        </w:tc>
        <w:tc>
          <w:tcPr>
            <w:tcW w:w="292" w:type="dxa"/>
            <w:tcBorders/>
            <w:shd w:fill="CCEEFF" w:val="clear"/>
            <w:vAlign w:val="bottom"/>
          </w:tcPr>
          <w:p>
            <w:pPr>
              <w:pStyle w:val="TableContents"/>
              <w:bidi w:val="0"/>
              <w:spacing w:before="0" w:after="283"/>
              <w:jc w:val="left"/>
              <w:rPr/>
            </w:pPr>
            <w:r>
              <w:rPr/>
              <w:t> </w:t>
            </w:r>
          </w:p>
        </w:tc>
      </w:tr>
      <w:tr>
        <w:trPr/>
        <w:tc>
          <w:tcPr>
            <w:tcW w:w="6091" w:type="dxa"/>
            <w:tcBorders/>
            <w:vAlign w:val="bottom"/>
          </w:tcPr>
          <w:p>
            <w:pPr>
              <w:pStyle w:val="TableContents"/>
              <w:bidi w:val="0"/>
              <w:spacing w:before="0" w:after="0"/>
              <w:jc w:val="left"/>
              <w:rPr>
                <w:color w:val="000000"/>
              </w:rPr>
            </w:pPr>
            <w:r>
              <w:rPr>
                <w:color w:val="000000"/>
              </w:rPr>
              <w:t>Mortgage servicing rights assets as a percentage of serviced mortgage loans</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0"/>
              <w:jc w:val="right"/>
              <w:rPr>
                <w:color w:val="000000"/>
              </w:rPr>
            </w:pPr>
            <w:r>
              <w:rPr>
                <w:color w:val="000000"/>
              </w:rPr>
              <w:t>1.37</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576" w:type="dxa"/>
            <w:tcBorders/>
            <w:vAlign w:val="bottom"/>
          </w:tcPr>
          <w:p>
            <w:pPr>
              <w:pStyle w:val="TableContents"/>
              <w:bidi w:val="0"/>
              <w:spacing w:before="0" w:after="0"/>
              <w:jc w:val="right"/>
              <w:rPr>
                <w:color w:val="000000"/>
              </w:rPr>
            </w:pPr>
            <w:r>
              <w:rPr>
                <w:color w:val="000000"/>
              </w:rPr>
              <w:t>1.33</w:t>
            </w:r>
          </w:p>
        </w:tc>
        <w:tc>
          <w:tcPr>
            <w:tcW w:w="292" w:type="dxa"/>
            <w:tcBorders/>
            <w:vAlign w:val="bottom"/>
          </w:tcPr>
          <w:p>
            <w:pPr>
              <w:pStyle w:val="TableContents"/>
              <w:bidi w:val="0"/>
              <w:spacing w:before="0" w:after="0"/>
              <w:jc w:val="left"/>
              <w:rPr>
                <w:color w:val="000000"/>
              </w:rPr>
            </w:pPr>
            <w:r>
              <w:rPr>
                <w:color w:val="000000"/>
              </w:rPr>
              <w:t>%</w:t>
            </w:r>
          </w:p>
        </w:tc>
      </w:tr>
      <w:tr>
        <w:trPr/>
        <w:tc>
          <w:tcPr>
            <w:tcW w:w="609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bidi w:val="0"/>
              <w:spacing w:before="0" w:after="283"/>
              <w:jc w:val="right"/>
              <w:rPr/>
            </w:pPr>
            <w:r>
              <w:rPr/>
              <w:t> </w:t>
            </w:r>
          </w:p>
        </w:tc>
        <w:tc>
          <w:tcPr>
            <w:tcW w:w="292"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reflects the key assumptions used in measuring the fair value of the Company’s mortgage servicing rights as of the dates indicated:</w:t>
      </w:r>
    </w:p>
    <w:p>
      <w:pPr>
        <w:pStyle w:val="TextBody"/>
        <w:bidi w:val="0"/>
        <w:spacing w:before="0" w:after="0"/>
        <w:jc w:val="left"/>
        <w:rPr/>
      </w:pPr>
      <w:r>
        <w:rPr/>
      </w:r>
    </w:p>
    <w:p>
      <w:pPr>
        <w:pStyle w:val="Normal"/>
        <w:bidi w:val="0"/>
        <w:spacing w:before="0" w:after="0"/>
        <w:jc w:val="center"/>
        <w:rPr>
          <w:sz w:val="4"/>
          <w:szCs w:val="4"/>
        </w:rPr>
      </w:pPr>
      <w:r>
        <w:rPr>
          <w:sz w:val="4"/>
          <w:szCs w:val="4"/>
        </w:rPr>
      </w:r>
      <w:bookmarkStart w:id="77" w:name="zdbb888e35ed74bf4a222b466f6b75e4a"/>
      <w:bookmarkStart w:id="78" w:name="zdbb888e35ed74bf4a222b466f6b75e4a"/>
      <w:bookmarkEnd w:id="78"/>
    </w:p>
    <w:tbl>
      <w:tblPr>
        <w:tblW w:w="8528" w:type="dxa"/>
        <w:jc w:val="center"/>
        <w:tblInd w:w="0" w:type="dxa"/>
        <w:tblLayout w:type="fixed"/>
        <w:tblCellMar>
          <w:top w:w="0" w:type="dxa"/>
          <w:left w:w="0" w:type="dxa"/>
          <w:bottom w:w="0" w:type="dxa"/>
          <w:right w:w="0" w:type="dxa"/>
        </w:tblCellMar>
      </w:tblPr>
      <w:tblGrid>
        <w:gridCol w:w="4190"/>
        <w:gridCol w:w="90"/>
        <w:gridCol w:w="261"/>
        <w:gridCol w:w="1378"/>
        <w:gridCol w:w="245"/>
        <w:gridCol w:w="90"/>
        <w:gridCol w:w="318"/>
        <w:gridCol w:w="1666"/>
        <w:gridCol w:w="290"/>
      </w:tblGrid>
      <w:tr>
        <w:trPr/>
        <w:tc>
          <w:tcPr>
            <w:tcW w:w="41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39"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84"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r>
      <w:tr>
        <w:trPr/>
        <w:tc>
          <w:tcPr>
            <w:tcW w:w="41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March 31, 2026</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8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2025</w:t>
            </w:r>
          </w:p>
        </w:tc>
        <w:tc>
          <w:tcPr>
            <w:tcW w:w="290" w:type="dxa"/>
            <w:tcBorders/>
            <w:vAlign w:val="bottom"/>
          </w:tcPr>
          <w:p>
            <w:pPr>
              <w:pStyle w:val="TableContents"/>
              <w:bidi w:val="0"/>
              <w:spacing w:before="0" w:after="283"/>
              <w:jc w:val="left"/>
              <w:rPr/>
            </w:pPr>
            <w:r>
              <w:rPr/>
              <w:t> </w:t>
            </w:r>
          </w:p>
        </w:tc>
      </w:tr>
      <w:tr>
        <w:trPr/>
        <w:tc>
          <w:tcPr>
            <w:tcW w:w="4190" w:type="dxa"/>
            <w:tcBorders/>
            <w:shd w:fill="CCEEFF" w:val="clear"/>
            <w:vAlign w:val="bottom"/>
          </w:tcPr>
          <w:p>
            <w:pPr>
              <w:pStyle w:val="TableContents"/>
              <w:bidi w:val="0"/>
              <w:spacing w:before="0" w:after="0"/>
              <w:ind w:left="144" w:right="0" w:hanging="144"/>
              <w:jc w:val="left"/>
              <w:rPr>
                <w:color w:val="000000"/>
              </w:rPr>
            </w:pPr>
            <w:r>
              <w:rPr>
                <w:color w:val="000000"/>
              </w:rPr>
              <w:t>Weighted average constant prepayment rate</w:t>
            </w:r>
          </w:p>
        </w:tc>
        <w:tc>
          <w:tcPr>
            <w:tcW w:w="9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0"/>
              <w:jc w:val="right"/>
              <w:rPr>
                <w:color w:val="000000"/>
              </w:rPr>
            </w:pPr>
            <w:r>
              <w:rPr>
                <w:color w:val="000000"/>
              </w:rPr>
              <w:t>7.27</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666" w:type="dxa"/>
            <w:tcBorders/>
            <w:shd w:fill="CCEEFF" w:val="clear"/>
            <w:vAlign w:val="bottom"/>
          </w:tcPr>
          <w:p>
            <w:pPr>
              <w:pStyle w:val="TableContents"/>
              <w:bidi w:val="0"/>
              <w:spacing w:before="0" w:after="0"/>
              <w:jc w:val="right"/>
              <w:rPr>
                <w:color w:val="000000"/>
              </w:rPr>
            </w:pPr>
            <w:r>
              <w:rPr>
                <w:color w:val="000000"/>
              </w:rPr>
              <w:t>8.81</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4190" w:type="dxa"/>
            <w:tcBorders/>
            <w:vAlign w:val="bottom"/>
          </w:tcPr>
          <w:p>
            <w:pPr>
              <w:pStyle w:val="TableContents"/>
              <w:bidi w:val="0"/>
              <w:spacing w:before="0" w:after="0"/>
              <w:ind w:left="144" w:right="0" w:hanging="144"/>
              <w:jc w:val="left"/>
              <w:rPr>
                <w:color w:val="000000"/>
              </w:rPr>
            </w:pPr>
            <w:r>
              <w:rPr>
                <w:color w:val="000000"/>
              </w:rPr>
              <w:t>Weighted average discount rate</w:t>
            </w:r>
          </w:p>
        </w:tc>
        <w:tc>
          <w:tcPr>
            <w:tcW w:w="9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378" w:type="dxa"/>
            <w:tcBorders/>
            <w:vAlign w:val="bottom"/>
          </w:tcPr>
          <w:p>
            <w:pPr>
              <w:pStyle w:val="TableContents"/>
              <w:bidi w:val="0"/>
              <w:spacing w:before="0" w:after="0"/>
              <w:jc w:val="right"/>
              <w:rPr>
                <w:color w:val="000000"/>
              </w:rPr>
            </w:pPr>
            <w:r>
              <w:rPr>
                <w:color w:val="000000"/>
              </w:rPr>
              <w:t>9.71</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666" w:type="dxa"/>
            <w:tcBorders/>
            <w:vAlign w:val="bottom"/>
          </w:tcPr>
          <w:p>
            <w:pPr>
              <w:pStyle w:val="TableContents"/>
              <w:bidi w:val="0"/>
              <w:spacing w:before="0" w:after="0"/>
              <w:jc w:val="right"/>
              <w:rPr>
                <w:color w:val="000000"/>
              </w:rPr>
            </w:pPr>
            <w:r>
              <w:rPr>
                <w:color w:val="000000"/>
              </w:rPr>
              <w:t>9.70</w:t>
            </w:r>
          </w:p>
        </w:tc>
        <w:tc>
          <w:tcPr>
            <w:tcW w:w="290" w:type="dxa"/>
            <w:tcBorders/>
            <w:vAlign w:val="bottom"/>
          </w:tcPr>
          <w:p>
            <w:pPr>
              <w:pStyle w:val="TableContents"/>
              <w:bidi w:val="0"/>
              <w:spacing w:before="0" w:after="0"/>
              <w:jc w:val="left"/>
              <w:rPr>
                <w:color w:val="000000"/>
              </w:rPr>
            </w:pPr>
            <w:r>
              <w:rPr>
                <w:color w:val="000000"/>
              </w:rPr>
              <w:t>%</w:t>
            </w:r>
          </w:p>
        </w:tc>
      </w:tr>
      <w:tr>
        <w:trPr/>
        <w:tc>
          <w:tcPr>
            <w:tcW w:w="4190" w:type="dxa"/>
            <w:tcBorders/>
            <w:shd w:fill="CCEEFF" w:val="clear"/>
            <w:vAlign w:val="bottom"/>
          </w:tcPr>
          <w:p>
            <w:pPr>
              <w:pStyle w:val="TableContents"/>
              <w:bidi w:val="0"/>
              <w:spacing w:before="0" w:after="0"/>
              <w:ind w:left="144" w:right="0" w:hanging="144"/>
              <w:jc w:val="left"/>
              <w:rPr>
                <w:color w:val="000000"/>
              </w:rPr>
            </w:pPr>
            <w:r>
              <w:rPr>
                <w:color w:val="000000"/>
              </w:rPr>
              <w:t>Weighted average life in years</w:t>
            </w:r>
          </w:p>
        </w:tc>
        <w:tc>
          <w:tcPr>
            <w:tcW w:w="9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0"/>
              <w:jc w:val="right"/>
              <w:rPr>
                <w:color w:val="000000"/>
              </w:rPr>
            </w:pPr>
            <w:r>
              <w:rPr>
                <w:color w:val="000000"/>
              </w:rPr>
              <w:t>7.80</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666" w:type="dxa"/>
            <w:tcBorders/>
            <w:shd w:fill="CCEEFF" w:val="clear"/>
            <w:vAlign w:val="bottom"/>
          </w:tcPr>
          <w:p>
            <w:pPr>
              <w:pStyle w:val="TableContents"/>
              <w:bidi w:val="0"/>
              <w:spacing w:before="0" w:after="0"/>
              <w:jc w:val="right"/>
              <w:rPr>
                <w:color w:val="000000"/>
              </w:rPr>
            </w:pPr>
            <w:r>
              <w:rPr>
                <w:color w:val="000000"/>
              </w:rPr>
              <w:t>7.43</w:t>
            </w:r>
          </w:p>
        </w:tc>
        <w:tc>
          <w:tcPr>
            <w:tcW w:w="290"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7. BORROWING ARRANGEMENTS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Subordinated Debt</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In December 2018, the Company issued $14.1 million of subordinated notes that have a maturity date of December 2030 and a weighted average fixed rate of 6.41% for the first seven years. After the fixed rate period, these notes will float at the </w:t>
      </w:r>
      <w:r>
        <w:rPr>
          <w:rFonts w:ascii="Times New Roman" w:hAnsi="Times New Roman"/>
          <w:i/>
          <w:color w:val="000000"/>
          <w:sz w:val="20"/>
          <w:shd w:fill="FFFFFF" w:val="clear"/>
        </w:rPr>
        <w:t>Wall Street Journal</w:t>
      </w:r>
      <w:r>
        <w:rPr>
          <w:rFonts w:ascii="Times New Roman" w:hAnsi="Times New Roman"/>
          <w:color w:val="000000"/>
          <w:sz w:val="20"/>
          <w:shd w:fill="FFFFFF" w:val="clear"/>
        </w:rPr>
        <w:t xml:space="preserve"> prime rate, with a floor of 4.0% and a ceiling of 7.5%. These notes pay interest quarterly, are unsecured, and may be called by the Company at any time after the remaining maturity is five years or less. Additionally, these notes are intended to qualify for Tier 2 capital treatment, subject to regulatory limitations.</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March 31, 2026 and December 31, 2025, the total amount of subordinated notes outstanding was $14.1 million.</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Notes Payable and Other Borrowings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March 31, 2026 and December 31, 2025, City Bank had no outstanding advances from the Federal Home Loan Bank of Dallas (“FHLB”) or any short-term borrowings.</w:t>
      </w:r>
    </w:p>
    <w:p>
      <w:pPr>
        <w:pStyle w:val="TextBody"/>
        <w:bidi w:val="0"/>
        <w:spacing w:before="0" w:after="0"/>
        <w:jc w:val="center"/>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8. STOCK-BASED COMPENSATION</w:t>
      </w:r>
    </w:p>
    <w:p>
      <w:pPr>
        <w:pStyle w:val="TextBody"/>
        <w:bidi w:val="0"/>
        <w:spacing w:before="0" w:after="0"/>
        <w:jc w:val="center"/>
        <w:rPr/>
      </w:pPr>
      <w:r>
        <w:rPr/>
      </w:r>
    </w:p>
    <w:p>
      <w:pPr>
        <w:pStyle w:val="TextBody"/>
        <w:bidi w:val="0"/>
        <w:spacing w:before="0" w:after="0"/>
        <w:jc w:val="both"/>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Equity Incentive Plan</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2019 Equity Incentive Plan (“Plan”) was approved by the Company’s Board of Directors on January 16, 2019 and by its shareholders on March 6, 2019. The purpose of the Plan is to: (i) attract and retain the best available personnel for positions of substantial responsibility, (ii) provide additional incentive to employees, directors and consultants, and (iii) promote the success of the Company’s business. This Plan permits the grant of incentive stock options, non-statutory stock options, stock appreciation rights, restricted stock, restricted stock units, performance units, performance shares, and other stock-based awards. The maximum aggregate number of shares of common stock that may be issued pursuant to all awards under the Plan was 5,901,991 at March 31, 2026. The maximum aggregate number of shares that may be issued under the Plan may be increased annually by up to 3% of the total issued and outstanding common shares of the Company at the beginning of each fiscal year.</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fair value of each option award is estimated on the date of grant using the Black-Scholes model that uses the assumptions noted in the table below. Expected volatilities are based on historical volatilities of the Company’s common stock and similar peer company averages. The Company uses historical data to estimate option exercise and post-vesting termination behavior. The expected term of options granted represents the period of time that options granted are expected to be outstanding, which takes in to account that the options are not transferable. The risk-free interest rate for the expected term of the option is based on the U.S. Treasury yield curve in effect at the time of the grant.</w:t>
      </w:r>
    </w:p>
    <w:p>
      <w:pPr>
        <w:pStyle w:val="TextBody"/>
        <w:bidi w:val="0"/>
        <w:spacing w:before="0" w:after="0"/>
        <w:jc w:val="center"/>
        <w:rPr/>
      </w:pPr>
      <w:r>
        <w:rPr/>
      </w:r>
    </w:p>
    <w:p>
      <w:pPr>
        <w:pStyle w:val="TextBody"/>
        <w:bidi w:val="0"/>
        <w:spacing w:before="0" w:after="0"/>
        <w:jc w:val="both"/>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Options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summary of activity in the Plan during the period indicated is presented in the table below (dollars in thousands, except per share data):</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79" w:name="zb25d16d372f642c3a4c894b465d117e2"/>
      <w:bookmarkStart w:id="80" w:name="zb25d16d372f642c3a4c894b465d117e2"/>
      <w:bookmarkEnd w:id="80"/>
    </w:p>
    <w:tbl>
      <w:tblPr>
        <w:tblW w:w="10205" w:type="dxa"/>
        <w:jc w:val="center"/>
        <w:tblInd w:w="0" w:type="dxa"/>
        <w:tblLayout w:type="fixed"/>
        <w:tblCellMar>
          <w:top w:w="0" w:type="dxa"/>
          <w:left w:w="0" w:type="dxa"/>
          <w:bottom w:w="0" w:type="dxa"/>
          <w:right w:w="0" w:type="dxa"/>
        </w:tblCellMar>
      </w:tblPr>
      <w:tblGrid>
        <w:gridCol w:w="2718"/>
        <w:gridCol w:w="90"/>
        <w:gridCol w:w="90"/>
        <w:gridCol w:w="1010"/>
        <w:gridCol w:w="90"/>
        <w:gridCol w:w="90"/>
        <w:gridCol w:w="437"/>
        <w:gridCol w:w="1518"/>
        <w:gridCol w:w="90"/>
        <w:gridCol w:w="90"/>
        <w:gridCol w:w="364"/>
        <w:gridCol w:w="1905"/>
        <w:gridCol w:w="90"/>
        <w:gridCol w:w="90"/>
        <w:gridCol w:w="268"/>
        <w:gridCol w:w="1127"/>
        <w:gridCol w:w="138"/>
      </w:tblGrid>
      <w:tr>
        <w:trPr/>
        <w:tc>
          <w:tcPr>
            <w:tcW w:w="271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Number</w:t>
            </w:r>
          </w:p>
          <w:p>
            <w:pPr>
              <w:pStyle w:val="TableContents"/>
              <w:bidi w:val="0"/>
              <w:spacing w:before="0" w:after="0"/>
              <w:jc w:val="center"/>
              <w:rPr>
                <w:b/>
                <w:color w:val="000000"/>
              </w:rPr>
            </w:pPr>
            <w:r>
              <w:rPr>
                <w:b/>
                <w:color w:val="000000"/>
              </w:rPr>
              <w:t>of Shares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Weighted-Average</w:t>
            </w:r>
          </w:p>
          <w:p>
            <w:pPr>
              <w:pStyle w:val="TableContents"/>
              <w:bidi w:val="0"/>
              <w:spacing w:before="0" w:after="0"/>
              <w:jc w:val="center"/>
              <w:rPr>
                <w:b/>
                <w:color w:val="000000"/>
              </w:rPr>
            </w:pPr>
            <w:r>
              <w:rPr>
                <w:b/>
                <w:color w:val="000000"/>
              </w:rPr>
              <w:t>Exercise Price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6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Weighted-Average</w:t>
            </w:r>
          </w:p>
          <w:p>
            <w:pPr>
              <w:pStyle w:val="TableContents"/>
              <w:bidi w:val="0"/>
              <w:spacing w:before="0" w:after="0"/>
              <w:jc w:val="center"/>
              <w:rPr>
                <w:b/>
                <w:color w:val="000000"/>
              </w:rPr>
            </w:pPr>
            <w:r>
              <w:rPr>
                <w:b/>
                <w:color w:val="000000"/>
              </w:rPr>
              <w:t>Remaining Contractual</w:t>
            </w:r>
          </w:p>
          <w:p>
            <w:pPr>
              <w:pStyle w:val="TableContents"/>
              <w:bidi w:val="0"/>
              <w:spacing w:before="0" w:after="0"/>
              <w:jc w:val="center"/>
              <w:rPr>
                <w:b/>
                <w:color w:val="000000"/>
              </w:rPr>
            </w:pPr>
            <w:r>
              <w:rPr>
                <w:b/>
                <w:color w:val="000000"/>
              </w:rPr>
              <w:t>Life in Years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Aggregate</w:t>
            </w:r>
          </w:p>
          <w:p>
            <w:pPr>
              <w:pStyle w:val="TableContents"/>
              <w:bidi w:val="0"/>
              <w:spacing w:before="0" w:after="0"/>
              <w:jc w:val="center"/>
              <w:rPr>
                <w:b/>
                <w:color w:val="000000"/>
              </w:rPr>
            </w:pPr>
            <w:r>
              <w:rPr>
                <w:b/>
                <w:color w:val="000000"/>
              </w:rPr>
              <w:t>Intrinsic Value</w:t>
            </w:r>
          </w:p>
        </w:tc>
        <w:tc>
          <w:tcPr>
            <w:tcW w:w="138" w:type="dxa"/>
            <w:tcBorders/>
            <w:vAlign w:val="bottom"/>
          </w:tcPr>
          <w:p>
            <w:pPr>
              <w:pStyle w:val="TableContents"/>
              <w:bidi w:val="0"/>
              <w:spacing w:before="0" w:after="283"/>
              <w:jc w:val="left"/>
              <w:rPr/>
            </w:pPr>
            <w:r>
              <w:rPr/>
              <w:t> </w:t>
            </w:r>
          </w:p>
        </w:tc>
      </w:tr>
      <w:tr>
        <w:trPr/>
        <w:tc>
          <w:tcPr>
            <w:tcW w:w="2718" w:type="dxa"/>
            <w:tcBorders/>
            <w:vAlign w:val="bottom"/>
          </w:tcPr>
          <w:p>
            <w:pPr>
              <w:pStyle w:val="TableContents"/>
              <w:bidi w:val="0"/>
              <w:spacing w:before="0" w:after="0"/>
              <w:jc w:val="left"/>
              <w:rPr>
                <w:color w:val="000000"/>
                <w:u w:val="single"/>
              </w:rPr>
            </w:pPr>
            <w:r>
              <w:rPr>
                <w:color w:val="000000"/>
                <w:u w:val="single"/>
              </w:rPr>
              <w:t>Three Months Ended March 31, 2026</w:t>
            </w:r>
          </w:p>
        </w:tc>
        <w:tc>
          <w:tcPr>
            <w:tcW w:w="9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5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69"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95" w:type="dxa"/>
            <w:gridSpan w:val="2"/>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r>
      <w:tr>
        <w:trPr/>
        <w:tc>
          <w:tcPr>
            <w:tcW w:w="2718" w:type="dxa"/>
            <w:tcBorders/>
            <w:shd w:fill="CCEEFF" w:val="clear"/>
            <w:vAlign w:val="bottom"/>
          </w:tcPr>
          <w:p>
            <w:pPr>
              <w:pStyle w:val="TableContents"/>
              <w:bidi w:val="0"/>
              <w:spacing w:before="0" w:after="0"/>
              <w:ind w:left="144" w:right="0" w:hanging="144"/>
              <w:jc w:val="left"/>
              <w:rPr>
                <w:color w:val="000000"/>
              </w:rPr>
            </w:pPr>
            <w:r>
              <w:rPr>
                <w:color w:val="000000"/>
              </w:rPr>
              <w:t>Outstanding at beginning of year:</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1,076,673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left"/>
              <w:rPr>
                <w:color w:val="000000"/>
              </w:rPr>
            </w:pPr>
            <w:r>
              <w:rPr>
                <w:color w:val="000000"/>
              </w:rPr>
              <w:t>$</w:t>
            </w:r>
          </w:p>
        </w:tc>
        <w:tc>
          <w:tcPr>
            <w:tcW w:w="1518" w:type="dxa"/>
            <w:tcBorders/>
            <w:shd w:fill="CCEEFF" w:val="clear"/>
            <w:vAlign w:val="bottom"/>
          </w:tcPr>
          <w:p>
            <w:pPr>
              <w:pStyle w:val="TableContents"/>
              <w:bidi w:val="0"/>
              <w:spacing w:before="0" w:after="0"/>
              <w:jc w:val="right"/>
              <w:rPr>
                <w:color w:val="000000"/>
              </w:rPr>
            </w:pPr>
            <w:r>
              <w:rPr>
                <w:color w:val="000000"/>
              </w:rPr>
              <w:t>18.92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69" w:type="dxa"/>
            <w:gridSpan w:val="2"/>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95" w:type="dxa"/>
            <w:gridSpan w:val="2"/>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r>
      <w:tr>
        <w:trPr/>
        <w:tc>
          <w:tcPr>
            <w:tcW w:w="2718" w:type="dxa"/>
            <w:tcBorders/>
            <w:vAlign w:val="bottom"/>
          </w:tcPr>
          <w:p>
            <w:pPr>
              <w:pStyle w:val="TableContents"/>
              <w:bidi w:val="0"/>
              <w:spacing w:before="0" w:after="0"/>
              <w:ind w:left="288" w:right="0" w:hanging="144"/>
              <w:jc w:val="left"/>
              <w:rPr>
                <w:color w:val="000000"/>
              </w:rPr>
            </w:pPr>
            <w:r>
              <w:rPr>
                <w:color w:val="000000"/>
              </w:rPr>
              <w:t>Granted</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28,675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0"/>
              <w:jc w:val="right"/>
              <w:rPr>
                <w:color w:val="000000"/>
              </w:rPr>
            </w:pPr>
            <w:r>
              <w:rPr>
                <w:color w:val="000000"/>
              </w:rPr>
              <w:t>38.92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69"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95" w:type="dxa"/>
            <w:gridSpan w:val="2"/>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r>
      <w:tr>
        <w:trPr/>
        <w:tc>
          <w:tcPr>
            <w:tcW w:w="2718" w:type="dxa"/>
            <w:tcBorders/>
            <w:shd w:fill="CCEEFF" w:val="clear"/>
            <w:vAlign w:val="bottom"/>
          </w:tcPr>
          <w:p>
            <w:pPr>
              <w:pStyle w:val="TableContents"/>
              <w:bidi w:val="0"/>
              <w:spacing w:before="0" w:after="0"/>
              <w:ind w:left="288" w:right="0" w:hanging="144"/>
              <w:jc w:val="left"/>
              <w:rPr>
                <w:color w:val="000000"/>
              </w:rPr>
            </w:pPr>
            <w:r>
              <w:rPr>
                <w:color w:val="000000"/>
              </w:rPr>
              <w:t>Exercised</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69" w:type="dxa"/>
            <w:gridSpan w:val="2"/>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95" w:type="dxa"/>
            <w:gridSpan w:val="2"/>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r>
      <w:tr>
        <w:trPr/>
        <w:tc>
          <w:tcPr>
            <w:tcW w:w="2718" w:type="dxa"/>
            <w:tcBorders/>
            <w:vAlign w:val="bottom"/>
          </w:tcPr>
          <w:p>
            <w:pPr>
              <w:pStyle w:val="TableContents"/>
              <w:bidi w:val="0"/>
              <w:spacing w:before="0" w:after="0"/>
              <w:ind w:left="288" w:right="0" w:hanging="144"/>
              <w:jc w:val="left"/>
              <w:rPr>
                <w:color w:val="000000"/>
              </w:rPr>
            </w:pPr>
            <w:r>
              <w:rPr>
                <w:color w:val="000000"/>
              </w:rPr>
              <w:t>Forfeited</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69"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95" w:type="dxa"/>
            <w:gridSpan w:val="2"/>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r>
      <w:tr>
        <w:trPr/>
        <w:tc>
          <w:tcPr>
            <w:tcW w:w="2718" w:type="dxa"/>
            <w:tcBorders/>
            <w:shd w:fill="CCEEFF" w:val="clear"/>
            <w:vAlign w:val="bottom"/>
          </w:tcPr>
          <w:p>
            <w:pPr>
              <w:pStyle w:val="TableContents"/>
              <w:bidi w:val="0"/>
              <w:spacing w:before="0" w:after="0"/>
              <w:ind w:left="288" w:right="0" w:hanging="144"/>
              <w:jc w:val="left"/>
              <w:rPr>
                <w:color w:val="000000"/>
              </w:rPr>
            </w:pPr>
            <w:r>
              <w:rPr>
                <w:color w:val="000000"/>
              </w:rPr>
              <w:t>Expired</w:t>
            </w:r>
          </w:p>
        </w:tc>
        <w:tc>
          <w:tcPr>
            <w:tcW w:w="90" w:type="dxa"/>
            <w:tcBorders/>
            <w:shd w:fill="CCEEFF" w:val="cle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69" w:type="dxa"/>
            <w:gridSpan w:val="2"/>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95" w:type="dxa"/>
            <w:gridSpan w:val="2"/>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r>
      <w:tr>
        <w:trPr/>
        <w:tc>
          <w:tcPr>
            <w:tcW w:w="271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69"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95" w:type="dxa"/>
            <w:gridSpan w:val="2"/>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r>
      <w:tr>
        <w:trPr/>
        <w:tc>
          <w:tcPr>
            <w:tcW w:w="2718" w:type="dxa"/>
            <w:tcBorders/>
            <w:shd w:fill="CCEEFF" w:val="clear"/>
            <w:vAlign w:val="bottom"/>
          </w:tcPr>
          <w:p>
            <w:pPr>
              <w:pStyle w:val="TableContents"/>
              <w:bidi w:val="0"/>
              <w:spacing w:before="0" w:after="0"/>
              <w:ind w:left="144" w:right="0" w:hanging="144"/>
              <w:jc w:val="left"/>
              <w:rPr>
                <w:color w:val="000000"/>
              </w:rPr>
            </w:pPr>
            <w:r>
              <w:rPr>
                <w:color w:val="000000"/>
              </w:rPr>
              <w:t>Balance at end of period</w:t>
            </w:r>
          </w:p>
        </w:tc>
        <w:tc>
          <w:tcPr>
            <w:tcW w:w="90" w:type="dxa"/>
            <w:tcBorders/>
            <w:shd w:fill="CCEEFF" w:val="clear"/>
            <w:vAlign w:val="bottom"/>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1,105,348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3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1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19.44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6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90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3.95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2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24,829</w:t>
            </w:r>
          </w:p>
        </w:tc>
        <w:tc>
          <w:tcPr>
            <w:tcW w:w="138" w:type="dxa"/>
            <w:tcBorders/>
            <w:shd w:fill="CCEEFF" w:val="clear"/>
            <w:vAlign w:val="bottom"/>
          </w:tcPr>
          <w:p>
            <w:pPr>
              <w:pStyle w:val="TableContents"/>
              <w:bidi w:val="0"/>
              <w:spacing w:before="0" w:after="283"/>
              <w:jc w:val="left"/>
              <w:rPr/>
            </w:pPr>
            <w:r>
              <w:rPr/>
              <w:t> </w:t>
            </w:r>
          </w:p>
        </w:tc>
      </w:tr>
      <w:tr>
        <w:trPr/>
        <w:tc>
          <w:tcPr>
            <w:tcW w:w="271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905"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r>
      <w:tr>
        <w:trPr/>
        <w:tc>
          <w:tcPr>
            <w:tcW w:w="2718" w:type="dxa"/>
            <w:tcBorders/>
            <w:shd w:fill="CCEEFF" w:val="clear"/>
            <w:vAlign w:val="bottom"/>
          </w:tcPr>
          <w:p>
            <w:pPr>
              <w:pStyle w:val="TableContents"/>
              <w:bidi w:val="0"/>
              <w:spacing w:before="0" w:after="0"/>
              <w:ind w:left="144" w:right="0" w:hanging="144"/>
              <w:jc w:val="left"/>
              <w:rPr>
                <w:color w:val="000000"/>
              </w:rPr>
            </w:pPr>
            <w:r>
              <w:rPr>
                <w:color w:val="000000"/>
              </w:rPr>
              <w:t>Exercisable at end of period</w:t>
            </w:r>
          </w:p>
        </w:tc>
        <w:tc>
          <w:tcPr>
            <w:tcW w:w="90" w:type="dxa"/>
            <w:tcBorders/>
            <w:shd w:fill="CCEEFF" w:val="clear"/>
            <w:vAlign w:val="bottom"/>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1,030,024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3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1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18.37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6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90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2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24,237</w:t>
            </w:r>
          </w:p>
        </w:tc>
        <w:tc>
          <w:tcPr>
            <w:tcW w:w="138" w:type="dxa"/>
            <w:tcBorders/>
            <w:shd w:fill="CCEEFF" w:val="clear"/>
            <w:vAlign w:val="bottom"/>
          </w:tcPr>
          <w:p>
            <w:pPr>
              <w:pStyle w:val="TableContents"/>
              <w:bidi w:val="0"/>
              <w:spacing w:before="0" w:after="283"/>
              <w:jc w:val="left"/>
              <w:rPr/>
            </w:pPr>
            <w:r>
              <w:rPr/>
              <w:t> </w:t>
            </w:r>
          </w:p>
        </w:tc>
      </w:tr>
      <w:tr>
        <w:trPr/>
        <w:tc>
          <w:tcPr>
            <w:tcW w:w="271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905"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r>
      <w:tr>
        <w:trPr/>
        <w:tc>
          <w:tcPr>
            <w:tcW w:w="2718" w:type="dxa"/>
            <w:tcBorders/>
            <w:shd w:fill="CCEEFF" w:val="clear"/>
            <w:vAlign w:val="bottom"/>
          </w:tcPr>
          <w:p>
            <w:pPr>
              <w:pStyle w:val="TableContents"/>
              <w:bidi w:val="0"/>
              <w:spacing w:before="0" w:after="0"/>
              <w:ind w:left="144" w:right="0" w:hanging="144"/>
              <w:jc w:val="left"/>
              <w:rPr>
                <w:color w:val="000000"/>
              </w:rPr>
            </w:pPr>
            <w:r>
              <w:rPr>
                <w:color w:val="000000"/>
              </w:rPr>
              <w:t>Vested at end of period</w:t>
            </w:r>
          </w:p>
        </w:tc>
        <w:tc>
          <w:tcPr>
            <w:tcW w:w="90" w:type="dxa"/>
            <w:tcBorders/>
            <w:shd w:fill="CCEEFF" w:val="clear"/>
            <w:vAlign w:val="bottom"/>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1,030,024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3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1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18.37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6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90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2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24,237</w:t>
            </w:r>
          </w:p>
        </w:tc>
        <w:tc>
          <w:tcPr>
            <w:tcW w:w="138"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summary of assumptions used to calculate the fair values of the awards granted during the periods noted is presented below:</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81" w:name="zd33f0672ebb34eaf9e982c686550d417"/>
      <w:bookmarkStart w:id="82" w:name="zd33f0672ebb34eaf9e982c686550d417"/>
      <w:bookmarkEnd w:id="82"/>
    </w:p>
    <w:tbl>
      <w:tblPr>
        <w:tblW w:w="6467" w:type="dxa"/>
        <w:jc w:val="center"/>
        <w:tblInd w:w="0" w:type="dxa"/>
        <w:tblLayout w:type="fixed"/>
        <w:tblCellMar>
          <w:top w:w="0" w:type="dxa"/>
          <w:left w:w="0" w:type="dxa"/>
          <w:bottom w:w="0" w:type="dxa"/>
          <w:right w:w="0" w:type="dxa"/>
        </w:tblCellMar>
      </w:tblPr>
      <w:tblGrid>
        <w:gridCol w:w="3710"/>
        <w:gridCol w:w="90"/>
        <w:gridCol w:w="218"/>
        <w:gridCol w:w="756"/>
        <w:gridCol w:w="314"/>
        <w:gridCol w:w="115"/>
        <w:gridCol w:w="218"/>
        <w:gridCol w:w="756"/>
        <w:gridCol w:w="290"/>
      </w:tblGrid>
      <w:tr>
        <w:trPr/>
        <w:tc>
          <w:tcPr>
            <w:tcW w:w="37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77" w:type="dxa"/>
            <w:gridSpan w:val="6"/>
            <w:tcBorders>
              <w:bottom w:val="single" w:sz="12" w:space="0" w:color="000000"/>
            </w:tcBorders>
            <w:tcMar>
              <w:bottom w:w="28" w:type="dxa"/>
            </w:tcMar>
            <w:vAlign w:val="bottom"/>
          </w:tcPr>
          <w:p>
            <w:pPr>
              <w:pStyle w:val="TableContents"/>
              <w:bidi w:val="0"/>
              <w:spacing w:before="0" w:after="0"/>
              <w:ind w:left="0" w:right="0" w:firstLine="140"/>
              <w:jc w:val="center"/>
              <w:rPr>
                <w:b/>
                <w:color w:val="000000"/>
              </w:rPr>
            </w:pPr>
            <w:r>
              <w:rPr>
                <w:b/>
                <w:color w:val="000000"/>
              </w:rPr>
              <w:t>Three Months Ended</w:t>
            </w:r>
          </w:p>
          <w:p>
            <w:pPr>
              <w:pStyle w:val="TableContents"/>
              <w:bidi w:val="0"/>
              <w:spacing w:before="0" w:after="0"/>
              <w:ind w:left="0" w:right="0" w:firstLine="140"/>
              <w:jc w:val="center"/>
              <w:rPr>
                <w:b/>
                <w:color w:val="000000"/>
              </w:rPr>
            </w:pPr>
            <w:r>
              <w:rPr>
                <w:b/>
                <w:color w:val="000000"/>
              </w:rPr>
              <w:t>March 31,</w:t>
            </w:r>
          </w:p>
        </w:tc>
        <w:tc>
          <w:tcPr>
            <w:tcW w:w="290" w:type="dxa"/>
            <w:tcBorders/>
            <w:vAlign w:val="bottom"/>
          </w:tcPr>
          <w:p>
            <w:pPr>
              <w:pStyle w:val="TableContents"/>
              <w:bidi w:val="0"/>
              <w:spacing w:before="0" w:after="283"/>
              <w:jc w:val="left"/>
              <w:rPr/>
            </w:pPr>
            <w:r>
              <w:rPr/>
              <w:t> </w:t>
            </w:r>
          </w:p>
        </w:tc>
      </w:tr>
      <w:tr>
        <w:trPr/>
        <w:tc>
          <w:tcPr>
            <w:tcW w:w="37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74" w:type="dxa"/>
            <w:gridSpan w:val="2"/>
            <w:tcBorders>
              <w:bottom w:val="single" w:sz="12" w:space="0" w:color="000000"/>
            </w:tcBorders>
            <w:tcMar>
              <w:bottom w:w="28" w:type="dxa"/>
            </w:tcMar>
            <w:vAlign w:val="bottom"/>
          </w:tcPr>
          <w:p>
            <w:pPr>
              <w:pStyle w:val="TableContents"/>
              <w:bidi w:val="0"/>
              <w:spacing w:before="0" w:after="0"/>
              <w:ind w:left="0" w:right="0" w:firstLine="140"/>
              <w:jc w:val="center"/>
              <w:rPr>
                <w:b/>
                <w:color w:val="000000"/>
              </w:rPr>
            </w:pPr>
            <w:r>
              <w:rPr>
                <w:b/>
                <w:color w:val="000000"/>
              </w:rPr>
              <w:t>2026</w:t>
            </w:r>
          </w:p>
        </w:tc>
        <w:tc>
          <w:tcPr>
            <w:tcW w:w="314"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974" w:type="dxa"/>
            <w:gridSpan w:val="2"/>
            <w:tcBorders>
              <w:bottom w:val="single" w:sz="12" w:space="0" w:color="000000"/>
            </w:tcBorders>
            <w:tcMar>
              <w:bottom w:w="28" w:type="dxa"/>
            </w:tcMar>
            <w:vAlign w:val="bottom"/>
          </w:tcPr>
          <w:p>
            <w:pPr>
              <w:pStyle w:val="TableContents"/>
              <w:bidi w:val="0"/>
              <w:spacing w:before="0" w:after="0"/>
              <w:ind w:left="0" w:right="0" w:firstLine="140"/>
              <w:jc w:val="center"/>
              <w:rPr>
                <w:b/>
                <w:color w:val="000000"/>
              </w:rPr>
            </w:pPr>
            <w:r>
              <w:rPr>
                <w:b/>
                <w:color w:val="000000"/>
              </w:rPr>
              <w:t>2025</w:t>
            </w:r>
          </w:p>
        </w:tc>
        <w:tc>
          <w:tcPr>
            <w:tcW w:w="290" w:type="dxa"/>
            <w:tcBorders/>
            <w:vAlign w:val="bottom"/>
          </w:tcPr>
          <w:p>
            <w:pPr>
              <w:pStyle w:val="TableContents"/>
              <w:bidi w:val="0"/>
              <w:spacing w:before="0" w:after="283"/>
              <w:jc w:val="left"/>
              <w:rPr/>
            </w:pPr>
            <w:r>
              <w:rPr/>
              <w:t> </w:t>
            </w:r>
          </w:p>
        </w:tc>
      </w:tr>
      <w:tr>
        <w:trPr/>
        <w:tc>
          <w:tcPr>
            <w:tcW w:w="3710" w:type="dxa"/>
            <w:tcBorders/>
            <w:shd w:fill="CCEEFF" w:val="clear"/>
            <w:vAlign w:val="bottom"/>
          </w:tcPr>
          <w:p>
            <w:pPr>
              <w:pStyle w:val="TableContents"/>
              <w:bidi w:val="0"/>
              <w:spacing w:before="0" w:after="0"/>
              <w:ind w:left="150" w:right="0" w:hanging="144"/>
              <w:jc w:val="left"/>
              <w:rPr>
                <w:color w:val="000000"/>
              </w:rPr>
            </w:pPr>
            <w:r>
              <w:rPr>
                <w:color w:val="000000"/>
              </w:rPr>
              <w:t>Expected volatility</w:t>
            </w:r>
          </w:p>
        </w:tc>
        <w:tc>
          <w:tcPr>
            <w:tcW w:w="9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0"/>
              <w:jc w:val="right"/>
              <w:rPr>
                <w:color w:val="000000"/>
              </w:rPr>
            </w:pPr>
            <w:r>
              <w:rPr>
                <w:color w:val="000000"/>
              </w:rPr>
              <w:t>39.61</w:t>
            </w:r>
          </w:p>
        </w:tc>
        <w:tc>
          <w:tcPr>
            <w:tcW w:w="314" w:type="dxa"/>
            <w:tcBorders/>
            <w:shd w:fill="CCEEFF" w:val="clear"/>
            <w:vAlign w:val="bottom"/>
          </w:tcPr>
          <w:p>
            <w:pPr>
              <w:pStyle w:val="TableContents"/>
              <w:bidi w:val="0"/>
              <w:spacing w:before="0" w:after="0"/>
              <w:jc w:val="left"/>
              <w:rPr>
                <w:color w:val="000000"/>
              </w:rPr>
            </w:pPr>
            <w:r>
              <w:rPr>
                <w:color w:val="000000"/>
              </w:rPr>
              <w:t>%</w:t>
            </w:r>
          </w:p>
        </w:tc>
        <w:tc>
          <w:tcPr>
            <w:tcW w:w="115"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0"/>
              <w:jc w:val="right"/>
              <w:rPr>
                <w:color w:val="000000"/>
              </w:rPr>
            </w:pPr>
            <w:r>
              <w:rPr>
                <w:color w:val="000000"/>
              </w:rPr>
              <w:t>41.21</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3710" w:type="dxa"/>
            <w:tcBorders/>
            <w:vAlign w:val="bottom"/>
          </w:tcPr>
          <w:p>
            <w:pPr>
              <w:pStyle w:val="TableContents"/>
              <w:bidi w:val="0"/>
              <w:spacing w:before="0" w:after="0"/>
              <w:ind w:left="150" w:right="0" w:hanging="144"/>
              <w:jc w:val="left"/>
              <w:rPr>
                <w:color w:val="000000"/>
              </w:rPr>
            </w:pPr>
            <w:r>
              <w:rPr>
                <w:color w:val="000000"/>
              </w:rPr>
              <w:t>Expected dividend yield</w:t>
            </w:r>
          </w:p>
        </w:tc>
        <w:tc>
          <w:tcPr>
            <w:tcW w:w="9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0"/>
              <w:jc w:val="right"/>
              <w:rPr>
                <w:color w:val="000000"/>
              </w:rPr>
            </w:pPr>
            <w:r>
              <w:rPr>
                <w:color w:val="000000"/>
              </w:rPr>
              <w:t>1.80</w:t>
            </w:r>
          </w:p>
        </w:tc>
        <w:tc>
          <w:tcPr>
            <w:tcW w:w="314" w:type="dxa"/>
            <w:tcBorders/>
            <w:vAlign w:val="bottom"/>
          </w:tcPr>
          <w:p>
            <w:pPr>
              <w:pStyle w:val="TableContents"/>
              <w:bidi w:val="0"/>
              <w:spacing w:before="0" w:after="0"/>
              <w:jc w:val="left"/>
              <w:rPr>
                <w:color w:val="000000"/>
              </w:rPr>
            </w:pPr>
            <w:r>
              <w:rPr>
                <w:color w:val="000000"/>
              </w:rPr>
              <w:t>%</w:t>
            </w:r>
          </w:p>
        </w:tc>
        <w:tc>
          <w:tcPr>
            <w:tcW w:w="115"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0"/>
              <w:jc w:val="right"/>
              <w:rPr>
                <w:color w:val="000000"/>
              </w:rPr>
            </w:pPr>
            <w:r>
              <w:rPr>
                <w:color w:val="000000"/>
              </w:rPr>
              <w:t>1.80</w:t>
            </w:r>
          </w:p>
        </w:tc>
        <w:tc>
          <w:tcPr>
            <w:tcW w:w="290" w:type="dxa"/>
            <w:tcBorders/>
            <w:vAlign w:val="bottom"/>
          </w:tcPr>
          <w:p>
            <w:pPr>
              <w:pStyle w:val="TableContents"/>
              <w:bidi w:val="0"/>
              <w:spacing w:before="0" w:after="0"/>
              <w:jc w:val="left"/>
              <w:rPr>
                <w:color w:val="000000"/>
              </w:rPr>
            </w:pPr>
            <w:r>
              <w:rPr>
                <w:color w:val="000000"/>
              </w:rPr>
              <w:t>%</w:t>
            </w:r>
          </w:p>
        </w:tc>
      </w:tr>
      <w:tr>
        <w:trPr/>
        <w:tc>
          <w:tcPr>
            <w:tcW w:w="3710" w:type="dxa"/>
            <w:tcBorders/>
            <w:shd w:fill="CCEEFF" w:val="clear"/>
            <w:vAlign w:val="bottom"/>
          </w:tcPr>
          <w:p>
            <w:pPr>
              <w:pStyle w:val="TableContents"/>
              <w:bidi w:val="0"/>
              <w:spacing w:before="0" w:after="0"/>
              <w:ind w:left="150" w:right="0" w:hanging="144"/>
              <w:jc w:val="left"/>
              <w:rPr>
                <w:color w:val="000000"/>
              </w:rPr>
            </w:pPr>
            <w:r>
              <w:rPr>
                <w:color w:val="000000"/>
              </w:rPr>
              <w:t>Expected term (years)</w:t>
            </w:r>
          </w:p>
        </w:tc>
        <w:tc>
          <w:tcPr>
            <w:tcW w:w="9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0"/>
              <w:jc w:val="right"/>
              <w:rPr>
                <w:color w:val="000000"/>
              </w:rPr>
            </w:pPr>
            <w:r>
              <w:rPr>
                <w:color w:val="000000"/>
              </w:rPr>
              <w:t>6.1</w:t>
            </w:r>
          </w:p>
        </w:tc>
        <w:tc>
          <w:tcPr>
            <w:tcW w:w="314"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0"/>
              <w:jc w:val="right"/>
              <w:rPr>
                <w:color w:val="000000"/>
              </w:rPr>
            </w:pPr>
            <w:r>
              <w:rPr>
                <w:color w:val="000000"/>
              </w:rPr>
              <w:t>6.1</w:t>
            </w:r>
          </w:p>
        </w:tc>
        <w:tc>
          <w:tcPr>
            <w:tcW w:w="290" w:type="dxa"/>
            <w:tcBorders/>
            <w:shd w:fill="CCEEFF" w:val="clear"/>
            <w:vAlign w:val="bottom"/>
          </w:tcPr>
          <w:p>
            <w:pPr>
              <w:pStyle w:val="TableContents"/>
              <w:bidi w:val="0"/>
              <w:spacing w:before="0" w:after="283"/>
              <w:jc w:val="left"/>
              <w:rPr/>
            </w:pPr>
            <w:r>
              <w:rPr/>
              <w:t> </w:t>
            </w:r>
          </w:p>
        </w:tc>
      </w:tr>
      <w:tr>
        <w:trPr/>
        <w:tc>
          <w:tcPr>
            <w:tcW w:w="3710" w:type="dxa"/>
            <w:tcBorders/>
            <w:vAlign w:val="bottom"/>
          </w:tcPr>
          <w:p>
            <w:pPr>
              <w:pStyle w:val="TableContents"/>
              <w:bidi w:val="0"/>
              <w:spacing w:before="0" w:after="0"/>
              <w:ind w:left="150" w:right="0" w:hanging="144"/>
              <w:jc w:val="left"/>
              <w:rPr>
                <w:color w:val="000000"/>
              </w:rPr>
            </w:pPr>
            <w:r>
              <w:rPr>
                <w:color w:val="000000"/>
              </w:rPr>
              <w:t>Risk-free interest rate</w:t>
            </w:r>
          </w:p>
        </w:tc>
        <w:tc>
          <w:tcPr>
            <w:tcW w:w="9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0"/>
              <w:jc w:val="right"/>
              <w:rPr>
                <w:color w:val="000000"/>
              </w:rPr>
            </w:pPr>
            <w:r>
              <w:rPr>
                <w:color w:val="000000"/>
              </w:rPr>
              <w:t>3.85</w:t>
            </w:r>
          </w:p>
        </w:tc>
        <w:tc>
          <w:tcPr>
            <w:tcW w:w="314" w:type="dxa"/>
            <w:tcBorders/>
            <w:vAlign w:val="bottom"/>
          </w:tcPr>
          <w:p>
            <w:pPr>
              <w:pStyle w:val="TableContents"/>
              <w:bidi w:val="0"/>
              <w:spacing w:before="0" w:after="0"/>
              <w:jc w:val="left"/>
              <w:rPr>
                <w:color w:val="000000"/>
              </w:rPr>
            </w:pPr>
            <w:r>
              <w:rPr>
                <w:color w:val="000000"/>
              </w:rPr>
              <w:t>%</w:t>
            </w:r>
          </w:p>
        </w:tc>
        <w:tc>
          <w:tcPr>
            <w:tcW w:w="115"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0"/>
              <w:jc w:val="right"/>
              <w:rPr>
                <w:color w:val="000000"/>
              </w:rPr>
            </w:pPr>
            <w:r>
              <w:rPr>
                <w:color w:val="000000"/>
              </w:rPr>
              <w:t>4.43</w:t>
            </w:r>
          </w:p>
        </w:tc>
        <w:tc>
          <w:tcPr>
            <w:tcW w:w="290" w:type="dxa"/>
            <w:tcBorders/>
            <w:vAlign w:val="bottom"/>
          </w:tcPr>
          <w:p>
            <w:pPr>
              <w:pStyle w:val="TableContents"/>
              <w:bidi w:val="0"/>
              <w:spacing w:before="0" w:after="0"/>
              <w:jc w:val="left"/>
              <w:rPr>
                <w:color w:val="000000"/>
              </w:rPr>
            </w:pPr>
            <w:r>
              <w:rPr>
                <w:color w:val="000000"/>
              </w:rPr>
              <w:t>%</w:t>
            </w:r>
          </w:p>
        </w:tc>
      </w:tr>
      <w:tr>
        <w:trPr/>
        <w:tc>
          <w:tcPr>
            <w:tcW w:w="3710" w:type="dxa"/>
            <w:tcBorders/>
            <w:shd w:fill="CCEEFF" w:val="clear"/>
            <w:vAlign w:val="bottom"/>
          </w:tcPr>
          <w:p>
            <w:pPr>
              <w:pStyle w:val="TableContents"/>
              <w:bidi w:val="0"/>
              <w:spacing w:before="0" w:after="0"/>
              <w:ind w:left="150" w:right="0" w:hanging="144"/>
              <w:jc w:val="left"/>
              <w:rPr>
                <w:color w:val="000000"/>
              </w:rPr>
            </w:pPr>
            <w:r>
              <w:rPr>
                <w:color w:val="000000"/>
              </w:rPr>
              <w:t>Weighted average grant date fair value</w:t>
            </w:r>
          </w:p>
        </w:tc>
        <w:tc>
          <w:tcPr>
            <w:tcW w:w="9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0"/>
              <w:jc w:val="left"/>
              <w:rPr>
                <w:color w:val="000000"/>
              </w:rPr>
            </w:pPr>
            <w:r>
              <w:rPr>
                <w:color w:val="000000"/>
              </w:rPr>
              <w:t>$</w:t>
            </w:r>
          </w:p>
        </w:tc>
        <w:tc>
          <w:tcPr>
            <w:tcW w:w="756" w:type="dxa"/>
            <w:tcBorders/>
            <w:shd w:fill="CCEEFF" w:val="clear"/>
            <w:vAlign w:val="bottom"/>
          </w:tcPr>
          <w:p>
            <w:pPr>
              <w:pStyle w:val="TableContents"/>
              <w:bidi w:val="0"/>
              <w:spacing w:before="0" w:after="0"/>
              <w:jc w:val="right"/>
              <w:rPr>
                <w:color w:val="000000"/>
              </w:rPr>
            </w:pPr>
            <w:r>
              <w:rPr>
                <w:color w:val="000000"/>
              </w:rPr>
              <w:t>14.44</w:t>
            </w:r>
          </w:p>
        </w:tc>
        <w:tc>
          <w:tcPr>
            <w:tcW w:w="314"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0"/>
              <w:jc w:val="left"/>
              <w:rPr>
                <w:color w:val="000000"/>
              </w:rPr>
            </w:pPr>
            <w:r>
              <w:rPr>
                <w:color w:val="000000"/>
              </w:rPr>
              <w:t>$</w:t>
            </w:r>
          </w:p>
        </w:tc>
        <w:tc>
          <w:tcPr>
            <w:tcW w:w="756" w:type="dxa"/>
            <w:tcBorders/>
            <w:shd w:fill="CCEEFF" w:val="clear"/>
            <w:vAlign w:val="bottom"/>
          </w:tcPr>
          <w:p>
            <w:pPr>
              <w:pStyle w:val="TableContents"/>
              <w:bidi w:val="0"/>
              <w:spacing w:before="0" w:after="0"/>
              <w:jc w:val="right"/>
              <w:rPr>
                <w:color w:val="000000"/>
              </w:rPr>
            </w:pPr>
            <w:r>
              <w:rPr>
                <w:color w:val="000000"/>
              </w:rPr>
              <w:t>13.35</w:t>
            </w:r>
          </w:p>
        </w:tc>
        <w:tc>
          <w:tcPr>
            <w:tcW w:w="290"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total intrinsic value of options exercised during the three months ended March 31, 2026 and 2025 was $— and $459 thousand, respectively.</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18</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Restricted Stock Awards and Units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summary of activity in the Plan during the period indicated is presented in the table below:</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83" w:name="z6241cde4fbe24fdfb1a3afb895b37634"/>
      <w:bookmarkStart w:id="84" w:name="z6241cde4fbe24fdfb1a3afb895b37634"/>
      <w:bookmarkEnd w:id="84"/>
    </w:p>
    <w:tbl>
      <w:tblPr>
        <w:tblW w:w="7039" w:type="dxa"/>
        <w:jc w:val="center"/>
        <w:tblInd w:w="0" w:type="dxa"/>
        <w:tblLayout w:type="fixed"/>
        <w:tblCellMar>
          <w:top w:w="0" w:type="dxa"/>
          <w:left w:w="0" w:type="dxa"/>
          <w:bottom w:w="0" w:type="dxa"/>
          <w:right w:w="0" w:type="dxa"/>
        </w:tblCellMar>
      </w:tblPr>
      <w:tblGrid>
        <w:gridCol w:w="3650"/>
        <w:gridCol w:w="90"/>
        <w:gridCol w:w="97"/>
        <w:gridCol w:w="897"/>
        <w:gridCol w:w="125"/>
        <w:gridCol w:w="90"/>
        <w:gridCol w:w="437"/>
        <w:gridCol w:w="1518"/>
        <w:gridCol w:w="135"/>
      </w:tblGrid>
      <w:tr>
        <w:trPr/>
        <w:tc>
          <w:tcPr>
            <w:tcW w:w="36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Number</w:t>
            </w:r>
          </w:p>
          <w:p>
            <w:pPr>
              <w:pStyle w:val="TableContents"/>
              <w:bidi w:val="0"/>
              <w:spacing w:before="0" w:after="0"/>
              <w:jc w:val="center"/>
              <w:rPr>
                <w:b/>
                <w:color w:val="000000"/>
              </w:rPr>
            </w:pPr>
            <w:r>
              <w:rPr>
                <w:b/>
                <w:color w:val="000000"/>
              </w:rPr>
              <w:t>of Shares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Weighted-Average</w:t>
            </w:r>
          </w:p>
          <w:p>
            <w:pPr>
              <w:pStyle w:val="TableContents"/>
              <w:bidi w:val="0"/>
              <w:spacing w:before="0" w:after="0"/>
              <w:jc w:val="center"/>
              <w:rPr>
                <w:b/>
                <w:color w:val="000000"/>
              </w:rPr>
            </w:pPr>
            <w:r>
              <w:rPr>
                <w:b/>
                <w:color w:val="000000"/>
              </w:rPr>
              <w:t>Grant Date</w:t>
            </w:r>
          </w:p>
          <w:p>
            <w:pPr>
              <w:pStyle w:val="TableContents"/>
              <w:bidi w:val="0"/>
              <w:spacing w:before="0" w:after="0"/>
              <w:jc w:val="center"/>
              <w:rPr>
                <w:b/>
                <w:color w:val="000000"/>
              </w:rPr>
            </w:pPr>
            <w:r>
              <w:rPr>
                <w:b/>
                <w:color w:val="000000"/>
              </w:rPr>
              <w:t>Fair Value</w:t>
            </w:r>
          </w:p>
        </w:tc>
        <w:tc>
          <w:tcPr>
            <w:tcW w:w="135" w:type="dxa"/>
            <w:tcBorders/>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0"/>
              <w:jc w:val="left"/>
              <w:rPr>
                <w:color w:val="000000"/>
                <w:u w:val="single"/>
              </w:rPr>
            </w:pPr>
            <w:r>
              <w:rPr>
                <w:color w:val="000000"/>
                <w:u w:val="single"/>
              </w:rPr>
              <w:t>Three Months Ended March 31, 2026</w:t>
            </w:r>
          </w:p>
        </w:tc>
        <w:tc>
          <w:tcPr>
            <w:tcW w:w="90" w:type="dxa"/>
            <w:tcBorders/>
            <w:vAlign w:val="bottom"/>
          </w:tcPr>
          <w:p>
            <w:pPr>
              <w:pStyle w:val="TableContents"/>
              <w:bidi w:val="0"/>
              <w:spacing w:before="0" w:after="283"/>
              <w:jc w:val="left"/>
              <w:rPr/>
            </w:pPr>
            <w:r>
              <w:rPr/>
              <w:t> </w:t>
            </w:r>
          </w:p>
        </w:tc>
        <w:tc>
          <w:tcPr>
            <w:tcW w:w="994"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55"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0"/>
              <w:ind w:left="144" w:right="0" w:hanging="144"/>
              <w:jc w:val="left"/>
              <w:rPr>
                <w:color w:val="000000"/>
              </w:rPr>
            </w:pPr>
            <w:r>
              <w:rPr>
                <w:color w:val="000000"/>
              </w:rPr>
              <w:t>Outstanding at beginning of year:</w:t>
            </w:r>
          </w:p>
        </w:tc>
        <w:tc>
          <w:tcPr>
            <w:tcW w:w="9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0"/>
              <w:jc w:val="right"/>
              <w:rPr>
                <w:color w:val="000000"/>
              </w:rPr>
            </w:pPr>
            <w:r>
              <w:rPr>
                <w:color w:val="000000"/>
              </w:rPr>
              <w:t>241,035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left"/>
              <w:rPr>
                <w:color w:val="000000"/>
              </w:rPr>
            </w:pPr>
            <w:r>
              <w:rPr>
                <w:color w:val="000000"/>
              </w:rPr>
              <w:t>$</w:t>
            </w:r>
          </w:p>
        </w:tc>
        <w:tc>
          <w:tcPr>
            <w:tcW w:w="1518" w:type="dxa"/>
            <w:tcBorders/>
            <w:shd w:fill="CCEEFF" w:val="clear"/>
            <w:vAlign w:val="bottom"/>
          </w:tcPr>
          <w:p>
            <w:pPr>
              <w:pStyle w:val="TableContents"/>
              <w:bidi w:val="0"/>
              <w:spacing w:before="0" w:after="0"/>
              <w:jc w:val="right"/>
              <w:rPr>
                <w:color w:val="000000"/>
              </w:rPr>
            </w:pPr>
            <w:r>
              <w:rPr>
                <w:color w:val="000000"/>
              </w:rPr>
              <w:t>28.60</w:t>
            </w:r>
          </w:p>
        </w:tc>
        <w:tc>
          <w:tcPr>
            <w:tcW w:w="135" w:type="dxa"/>
            <w:tcBorders/>
            <w:shd w:fill="CCEEFF" w:val="clear"/>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0"/>
              <w:ind w:left="288" w:right="0" w:hanging="144"/>
              <w:jc w:val="left"/>
              <w:rPr>
                <w:color w:val="000000"/>
              </w:rPr>
            </w:pPr>
            <w:r>
              <w:rPr>
                <w:color w:val="000000"/>
              </w:rPr>
              <w:t>Granted</w:t>
            </w:r>
          </w:p>
        </w:tc>
        <w:tc>
          <w:tcPr>
            <w:tcW w:w="9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0"/>
              <w:jc w:val="right"/>
              <w:rPr>
                <w:color w:val="000000"/>
              </w:rPr>
            </w:pPr>
            <w:r>
              <w:rPr>
                <w:color w:val="000000"/>
              </w:rPr>
              <w:t>60,972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0"/>
              <w:jc w:val="right"/>
              <w:rPr>
                <w:color w:val="000000"/>
              </w:rPr>
            </w:pPr>
            <w:r>
              <w:rPr>
                <w:color w:val="000000"/>
              </w:rPr>
              <w:t>41.23</w:t>
            </w:r>
          </w:p>
        </w:tc>
        <w:tc>
          <w:tcPr>
            <w:tcW w:w="135"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0"/>
              <w:ind w:left="288" w:right="0" w:hanging="144"/>
              <w:jc w:val="left"/>
              <w:rPr>
                <w:color w:val="000000"/>
              </w:rPr>
            </w:pPr>
            <w:r>
              <w:rPr>
                <w:color w:val="000000"/>
              </w:rPr>
              <w:t>Released</w:t>
            </w:r>
          </w:p>
        </w:tc>
        <w:tc>
          <w:tcPr>
            <w:tcW w:w="9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0"/>
              <w:jc w:val="right"/>
              <w:rPr>
                <w:color w:val="000000"/>
              </w:rPr>
            </w:pPr>
            <w:r>
              <w:rPr>
                <w:color w:val="000000"/>
              </w:rPr>
              <w:t>(57,194</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0"/>
              <w:jc w:val="right"/>
              <w:rPr>
                <w:color w:val="000000"/>
              </w:rPr>
            </w:pPr>
            <w:r>
              <w:rPr>
                <w:color w:val="000000"/>
              </w:rPr>
              <w:t>29.86</w:t>
            </w:r>
          </w:p>
        </w:tc>
        <w:tc>
          <w:tcPr>
            <w:tcW w:w="135" w:type="dxa"/>
            <w:tcBorders/>
            <w:shd w:fill="CCEEFF" w:val="clear"/>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0"/>
              <w:ind w:left="288" w:right="0" w:hanging="144"/>
              <w:jc w:val="left"/>
              <w:rPr>
                <w:color w:val="000000"/>
              </w:rPr>
            </w:pPr>
            <w:r>
              <w:rPr>
                <w:color w:val="000000"/>
              </w:rPr>
              <w:t>Forfeited</w:t>
            </w:r>
          </w:p>
        </w:tc>
        <w:tc>
          <w:tcPr>
            <w:tcW w:w="90" w:type="dxa"/>
            <w:tcBorders/>
            <w:vAlign w:val="bottom"/>
          </w:tcPr>
          <w:p>
            <w:pPr>
              <w:pStyle w:val="TableContents"/>
              <w:bidi w:val="0"/>
              <w:spacing w:before="0" w:after="283"/>
              <w:jc w:val="left"/>
              <w:rPr/>
            </w:pPr>
            <w:r>
              <w:rPr/>
              <w:t> </w:t>
            </w:r>
          </w:p>
        </w:tc>
        <w:tc>
          <w:tcPr>
            <w:tcW w:w="97" w:type="dxa"/>
            <w:tcBorders>
              <w:bottom w:val="single" w:sz="12" w:space="0" w:color="000000"/>
            </w:tcBorders>
            <w:tcMar>
              <w:bottom w:w="28" w:type="dxa"/>
            </w:tcMar>
            <w:vAlign w:val="bottom"/>
          </w:tcPr>
          <w:p>
            <w:pPr>
              <w:pStyle w:val="TableContents"/>
              <w:bidi w:val="0"/>
              <w:spacing w:before="0" w:after="283"/>
              <w:jc w:val="left"/>
              <w:rPr/>
            </w:pPr>
            <w:r>
              <w:rPr/>
              <w:t> </w:t>
            </w:r>
          </w:p>
        </w:tc>
        <w:tc>
          <w:tcPr>
            <w:tcW w:w="89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(701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0"/>
              <w:jc w:val="right"/>
              <w:rPr>
                <w:color w:val="000000"/>
              </w:rPr>
            </w:pPr>
            <w:r>
              <w:rPr>
                <w:color w:val="000000"/>
              </w:rPr>
              <w:t>23.67</w:t>
            </w:r>
          </w:p>
        </w:tc>
        <w:tc>
          <w:tcPr>
            <w:tcW w:w="135"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0"/>
              <w:ind w:left="144" w:right="0" w:hanging="144"/>
              <w:jc w:val="left"/>
              <w:rPr>
                <w:color w:val="000000"/>
              </w:rPr>
            </w:pPr>
            <w:r>
              <w:rPr>
                <w:color w:val="000000"/>
              </w:rPr>
              <w:t>Balance at end of period</w:t>
            </w:r>
          </w:p>
        </w:tc>
        <w:tc>
          <w:tcPr>
            <w:tcW w:w="90" w:type="dxa"/>
            <w:tcBorders/>
            <w:vAlign w:val="bottom"/>
          </w:tcPr>
          <w:p>
            <w:pPr>
              <w:pStyle w:val="TableContents"/>
              <w:bidi w:val="0"/>
              <w:spacing w:before="0" w:after="283"/>
              <w:jc w:val="left"/>
              <w:rPr/>
            </w:pPr>
            <w:r>
              <w:rPr/>
              <w:t> </w:t>
            </w:r>
          </w:p>
        </w:tc>
        <w:tc>
          <w:tcPr>
            <w:tcW w:w="97" w:type="dxa"/>
            <w:tcBorders>
              <w:bottom w:val="double" w:sz="8" w:space="0" w:color="000000"/>
            </w:tcBorders>
            <w:tcMar>
              <w:bottom w:w="28" w:type="dxa"/>
            </w:tcMar>
            <w:vAlign w:val="bottom"/>
          </w:tcPr>
          <w:p>
            <w:pPr>
              <w:pStyle w:val="TableContents"/>
              <w:bidi w:val="0"/>
              <w:spacing w:before="0" w:after="283"/>
              <w:jc w:val="left"/>
              <w:rPr/>
            </w:pPr>
            <w:r>
              <w:rPr/>
              <w:t> </w:t>
            </w:r>
          </w:p>
        </w:tc>
        <w:tc>
          <w:tcPr>
            <w:tcW w:w="89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244,112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37"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51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31.48</w:t>
            </w:r>
          </w:p>
        </w:tc>
        <w:tc>
          <w:tcPr>
            <w:tcW w:w="135"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0"/>
              <w:ind w:left="144" w:right="0" w:hanging="144"/>
              <w:jc w:val="left"/>
              <w:rPr>
                <w:color w:val="000000"/>
              </w:rPr>
            </w:pPr>
            <w:r>
              <w:rPr>
                <w:color w:val="000000"/>
              </w:rPr>
              <w:t>Nonvested at end of period</w:t>
            </w:r>
          </w:p>
        </w:tc>
        <w:tc>
          <w:tcPr>
            <w:tcW w:w="90" w:type="dxa"/>
            <w:tcBorders/>
            <w:shd w:fill="CCEEFF" w:val="clear"/>
            <w:vAlign w:val="bottom"/>
          </w:tcPr>
          <w:p>
            <w:pPr>
              <w:pStyle w:val="TableContents"/>
              <w:bidi w:val="0"/>
              <w:spacing w:before="0" w:after="283"/>
              <w:jc w:val="left"/>
              <w:rPr/>
            </w:pPr>
            <w:r>
              <w:rPr/>
              <w:t> </w:t>
            </w:r>
          </w:p>
        </w:tc>
        <w:tc>
          <w:tcPr>
            <w:tcW w:w="9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9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152,366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3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1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34.31</w:t>
            </w:r>
          </w:p>
        </w:tc>
        <w:tc>
          <w:tcPr>
            <w:tcW w:w="135" w:type="dxa"/>
            <w:tcBorders/>
            <w:shd w:fill="CCEEFF" w:val="clear"/>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0"/>
              <w:ind w:left="144" w:right="0" w:hanging="144"/>
              <w:jc w:val="left"/>
              <w:rPr>
                <w:color w:val="000000"/>
              </w:rPr>
            </w:pPr>
            <w:r>
              <w:rPr>
                <w:color w:val="000000"/>
              </w:rPr>
              <w:t>Vested unreleased at end of period</w:t>
            </w:r>
          </w:p>
        </w:tc>
        <w:tc>
          <w:tcPr>
            <w:tcW w:w="90" w:type="dxa"/>
            <w:tcBorders/>
            <w:vAlign w:val="bottom"/>
          </w:tcPr>
          <w:p>
            <w:pPr>
              <w:pStyle w:val="TableContents"/>
              <w:bidi w:val="0"/>
              <w:spacing w:before="0" w:after="283"/>
              <w:jc w:val="left"/>
              <w:rPr/>
            </w:pPr>
            <w:r>
              <w:rPr/>
              <w:t> </w:t>
            </w:r>
          </w:p>
        </w:tc>
        <w:tc>
          <w:tcPr>
            <w:tcW w:w="97" w:type="dxa"/>
            <w:tcBorders>
              <w:bottom w:val="double" w:sz="8" w:space="0" w:color="000000"/>
            </w:tcBorders>
            <w:tcMar>
              <w:bottom w:w="28" w:type="dxa"/>
            </w:tcMar>
            <w:vAlign w:val="bottom"/>
          </w:tcPr>
          <w:p>
            <w:pPr>
              <w:pStyle w:val="TableContents"/>
              <w:bidi w:val="0"/>
              <w:spacing w:before="0" w:after="283"/>
              <w:jc w:val="left"/>
              <w:rPr/>
            </w:pPr>
            <w:r>
              <w:rPr/>
              <w:t> </w:t>
            </w:r>
          </w:p>
        </w:tc>
        <w:tc>
          <w:tcPr>
            <w:tcW w:w="89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91,746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37"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51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26.78</w:t>
            </w:r>
          </w:p>
        </w:tc>
        <w:tc>
          <w:tcPr>
            <w:tcW w:w="135" w:type="dxa"/>
            <w:tcBorders/>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Restricted stock units granted under the Plan typically vest from one to four years, but vesting periods may vary. Compensation expense for these grants will be recognized over the vesting period of the awards based on the fair value of the stock at the issue date. The total fair value of restricted stock units released during each of the three months ended March 31, 2026 and 2025 was $1.7 million and $443 thousand, respectively.</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the three months ended March 31, 2026 and 2025, the Company recorded stock-based compensation expense related to the Plan of $627 thousand and $536 thousand, respectively.</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total unrecognized compensation cost for the awards outstanding under the Plan at March 31, 2026 was $5.9 million and will be recognized over a weighted average remaining period of 1.85 years.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Employee Stock Purchase Plan</w:t>
      </w:r>
      <w:r>
        <w:rPr>
          <w:rFonts w:ascii="Times New Roman" w:hAnsi="Times New Roman"/>
          <w:color w:val="000000"/>
          <w:sz w:val="20"/>
          <w:shd w:fill="FFFFFF" w:val="clear"/>
        </w:rPr>
        <w:t xml:space="preserve"> – The Company maintains the South Plains Financial, Inc. 2023 Employee Stock Purchase Plan (the “ESPP”) offering eligible employees an opportunity to purchase shares of Company common stock at a 15% discount from the lesser of fair market value on the first or last day of each six-month offering period, beginning August 1, 2024. The ESPP provides for the purchase of up to an aggregate of one million shares of the Company’s common stock by the employees. A maximum of 1,200 shares per employee may be purchased per offering period. The ESPP benefit is treated as compensation to the employee, and the compensation expense will be recognized over the service period based on the grant date fair value of the rights determined at the beginning of the purchase period, adjusted for forfeitures and certain modifications. Stock-based compensation expense related to the ESPP was $41 thousand and $33 thousand for the three months ended March 31, 2026 and 2025, respectively. At March 31, 2026, there was $45 thousand of total unrecognized compensation expense related to estimated ESPP shares. These costs are expected to be recognized over a period of four months. As of March 31, 2026, 24,377 shares were issued under the ESPP.</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summary of assumptions used to calculate the grant date fair value of the ESPP rights for the periods indicated is presented below:</w:t>
      </w:r>
    </w:p>
    <w:p>
      <w:pPr>
        <w:pStyle w:val="TextBody"/>
        <w:bidi w:val="0"/>
        <w:spacing w:before="0" w:after="0"/>
        <w:jc w:val="center"/>
        <w:rPr/>
      </w:pPr>
      <w:r>
        <w:rPr/>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85" w:name="z6496d301ba28493eaac324feda5c4bad"/>
      <w:bookmarkStart w:id="86" w:name="z6496d301ba28493eaac324feda5c4bad"/>
      <w:bookmarkEnd w:id="86"/>
    </w:p>
    <w:tbl>
      <w:tblPr>
        <w:tblW w:w="6907" w:type="dxa"/>
        <w:jc w:val="center"/>
        <w:tblInd w:w="0" w:type="dxa"/>
        <w:tblLayout w:type="fixed"/>
        <w:tblCellMar>
          <w:top w:w="0" w:type="dxa"/>
          <w:left w:w="0" w:type="dxa"/>
          <w:bottom w:w="0" w:type="dxa"/>
          <w:right w:w="0" w:type="dxa"/>
        </w:tblCellMar>
      </w:tblPr>
      <w:tblGrid>
        <w:gridCol w:w="2360"/>
        <w:gridCol w:w="90"/>
        <w:gridCol w:w="401"/>
        <w:gridCol w:w="1558"/>
        <w:gridCol w:w="202"/>
        <w:gridCol w:w="202"/>
        <w:gridCol w:w="401"/>
        <w:gridCol w:w="1558"/>
        <w:gridCol w:w="135"/>
      </w:tblGrid>
      <w:tr>
        <w:trPr/>
        <w:tc>
          <w:tcPr>
            <w:tcW w:w="23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322" w:type="dxa"/>
            <w:gridSpan w:val="6"/>
            <w:tcBorders>
              <w:bottom w:val="single" w:sz="12" w:space="0" w:color="000000"/>
            </w:tcBorders>
            <w:tcMar>
              <w:bottom w:w="28" w:type="dxa"/>
            </w:tcMar>
            <w:vAlign w:val="bottom"/>
          </w:tcPr>
          <w:p>
            <w:pPr>
              <w:pStyle w:val="TableContents"/>
              <w:bidi w:val="0"/>
              <w:spacing w:before="0" w:after="0"/>
              <w:ind w:left="0" w:right="0" w:firstLine="140"/>
              <w:jc w:val="center"/>
              <w:rPr>
                <w:b/>
                <w:color w:val="000000"/>
              </w:rPr>
            </w:pPr>
            <w:r>
              <w:rPr>
                <w:b/>
                <w:color w:val="000000"/>
              </w:rPr>
              <w:t>Three Months Ended</w:t>
            </w:r>
          </w:p>
          <w:p>
            <w:pPr>
              <w:pStyle w:val="TableContents"/>
              <w:bidi w:val="0"/>
              <w:spacing w:before="0" w:after="0"/>
              <w:ind w:left="0" w:right="0" w:firstLine="140"/>
              <w:jc w:val="center"/>
              <w:rPr>
                <w:b/>
                <w:color w:val="000000"/>
              </w:rPr>
            </w:pPr>
            <w:r>
              <w:rPr>
                <w:b/>
                <w:color w:val="000000"/>
              </w:rPr>
              <w:t>March 31,</w:t>
            </w:r>
          </w:p>
        </w:tc>
        <w:tc>
          <w:tcPr>
            <w:tcW w:w="135" w:type="dxa"/>
            <w:tcBorders/>
            <w:vAlign w:val="bottom"/>
          </w:tcPr>
          <w:p>
            <w:pPr>
              <w:pStyle w:val="TableContents"/>
              <w:bidi w:val="0"/>
              <w:spacing w:before="0" w:after="283"/>
              <w:jc w:val="left"/>
              <w:rPr/>
            </w:pPr>
            <w:r>
              <w:rPr/>
              <w:t> </w:t>
            </w:r>
          </w:p>
        </w:tc>
      </w:tr>
      <w:tr>
        <w:trPr/>
        <w:tc>
          <w:tcPr>
            <w:tcW w:w="23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59" w:type="dxa"/>
            <w:gridSpan w:val="2"/>
            <w:tcBorders>
              <w:bottom w:val="single" w:sz="12" w:space="0" w:color="000000"/>
            </w:tcBorders>
            <w:tcMar>
              <w:bottom w:w="28" w:type="dxa"/>
            </w:tcMar>
            <w:vAlign w:val="bottom"/>
          </w:tcPr>
          <w:p>
            <w:pPr>
              <w:pStyle w:val="TableContents"/>
              <w:bidi w:val="0"/>
              <w:spacing w:before="0" w:after="0"/>
              <w:ind w:left="0" w:right="0" w:firstLine="140"/>
              <w:jc w:val="center"/>
              <w:rPr>
                <w:b/>
                <w:color w:val="000000"/>
              </w:rPr>
            </w:pPr>
            <w:r>
              <w:rPr>
                <w:b/>
                <w:color w:val="000000"/>
              </w:rPr>
              <w:t>2026</w:t>
            </w:r>
          </w:p>
        </w:tc>
        <w:tc>
          <w:tcPr>
            <w:tcW w:w="20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959" w:type="dxa"/>
            <w:gridSpan w:val="2"/>
            <w:tcBorders>
              <w:bottom w:val="single" w:sz="12" w:space="0" w:color="000000"/>
            </w:tcBorders>
            <w:tcMar>
              <w:bottom w:w="28" w:type="dxa"/>
            </w:tcMar>
            <w:vAlign w:val="bottom"/>
          </w:tcPr>
          <w:p>
            <w:pPr>
              <w:pStyle w:val="TableContents"/>
              <w:bidi w:val="0"/>
              <w:spacing w:before="0" w:after="0"/>
              <w:ind w:left="0" w:right="0" w:firstLine="140"/>
              <w:jc w:val="center"/>
              <w:rPr>
                <w:b/>
                <w:color w:val="000000"/>
              </w:rPr>
            </w:pPr>
            <w:r>
              <w:rPr>
                <w:b/>
                <w:color w:val="000000"/>
              </w:rPr>
              <w:t>2025</w:t>
            </w:r>
          </w:p>
        </w:tc>
        <w:tc>
          <w:tcPr>
            <w:tcW w:w="135" w:type="dxa"/>
            <w:tcBorders/>
            <w:vAlign w:val="bottom"/>
          </w:tcPr>
          <w:p>
            <w:pPr>
              <w:pStyle w:val="TableContents"/>
              <w:bidi w:val="0"/>
              <w:spacing w:before="0" w:after="283"/>
              <w:jc w:val="left"/>
              <w:rPr/>
            </w:pPr>
            <w:r>
              <w:rPr/>
              <w:t> </w:t>
            </w:r>
          </w:p>
        </w:tc>
      </w:tr>
      <w:tr>
        <w:trPr/>
        <w:tc>
          <w:tcPr>
            <w:tcW w:w="2360" w:type="dxa"/>
            <w:tcBorders/>
            <w:shd w:fill="CCEEFF" w:val="clear"/>
            <w:vAlign w:val="bottom"/>
          </w:tcPr>
          <w:p>
            <w:pPr>
              <w:pStyle w:val="TableContents"/>
              <w:bidi w:val="0"/>
              <w:spacing w:before="0" w:after="0"/>
              <w:ind w:left="150" w:right="0" w:hanging="144"/>
              <w:jc w:val="left"/>
              <w:rPr>
                <w:color w:val="000000"/>
              </w:rPr>
            </w:pPr>
            <w:r>
              <w:rPr>
                <w:color w:val="000000"/>
              </w:rPr>
              <w:t>Expected volatility</w:t>
            </w:r>
          </w:p>
        </w:tc>
        <w:tc>
          <w:tcPr>
            <w:tcW w:w="90" w:type="dxa"/>
            <w:tcBorders/>
            <w:shd w:fill="CCEEFF" w:val="clear"/>
            <w:vAlign w:val="bottom"/>
          </w:tcPr>
          <w:p>
            <w:pPr>
              <w:pStyle w:val="TableContents"/>
              <w:bidi w:val="0"/>
              <w:spacing w:before="0" w:after="283"/>
              <w:jc w:val="left"/>
              <w:rPr/>
            </w:pPr>
            <w:r>
              <w:rPr/>
              <w:t> </w:t>
            </w:r>
          </w:p>
        </w:tc>
        <w:tc>
          <w:tcPr>
            <w:tcW w:w="1959" w:type="dxa"/>
            <w:gridSpan w:val="2"/>
            <w:tcBorders/>
            <w:shd w:fill="CCEEFF" w:val="clear"/>
            <w:vAlign w:val="bottom"/>
          </w:tcPr>
          <w:p>
            <w:pPr>
              <w:pStyle w:val="TableContents"/>
              <w:bidi w:val="0"/>
              <w:spacing w:before="0" w:after="0"/>
              <w:ind w:left="0" w:right="0" w:firstLine="140"/>
              <w:jc w:val="right"/>
              <w:rPr>
                <w:color w:val="000000"/>
              </w:rPr>
            </w:pPr>
            <w:r>
              <w:rPr>
                <w:color w:val="000000"/>
              </w:rPr>
              <w:t>26.35% to 29.24%</w:t>
            </w:r>
          </w:p>
        </w:tc>
        <w:tc>
          <w:tcPr>
            <w:tcW w:w="20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959" w:type="dxa"/>
            <w:gridSpan w:val="2"/>
            <w:tcBorders/>
            <w:shd w:fill="CCEEFF" w:val="clear"/>
            <w:vAlign w:val="bottom"/>
          </w:tcPr>
          <w:p>
            <w:pPr>
              <w:pStyle w:val="TableContents"/>
              <w:bidi w:val="0"/>
              <w:spacing w:before="0" w:after="0"/>
              <w:ind w:left="0" w:right="0" w:firstLine="140"/>
              <w:jc w:val="right"/>
              <w:rPr>
                <w:color w:val="000000"/>
              </w:rPr>
            </w:pPr>
            <w:r>
              <w:rPr>
                <w:color w:val="000000"/>
              </w:rPr>
              <w:t>31.31% to 36.08%</w:t>
            </w:r>
          </w:p>
        </w:tc>
        <w:tc>
          <w:tcPr>
            <w:tcW w:w="135" w:type="dxa"/>
            <w:tcBorders/>
            <w:shd w:fill="CCEEFF" w:val="clear"/>
            <w:vAlign w:val="bottom"/>
          </w:tcPr>
          <w:p>
            <w:pPr>
              <w:pStyle w:val="TableContents"/>
              <w:bidi w:val="0"/>
              <w:spacing w:before="0" w:after="283"/>
              <w:jc w:val="left"/>
              <w:rPr/>
            </w:pPr>
            <w:r>
              <w:rPr/>
              <w:t> </w:t>
            </w:r>
          </w:p>
        </w:tc>
      </w:tr>
      <w:tr>
        <w:trPr/>
        <w:tc>
          <w:tcPr>
            <w:tcW w:w="2360" w:type="dxa"/>
            <w:tcBorders/>
            <w:vAlign w:val="bottom"/>
          </w:tcPr>
          <w:p>
            <w:pPr>
              <w:pStyle w:val="TableContents"/>
              <w:bidi w:val="0"/>
              <w:spacing w:before="0" w:after="0"/>
              <w:ind w:left="150" w:right="0" w:hanging="144"/>
              <w:jc w:val="left"/>
              <w:rPr>
                <w:color w:val="000000"/>
              </w:rPr>
            </w:pPr>
            <w:r>
              <w:rPr>
                <w:color w:val="000000"/>
              </w:rPr>
              <w:t>Expected dividend yield</w:t>
            </w:r>
          </w:p>
        </w:tc>
        <w:tc>
          <w:tcPr>
            <w:tcW w:w="90" w:type="dxa"/>
            <w:tcBorders/>
            <w:vAlign w:val="bottom"/>
          </w:tcPr>
          <w:p>
            <w:pPr>
              <w:pStyle w:val="TableContents"/>
              <w:bidi w:val="0"/>
              <w:spacing w:before="0" w:after="283"/>
              <w:jc w:val="left"/>
              <w:rPr/>
            </w:pPr>
            <w:r>
              <w:rPr/>
              <w:t> </w:t>
            </w:r>
          </w:p>
        </w:tc>
        <w:tc>
          <w:tcPr>
            <w:tcW w:w="1959" w:type="dxa"/>
            <w:gridSpan w:val="2"/>
            <w:tcBorders/>
            <w:vAlign w:val="bottom"/>
          </w:tcPr>
          <w:p>
            <w:pPr>
              <w:pStyle w:val="TableContents"/>
              <w:bidi w:val="0"/>
              <w:spacing w:before="0" w:after="0"/>
              <w:ind w:left="0" w:right="0" w:firstLine="140"/>
              <w:jc w:val="right"/>
              <w:rPr>
                <w:color w:val="000000"/>
              </w:rPr>
            </w:pPr>
            <w:r>
              <w:rPr>
                <w:color w:val="000000"/>
              </w:rPr>
              <w:t>1.59% to 1.78%</w:t>
            </w:r>
          </w:p>
        </w:tc>
        <w:tc>
          <w:tcPr>
            <w:tcW w:w="20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959" w:type="dxa"/>
            <w:gridSpan w:val="2"/>
            <w:tcBorders/>
            <w:vAlign w:val="bottom"/>
          </w:tcPr>
          <w:p>
            <w:pPr>
              <w:pStyle w:val="TableContents"/>
              <w:bidi w:val="0"/>
              <w:spacing w:before="0" w:after="0"/>
              <w:ind w:left="0" w:right="0" w:firstLine="140"/>
              <w:jc w:val="right"/>
              <w:rPr>
                <w:color w:val="000000"/>
              </w:rPr>
            </w:pPr>
            <w:r>
              <w:rPr>
                <w:color w:val="000000"/>
              </w:rPr>
              <w:t>1.70% to 1.89%</w:t>
            </w:r>
          </w:p>
        </w:tc>
        <w:tc>
          <w:tcPr>
            <w:tcW w:w="135" w:type="dxa"/>
            <w:tcBorders/>
            <w:vAlign w:val="bottom"/>
          </w:tcPr>
          <w:p>
            <w:pPr>
              <w:pStyle w:val="TableContents"/>
              <w:bidi w:val="0"/>
              <w:spacing w:before="0" w:after="283"/>
              <w:jc w:val="left"/>
              <w:rPr/>
            </w:pPr>
            <w:r>
              <w:rPr/>
              <w:t> </w:t>
            </w:r>
          </w:p>
        </w:tc>
      </w:tr>
      <w:tr>
        <w:trPr/>
        <w:tc>
          <w:tcPr>
            <w:tcW w:w="2360" w:type="dxa"/>
            <w:tcBorders/>
            <w:shd w:fill="CCEEFF" w:val="clear"/>
            <w:vAlign w:val="bottom"/>
          </w:tcPr>
          <w:p>
            <w:pPr>
              <w:pStyle w:val="TableContents"/>
              <w:bidi w:val="0"/>
              <w:spacing w:before="0" w:after="0"/>
              <w:ind w:left="150" w:right="0" w:hanging="144"/>
              <w:jc w:val="left"/>
              <w:rPr>
                <w:color w:val="000000"/>
              </w:rPr>
            </w:pPr>
            <w:r>
              <w:rPr>
                <w:color w:val="000000"/>
              </w:rPr>
              <w:t>Expected term (years)</w:t>
            </w:r>
          </w:p>
        </w:tc>
        <w:tc>
          <w:tcPr>
            <w:tcW w:w="90"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 </w:t>
            </w:r>
          </w:p>
        </w:tc>
        <w:tc>
          <w:tcPr>
            <w:tcW w:w="1558" w:type="dxa"/>
            <w:tcBorders/>
            <w:shd w:fill="CCEEFF" w:val="clear"/>
            <w:vAlign w:val="bottom"/>
          </w:tcPr>
          <w:p>
            <w:pPr>
              <w:pStyle w:val="TableContents"/>
              <w:bidi w:val="0"/>
              <w:spacing w:before="0" w:after="0"/>
              <w:jc w:val="right"/>
              <w:rPr>
                <w:color w:val="000000"/>
              </w:rPr>
            </w:pPr>
            <w:r>
              <w:rPr>
                <w:color w:val="000000"/>
              </w:rPr>
              <w:t>0.5</w:t>
            </w:r>
          </w:p>
        </w:tc>
        <w:tc>
          <w:tcPr>
            <w:tcW w:w="20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 </w:t>
            </w:r>
          </w:p>
        </w:tc>
        <w:tc>
          <w:tcPr>
            <w:tcW w:w="1558" w:type="dxa"/>
            <w:tcBorders/>
            <w:shd w:fill="CCEEFF" w:val="clear"/>
            <w:vAlign w:val="bottom"/>
          </w:tcPr>
          <w:p>
            <w:pPr>
              <w:pStyle w:val="TableContents"/>
              <w:bidi w:val="0"/>
              <w:spacing w:before="0" w:after="0"/>
              <w:jc w:val="right"/>
              <w:rPr>
                <w:color w:val="000000"/>
              </w:rPr>
            </w:pPr>
            <w:r>
              <w:rPr>
                <w:color w:val="000000"/>
              </w:rPr>
              <w:t>0.5</w:t>
            </w:r>
          </w:p>
        </w:tc>
        <w:tc>
          <w:tcPr>
            <w:tcW w:w="135" w:type="dxa"/>
            <w:tcBorders/>
            <w:shd w:fill="CCEEFF" w:val="clear"/>
            <w:vAlign w:val="bottom"/>
          </w:tcPr>
          <w:p>
            <w:pPr>
              <w:pStyle w:val="TableContents"/>
              <w:bidi w:val="0"/>
              <w:spacing w:before="0" w:after="283"/>
              <w:jc w:val="left"/>
              <w:rPr/>
            </w:pPr>
            <w:r>
              <w:rPr/>
              <w:t> </w:t>
            </w:r>
          </w:p>
        </w:tc>
      </w:tr>
      <w:tr>
        <w:trPr/>
        <w:tc>
          <w:tcPr>
            <w:tcW w:w="2360" w:type="dxa"/>
            <w:tcBorders/>
            <w:vAlign w:val="bottom"/>
          </w:tcPr>
          <w:p>
            <w:pPr>
              <w:pStyle w:val="TableContents"/>
              <w:bidi w:val="0"/>
              <w:spacing w:before="0" w:after="0"/>
              <w:ind w:left="150" w:right="0" w:hanging="144"/>
              <w:jc w:val="left"/>
              <w:rPr>
                <w:color w:val="000000"/>
              </w:rPr>
            </w:pPr>
            <w:r>
              <w:rPr>
                <w:color w:val="000000"/>
              </w:rPr>
              <w:t>Risk-free interest rate</w:t>
            </w:r>
          </w:p>
        </w:tc>
        <w:tc>
          <w:tcPr>
            <w:tcW w:w="90" w:type="dxa"/>
            <w:tcBorders/>
            <w:vAlign w:val="bottom"/>
          </w:tcPr>
          <w:p>
            <w:pPr>
              <w:pStyle w:val="TableContents"/>
              <w:bidi w:val="0"/>
              <w:spacing w:before="0" w:after="283"/>
              <w:jc w:val="left"/>
              <w:rPr/>
            </w:pPr>
            <w:r>
              <w:rPr/>
              <w:t> </w:t>
            </w:r>
          </w:p>
        </w:tc>
        <w:tc>
          <w:tcPr>
            <w:tcW w:w="1959" w:type="dxa"/>
            <w:gridSpan w:val="2"/>
            <w:tcBorders/>
            <w:vAlign w:val="bottom"/>
          </w:tcPr>
          <w:p>
            <w:pPr>
              <w:pStyle w:val="TableContents"/>
              <w:bidi w:val="0"/>
              <w:spacing w:before="0" w:after="0"/>
              <w:ind w:left="0" w:right="0" w:firstLine="140"/>
              <w:jc w:val="right"/>
              <w:rPr>
                <w:color w:val="000000"/>
              </w:rPr>
            </w:pPr>
            <w:r>
              <w:rPr>
                <w:color w:val="000000"/>
              </w:rPr>
              <w:t>3.59% to 4.12%</w:t>
            </w:r>
          </w:p>
        </w:tc>
        <w:tc>
          <w:tcPr>
            <w:tcW w:w="20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959" w:type="dxa"/>
            <w:gridSpan w:val="2"/>
            <w:tcBorders/>
            <w:vAlign w:val="bottom"/>
          </w:tcPr>
          <w:p>
            <w:pPr>
              <w:pStyle w:val="TableContents"/>
              <w:bidi w:val="0"/>
              <w:spacing w:before="0" w:after="0"/>
              <w:ind w:left="0" w:right="0" w:firstLine="140"/>
              <w:jc w:val="right"/>
              <w:rPr>
                <w:color w:val="000000"/>
              </w:rPr>
            </w:pPr>
            <w:r>
              <w:rPr>
                <w:color w:val="000000"/>
              </w:rPr>
              <w:t>4.24% to 5.02%</w:t>
            </w:r>
          </w:p>
        </w:tc>
        <w:tc>
          <w:tcPr>
            <w:tcW w:w="135" w:type="dxa"/>
            <w:tcBorders/>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9. OFF-BALANCE-SHEET ACTIVITIES, COMMITMENTS AND CONTINGENCIES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Financial instruments with off-balance-sheet risk</w:t>
      </w:r>
      <w:r>
        <w:rPr>
          <w:rFonts w:ascii="Times New Roman" w:hAnsi="Times New Roman"/>
          <w:color w:val="000000"/>
          <w:sz w:val="20"/>
          <w:shd w:fill="FFFFFF" w:val="clear"/>
        </w:rPr>
        <w:t xml:space="preserve"> - The Company is a party to financial instruments with off-balance-sheet risk in the normal course of business to meet the financing needs of its customers. These financial instruments include commitments to extend credit and standby letters of credit. Such commitments involve, to varying degrees, elements of credit and interest rate risk in excess of the amount recognized in the Company’s consolidated financial statements. The Company’s exposure to credit loss is represented by the contractual amount of these commitments. The Company follows the same credit policies in making commitments as it does for recorded instruments.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Financial instruments whose contract amounts represent credit risk outstanding at the dates indicated follow (dollars in thousands):</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87" w:name="zd727cf8f5c39432e825c15c017e8385e"/>
      <w:bookmarkStart w:id="88" w:name="zd727cf8f5c39432e825c15c017e8385e"/>
      <w:bookmarkEnd w:id="88"/>
    </w:p>
    <w:tbl>
      <w:tblPr>
        <w:tblW w:w="10205" w:type="dxa"/>
        <w:jc w:val="center"/>
        <w:tblInd w:w="0" w:type="dxa"/>
        <w:tblLayout w:type="fixed"/>
        <w:tblCellMar>
          <w:top w:w="0" w:type="dxa"/>
          <w:left w:w="0" w:type="dxa"/>
          <w:bottom w:w="0" w:type="dxa"/>
          <w:right w:w="0" w:type="dxa"/>
        </w:tblCellMar>
      </w:tblPr>
      <w:tblGrid>
        <w:gridCol w:w="7261"/>
        <w:gridCol w:w="90"/>
        <w:gridCol w:w="186"/>
        <w:gridCol w:w="911"/>
        <w:gridCol w:w="90"/>
        <w:gridCol w:w="90"/>
        <w:gridCol w:w="244"/>
        <w:gridCol w:w="1195"/>
        <w:gridCol w:w="138"/>
      </w:tblGrid>
      <w:tr>
        <w:trPr/>
        <w:tc>
          <w:tcPr>
            <w:tcW w:w="726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9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March 31,</w:t>
            </w:r>
          </w:p>
          <w:p>
            <w:pPr>
              <w:pStyle w:val="TableContents"/>
              <w:bidi w:val="0"/>
              <w:spacing w:before="0" w:after="0"/>
              <w:jc w:val="center"/>
              <w:rPr>
                <w:b/>
                <w:color w:val="000000"/>
              </w:rPr>
            </w:pPr>
            <w:r>
              <w:rPr>
                <w:b/>
                <w:color w:val="000000"/>
              </w:rPr>
              <w:t>2026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3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w:t>
            </w:r>
          </w:p>
          <w:p>
            <w:pPr>
              <w:pStyle w:val="TableContents"/>
              <w:bidi w:val="0"/>
              <w:spacing w:before="0" w:after="0"/>
              <w:jc w:val="center"/>
              <w:rPr>
                <w:b/>
                <w:color w:val="000000"/>
              </w:rPr>
            </w:pPr>
            <w:r>
              <w:rPr>
                <w:b/>
                <w:color w:val="000000"/>
              </w:rPr>
              <w:t>2025</w:t>
            </w:r>
          </w:p>
        </w:tc>
        <w:tc>
          <w:tcPr>
            <w:tcW w:w="138" w:type="dxa"/>
            <w:tcBorders/>
            <w:vAlign w:val="bottom"/>
          </w:tcPr>
          <w:p>
            <w:pPr>
              <w:pStyle w:val="TableContents"/>
              <w:bidi w:val="0"/>
              <w:spacing w:before="0" w:after="283"/>
              <w:jc w:val="left"/>
              <w:rPr/>
            </w:pPr>
            <w:r>
              <w:rPr/>
              <w:t> </w:t>
            </w:r>
          </w:p>
        </w:tc>
      </w:tr>
      <w:tr>
        <w:trPr/>
        <w:tc>
          <w:tcPr>
            <w:tcW w:w="7261" w:type="dxa"/>
            <w:tcBorders/>
            <w:shd w:fill="CCEEFF" w:val="clear"/>
            <w:vAlign w:val="bottom"/>
          </w:tcPr>
          <w:p>
            <w:pPr>
              <w:pStyle w:val="TableContents"/>
              <w:bidi w:val="0"/>
              <w:spacing w:before="0" w:after="0"/>
              <w:ind w:left="144" w:right="0" w:hanging="144"/>
              <w:jc w:val="left"/>
              <w:rPr>
                <w:color w:val="000000"/>
              </w:rPr>
            </w:pPr>
            <w:r>
              <w:rPr>
                <w:color w:val="000000"/>
              </w:rPr>
              <w:t>Commitments to grant loans and unfunded commitments under lines of credit</w:t>
            </w:r>
          </w:p>
        </w:tc>
        <w:tc>
          <w:tcPr>
            <w:tcW w:w="9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0"/>
              <w:jc w:val="left"/>
              <w:rPr>
                <w:color w:val="000000"/>
              </w:rPr>
            </w:pPr>
            <w:r>
              <w:rPr>
                <w:color w:val="000000"/>
              </w:rPr>
              <w:t>$</w:t>
            </w:r>
          </w:p>
        </w:tc>
        <w:tc>
          <w:tcPr>
            <w:tcW w:w="911" w:type="dxa"/>
            <w:tcBorders/>
            <w:shd w:fill="CCEEFF" w:val="clear"/>
            <w:vAlign w:val="bottom"/>
          </w:tcPr>
          <w:p>
            <w:pPr>
              <w:pStyle w:val="TableContents"/>
              <w:bidi w:val="0"/>
              <w:spacing w:before="0" w:after="0"/>
              <w:jc w:val="right"/>
              <w:rPr>
                <w:color w:val="000000"/>
              </w:rPr>
            </w:pPr>
            <w:r>
              <w:rPr>
                <w:color w:val="000000"/>
              </w:rPr>
              <w:t>627,886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0"/>
              <w:jc w:val="left"/>
              <w:rPr>
                <w:color w:val="000000"/>
              </w:rPr>
            </w:pPr>
            <w:r>
              <w:rPr>
                <w:color w:val="000000"/>
              </w:rPr>
              <w:t>$</w:t>
            </w:r>
          </w:p>
        </w:tc>
        <w:tc>
          <w:tcPr>
            <w:tcW w:w="1195" w:type="dxa"/>
            <w:tcBorders/>
            <w:shd w:fill="CCEEFF" w:val="clear"/>
            <w:vAlign w:val="bottom"/>
          </w:tcPr>
          <w:p>
            <w:pPr>
              <w:pStyle w:val="TableContents"/>
              <w:bidi w:val="0"/>
              <w:spacing w:before="0" w:after="0"/>
              <w:jc w:val="right"/>
              <w:rPr>
                <w:color w:val="000000"/>
              </w:rPr>
            </w:pPr>
            <w:r>
              <w:rPr>
                <w:color w:val="000000"/>
              </w:rPr>
              <w:t>554,286</w:t>
            </w:r>
          </w:p>
        </w:tc>
        <w:tc>
          <w:tcPr>
            <w:tcW w:w="138" w:type="dxa"/>
            <w:tcBorders/>
            <w:shd w:fill="CCEEFF" w:val="clear"/>
            <w:vAlign w:val="bottom"/>
          </w:tcPr>
          <w:p>
            <w:pPr>
              <w:pStyle w:val="TableContents"/>
              <w:bidi w:val="0"/>
              <w:spacing w:before="0" w:after="283"/>
              <w:jc w:val="left"/>
              <w:rPr/>
            </w:pPr>
            <w:r>
              <w:rPr/>
              <w:t> </w:t>
            </w:r>
          </w:p>
        </w:tc>
      </w:tr>
      <w:tr>
        <w:trPr/>
        <w:tc>
          <w:tcPr>
            <w:tcW w:w="7261" w:type="dxa"/>
            <w:tcBorders/>
            <w:vAlign w:val="bottom"/>
          </w:tcPr>
          <w:p>
            <w:pPr>
              <w:pStyle w:val="TableContents"/>
              <w:bidi w:val="0"/>
              <w:spacing w:before="0" w:after="0"/>
              <w:ind w:left="144" w:right="0" w:hanging="144"/>
              <w:jc w:val="left"/>
              <w:rPr>
                <w:color w:val="000000"/>
              </w:rPr>
            </w:pPr>
            <w:r>
              <w:rPr>
                <w:color w:val="000000"/>
              </w:rPr>
              <w:t>Standby letters of credit</w:t>
            </w:r>
          </w:p>
        </w:tc>
        <w:tc>
          <w:tcPr>
            <w:tcW w:w="9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0"/>
              <w:jc w:val="right"/>
              <w:rPr>
                <w:color w:val="000000"/>
              </w:rPr>
            </w:pPr>
            <w:r>
              <w:rPr>
                <w:color w:val="000000"/>
              </w:rPr>
              <w:t>29,791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0"/>
              <w:jc w:val="right"/>
              <w:rPr>
                <w:color w:val="000000"/>
              </w:rPr>
            </w:pPr>
            <w:r>
              <w:rPr>
                <w:color w:val="000000"/>
              </w:rPr>
              <w:t>30,681</w:t>
            </w:r>
          </w:p>
        </w:tc>
        <w:tc>
          <w:tcPr>
            <w:tcW w:w="138" w:type="dxa"/>
            <w:tcBorders/>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19</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Commitments to grant loans and extend credit are agreements to lend to a customer as long as there is no violation of any condition established in the contract. Commitments generally have fixed expiration dates or other termination clauses and may require payment of a fee. The commitments for lines of credit may expire without being drawn upon. Therefore, the total commitment amounts do not necessarily represent future cash requirements. The amount of collateral obtained, if it is deemed necessary by the Company, is based on management’s credit evaluation of the customer.</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Standby letters of credit are conditional commitments issued by the Company to guarantee the performance of a customer to a third party. Those letters of credit are primarily issued to support public and private borrowing arrangements. Essentially all letters of credit issued have expiration dates within one year. The credit risk involved in issuing letters of credit is essentially the same as that involved in extending loan facilities to customers. The Company requires collateral supporting those commitments if deemed necessary.</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FHLB Letters of Credit</w:t>
      </w:r>
      <w:r>
        <w:rPr>
          <w:rFonts w:ascii="Times New Roman" w:hAnsi="Times New Roman"/>
          <w:color w:val="000000"/>
          <w:sz w:val="20"/>
          <w:shd w:fill="FFFFFF" w:val="clear"/>
        </w:rPr>
        <w:t xml:space="preserve"> - The Company may use FHLB letters of credit to pledge to certain public deposits. At March 31, 2026 and December 31, 2025 there were no FHLB letters of credit outstanding.</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Litigation</w:t>
      </w:r>
      <w:r>
        <w:rPr>
          <w:rFonts w:ascii="Times New Roman" w:hAnsi="Times New Roman"/>
          <w:color w:val="000000"/>
          <w:sz w:val="20"/>
          <w:shd w:fill="FFFFFF" w:val="clear"/>
        </w:rPr>
        <w:t xml:space="preserve"> – The Company is a defendant in legal actions arising from time to time in the normal course of business. Management believes that the ultimate liability, if any, arising from these matters will not materially affect the consolidated financial statements, based on information known as of the date the consolidated financial statements were available to be issued.</w:t>
      </w:r>
    </w:p>
    <w:p>
      <w:pPr>
        <w:pStyle w:val="TextBody"/>
        <w:bidi w:val="0"/>
        <w:spacing w:before="0" w:after="0"/>
        <w:jc w:val="center"/>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10. CAPITAL AND REGULATORY MATTERS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and its bank subsidiary are subject to various regulatory capital requirements administered by its banking regulators. Failure to meet minimum capital requirements can initiate certain mandatory and possibly additional discretionary actions by regulators that, if undertaken, could have a direct material effect on the Company’s and its bank subsidiary’s financial statements. Under capital guidelines and the regulatory framework for prompt corrective action, the Company and its bank subsidiary must meet specific capital guidelines that involve quantitative measures of their assets, liabilities, and certain off-balance-sheet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Quantitative measures established by regulation to ensure capital adequacy require the Company and its bank subsidiary to maintain minimum amounts and ratios (set forth in the following table) of total and Tier 1 capital (as defined in the regulations) to risk-weighted assets (as defined) and of Tier 1 capital (as defined) to average assets (as defined). Management believes, as of March 31, 2026 and December 31, 2025, that the Company and its bank subsidiary met all capital adequacy requirements to which they are subject.</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March 31, 2026 and December 31, 2025, the Company met the definition of “well-capitalized” under the applicable regulations of the Board of Governors of the Federal Reserve System and the bank subsidiary was “well capitalized” under the FDIC’s regulatory framework for prompt corrective action and the Basel III capital guidelines. To be categorized as well capitalized, an institution must maintain minimum total risk-based, Tier 1 risk-based and Tier 1 leverage ratios as set forth in the following tables. There are no conditions or events since March 31, 2026 that management believes have changed the bank subsidiary’s category.</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and its bank subsidiary’s actual capital amounts and ratios at the dates indicated follows (dollars in thousands):</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89" w:name="z9e766c2235cf4814b7f2c01c2acadd38"/>
      <w:bookmarkStart w:id="90" w:name="z9e766c2235cf4814b7f2c01c2acadd38"/>
      <w:bookmarkEnd w:id="90"/>
    </w:p>
    <w:tbl>
      <w:tblPr>
        <w:tblW w:w="10205" w:type="dxa"/>
        <w:jc w:val="center"/>
        <w:tblInd w:w="0" w:type="dxa"/>
        <w:tblLayout w:type="fixed"/>
        <w:tblCellMar>
          <w:top w:w="0" w:type="dxa"/>
          <w:left w:w="0" w:type="dxa"/>
          <w:bottom w:w="0" w:type="dxa"/>
          <w:right w:w="0" w:type="dxa"/>
        </w:tblCellMar>
      </w:tblPr>
      <w:tblGrid>
        <w:gridCol w:w="3029"/>
        <w:gridCol w:w="90"/>
        <w:gridCol w:w="170"/>
        <w:gridCol w:w="830"/>
        <w:gridCol w:w="90"/>
        <w:gridCol w:w="90"/>
        <w:gridCol w:w="90"/>
        <w:gridCol w:w="590"/>
        <w:gridCol w:w="245"/>
        <w:gridCol w:w="90"/>
        <w:gridCol w:w="179"/>
        <w:gridCol w:w="879"/>
        <w:gridCol w:w="95"/>
        <w:gridCol w:w="95"/>
        <w:gridCol w:w="95"/>
        <w:gridCol w:w="625"/>
        <w:gridCol w:w="245"/>
        <w:gridCol w:w="90"/>
        <w:gridCol w:w="209"/>
        <w:gridCol w:w="1024"/>
        <w:gridCol w:w="110"/>
        <w:gridCol w:w="110"/>
        <w:gridCol w:w="110"/>
        <w:gridCol w:w="728"/>
        <w:gridCol w:w="297"/>
      </w:tblGrid>
      <w:tr>
        <w:trPr/>
        <w:tc>
          <w:tcPr>
            <w:tcW w:w="30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Actual</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68"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Minimum Required</w:t>
            </w:r>
          </w:p>
          <w:p>
            <w:pPr>
              <w:pStyle w:val="TableContents"/>
              <w:bidi w:val="0"/>
              <w:spacing w:before="0" w:after="0"/>
              <w:jc w:val="center"/>
              <w:rPr>
                <w:b/>
                <w:color w:val="000000"/>
              </w:rPr>
            </w:pPr>
            <w:r>
              <w:rPr>
                <w:b/>
                <w:color w:val="000000"/>
              </w:rPr>
              <w:t>Under BASEL III</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1"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 Be Well Capitalized</w:t>
            </w:r>
          </w:p>
          <w:p>
            <w:pPr>
              <w:pStyle w:val="TableContents"/>
              <w:bidi w:val="0"/>
              <w:spacing w:before="0" w:after="0"/>
              <w:jc w:val="center"/>
              <w:rPr>
                <w:b/>
                <w:color w:val="000000"/>
              </w:rPr>
            </w:pPr>
            <w:r>
              <w:rPr>
                <w:b/>
                <w:color w:val="000000"/>
              </w:rPr>
              <w:t>Under Prompt Corrective</w:t>
            </w:r>
          </w:p>
          <w:p>
            <w:pPr>
              <w:pStyle w:val="TableContents"/>
              <w:bidi w:val="0"/>
              <w:spacing w:before="0" w:after="0"/>
              <w:jc w:val="center"/>
              <w:rPr>
                <w:b/>
                <w:color w:val="000000"/>
              </w:rPr>
            </w:pPr>
            <w:r>
              <w:rPr>
                <w:b/>
                <w:color w:val="000000"/>
              </w:rPr>
              <w:t>Action Provisions</w:t>
            </w:r>
          </w:p>
        </w:tc>
        <w:tc>
          <w:tcPr>
            <w:tcW w:w="297" w:type="dxa"/>
            <w:tcBorders/>
            <w:vAlign w:val="bottom"/>
          </w:tcPr>
          <w:p>
            <w:pPr>
              <w:pStyle w:val="TableContents"/>
              <w:bidi w:val="0"/>
              <w:spacing w:before="0" w:after="283"/>
              <w:jc w:val="left"/>
              <w:rPr/>
            </w:pPr>
            <w:r>
              <w:rPr/>
              <w:t> </w:t>
            </w:r>
          </w:p>
        </w:tc>
      </w:tr>
      <w:tr>
        <w:trPr/>
        <w:tc>
          <w:tcPr>
            <w:tcW w:w="30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Ratio</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Ratio</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83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Ratio</w:t>
            </w:r>
          </w:p>
        </w:tc>
        <w:tc>
          <w:tcPr>
            <w:tcW w:w="297" w:type="dxa"/>
            <w:tcBorders/>
            <w:vAlign w:val="bottom"/>
          </w:tcPr>
          <w:p>
            <w:pPr>
              <w:pStyle w:val="TableContents"/>
              <w:bidi w:val="0"/>
              <w:spacing w:before="0" w:after="283"/>
              <w:jc w:val="left"/>
              <w:rPr/>
            </w:pPr>
            <w:r>
              <w:rPr/>
              <w:t> </w:t>
            </w:r>
          </w:p>
        </w:tc>
      </w:tr>
      <w:tr>
        <w:trPr/>
        <w:tc>
          <w:tcPr>
            <w:tcW w:w="3029" w:type="dxa"/>
            <w:tcBorders/>
            <w:vAlign w:val="bottom"/>
          </w:tcPr>
          <w:p>
            <w:pPr>
              <w:pStyle w:val="TableContents"/>
              <w:bidi w:val="0"/>
              <w:spacing w:before="0" w:after="0"/>
              <w:jc w:val="left"/>
              <w:rPr>
                <w:color w:val="000000"/>
                <w:u w:val="single"/>
              </w:rPr>
            </w:pPr>
            <w:r>
              <w:rPr>
                <w:color w:val="000000"/>
                <w:u w:val="single"/>
              </w:rPr>
              <w:t>March 31, 2026</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8"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2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3"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838" w:type="dxa"/>
            <w:gridSpan w:val="2"/>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r>
      <w:tr>
        <w:trPr/>
        <w:tc>
          <w:tcPr>
            <w:tcW w:w="3029" w:type="dxa"/>
            <w:tcBorders/>
            <w:vAlign w:val="bottom"/>
          </w:tcPr>
          <w:p>
            <w:pPr>
              <w:pStyle w:val="TableContents"/>
              <w:bidi w:val="0"/>
              <w:spacing w:before="0" w:after="0"/>
              <w:jc w:val="left"/>
              <w:rPr>
                <w:color w:val="000000"/>
              </w:rPr>
            </w:pPr>
            <w:r>
              <w:rPr>
                <w:color w:val="000000"/>
              </w:rPr>
              <w:t>Total Capital to Risk Weighted Assets:</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8"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2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3"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838" w:type="dxa"/>
            <w:gridSpan w:val="2"/>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r>
      <w:tr>
        <w:trPr/>
        <w:tc>
          <w:tcPr>
            <w:tcW w:w="3029" w:type="dxa"/>
            <w:tcBorders/>
            <w:shd w:fill="CCEEFF" w:val="clear"/>
            <w:vAlign w:val="bottom"/>
          </w:tcPr>
          <w:p>
            <w:pPr>
              <w:pStyle w:val="TableContents"/>
              <w:bidi w:val="0"/>
              <w:spacing w:before="0" w:after="0"/>
              <w:ind w:left="144" w:right="0" w:hanging="144"/>
              <w:jc w:val="left"/>
              <w:rPr>
                <w:color w:val="000000"/>
              </w:rPr>
            </w:pPr>
            <w:r>
              <w:rPr>
                <w:color w:val="000000"/>
              </w:rPr>
              <w:t>Consolidated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634,568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17.61</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0"/>
              <w:jc w:val="left"/>
              <w:rPr>
                <w:color w:val="000000"/>
              </w:rPr>
            </w:pPr>
            <w:r>
              <w:rPr>
                <w:color w:val="000000"/>
              </w:rPr>
              <w:t>$</w:t>
            </w:r>
          </w:p>
        </w:tc>
        <w:tc>
          <w:tcPr>
            <w:tcW w:w="879" w:type="dxa"/>
            <w:tcBorders/>
            <w:shd w:fill="CCEEFF" w:val="clear"/>
            <w:vAlign w:val="bottom"/>
          </w:tcPr>
          <w:p>
            <w:pPr>
              <w:pStyle w:val="TableContents"/>
              <w:bidi w:val="0"/>
              <w:spacing w:before="0" w:after="0"/>
              <w:jc w:val="right"/>
              <w:rPr>
                <w:color w:val="000000"/>
              </w:rPr>
            </w:pPr>
            <w:r>
              <w:rPr>
                <w:color w:val="000000"/>
              </w:rPr>
              <w:t>378,314</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0"/>
              <w:jc w:val="right"/>
              <w:rPr>
                <w:color w:val="000000"/>
              </w:rPr>
            </w:pPr>
            <w:r>
              <w:rPr>
                <w:color w:val="000000"/>
              </w:rPr>
              <w:t>10.50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color w:val="000000"/>
              </w:rPr>
            </w:pPr>
            <w:r>
              <w:rPr>
                <w:color w:val="000000"/>
              </w:rPr>
              <w:t>N/A</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0"/>
              <w:jc w:val="right"/>
              <w:rPr>
                <w:color w:val="000000"/>
              </w:rPr>
            </w:pPr>
            <w:r>
              <w:rPr>
                <w:color w:val="000000"/>
              </w:rPr>
              <w:t>N/A</w:t>
            </w:r>
          </w:p>
        </w:tc>
        <w:tc>
          <w:tcPr>
            <w:tcW w:w="297" w:type="dxa"/>
            <w:tcBorders/>
            <w:shd w:fill="CCEEFF" w:val="clear"/>
            <w:vAlign w:val="bottom"/>
          </w:tcPr>
          <w:p>
            <w:pPr>
              <w:pStyle w:val="TableContents"/>
              <w:bidi w:val="0"/>
              <w:spacing w:before="0" w:after="283"/>
              <w:jc w:val="left"/>
              <w:rPr/>
            </w:pPr>
            <w:r>
              <w:rPr/>
              <w:t> </w:t>
            </w:r>
          </w:p>
        </w:tc>
      </w:tr>
      <w:tr>
        <w:trPr/>
        <w:tc>
          <w:tcPr>
            <w:tcW w:w="3029" w:type="dxa"/>
            <w:tcBorders/>
            <w:vAlign w:val="bottom"/>
          </w:tcPr>
          <w:p>
            <w:pPr>
              <w:pStyle w:val="TableContents"/>
              <w:bidi w:val="0"/>
              <w:spacing w:before="0" w:after="0"/>
              <w:ind w:left="144" w:right="0" w:hanging="144"/>
              <w:jc w:val="left"/>
              <w:rPr>
                <w:color w:val="000000"/>
              </w:rPr>
            </w:pPr>
            <w:r>
              <w:rPr>
                <w:color w:val="000000"/>
              </w:rPr>
              <w:t>City Bank</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541,696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15.04</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0"/>
              <w:jc w:val="right"/>
              <w:rPr>
                <w:color w:val="000000"/>
              </w:rPr>
            </w:pPr>
            <w:r>
              <w:rPr>
                <w:color w:val="000000"/>
              </w:rPr>
              <w:t>378,180</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0"/>
              <w:jc w:val="right"/>
              <w:rPr>
                <w:color w:val="000000"/>
              </w:rPr>
            </w:pPr>
            <w:r>
              <w:rPr>
                <w:color w:val="000000"/>
              </w:rPr>
              <w:t>10.50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0"/>
              <w:jc w:val="left"/>
              <w:rPr>
                <w:color w:val="000000"/>
              </w:rPr>
            </w:pPr>
            <w:r>
              <w:rPr>
                <w:color w:val="000000"/>
              </w:rPr>
              <w:t>$</w:t>
            </w:r>
          </w:p>
        </w:tc>
        <w:tc>
          <w:tcPr>
            <w:tcW w:w="1024" w:type="dxa"/>
            <w:tcBorders/>
            <w:vAlign w:val="bottom"/>
          </w:tcPr>
          <w:p>
            <w:pPr>
              <w:pStyle w:val="TableContents"/>
              <w:bidi w:val="0"/>
              <w:spacing w:before="0" w:after="0"/>
              <w:jc w:val="right"/>
              <w:rPr>
                <w:color w:val="000000"/>
              </w:rPr>
            </w:pPr>
            <w:r>
              <w:rPr>
                <w:color w:val="000000"/>
              </w:rPr>
              <w:t>360,171</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0"/>
              <w:jc w:val="right"/>
              <w:rPr>
                <w:color w:val="000000"/>
              </w:rPr>
            </w:pPr>
            <w:r>
              <w:rPr>
                <w:color w:val="000000"/>
              </w:rPr>
              <w:t>10.00</w:t>
            </w:r>
          </w:p>
        </w:tc>
        <w:tc>
          <w:tcPr>
            <w:tcW w:w="297" w:type="dxa"/>
            <w:tcBorders/>
            <w:vAlign w:val="bottom"/>
          </w:tcPr>
          <w:p>
            <w:pPr>
              <w:pStyle w:val="TableContents"/>
              <w:bidi w:val="0"/>
              <w:spacing w:before="0" w:after="0"/>
              <w:jc w:val="left"/>
              <w:rPr>
                <w:color w:val="000000"/>
              </w:rPr>
            </w:pPr>
            <w:r>
              <w:rPr>
                <w:color w:val="000000"/>
              </w:rPr>
              <w:t>%</w:t>
            </w:r>
          </w:p>
        </w:tc>
      </w:tr>
      <w:tr>
        <w:trPr/>
        <w:tc>
          <w:tcPr>
            <w:tcW w:w="302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 </w:t>
            </w:r>
          </w:p>
        </w:tc>
        <w:tc>
          <w:tcPr>
            <w:tcW w:w="297" w:type="dxa"/>
            <w:tcBorders/>
            <w:shd w:fill="CCEEFF" w:val="clear"/>
            <w:vAlign w:val="bottom"/>
          </w:tcPr>
          <w:p>
            <w:pPr>
              <w:pStyle w:val="TableContents"/>
              <w:bidi w:val="0"/>
              <w:spacing w:before="0" w:after="283"/>
              <w:jc w:val="left"/>
              <w:rPr/>
            </w:pPr>
            <w:r>
              <w:rPr/>
              <w:t> </w:t>
            </w:r>
          </w:p>
        </w:tc>
      </w:tr>
      <w:tr>
        <w:trPr/>
        <w:tc>
          <w:tcPr>
            <w:tcW w:w="3029" w:type="dxa"/>
            <w:tcBorders/>
            <w:vAlign w:val="bottom"/>
          </w:tcPr>
          <w:p>
            <w:pPr>
              <w:pStyle w:val="TableContents"/>
              <w:bidi w:val="0"/>
              <w:spacing w:before="0" w:after="0"/>
              <w:jc w:val="left"/>
              <w:rPr>
                <w:color w:val="000000"/>
              </w:rPr>
            </w:pPr>
            <w:r>
              <w:rPr>
                <w:color w:val="000000"/>
              </w:rPr>
              <w:t>Tier 1 Capital to Risk Weighted Assets: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 </w:t>
            </w:r>
          </w:p>
        </w:tc>
        <w:tc>
          <w:tcPr>
            <w:tcW w:w="297" w:type="dxa"/>
            <w:tcBorders/>
            <w:vAlign w:val="bottom"/>
          </w:tcPr>
          <w:p>
            <w:pPr>
              <w:pStyle w:val="TableContents"/>
              <w:bidi w:val="0"/>
              <w:spacing w:before="0" w:after="283"/>
              <w:jc w:val="left"/>
              <w:rPr/>
            </w:pPr>
            <w:r>
              <w:rPr/>
              <w:t> </w:t>
            </w:r>
          </w:p>
        </w:tc>
      </w:tr>
      <w:tr>
        <w:trPr/>
        <w:tc>
          <w:tcPr>
            <w:tcW w:w="3029" w:type="dxa"/>
            <w:tcBorders/>
            <w:shd w:fill="CCEEFF" w:val="clear"/>
            <w:vAlign w:val="bottom"/>
          </w:tcPr>
          <w:p>
            <w:pPr>
              <w:pStyle w:val="TableContents"/>
              <w:bidi w:val="0"/>
              <w:spacing w:before="0" w:after="0"/>
              <w:ind w:left="144" w:right="0" w:hanging="144"/>
              <w:jc w:val="left"/>
              <w:rPr>
                <w:color w:val="000000"/>
              </w:rPr>
            </w:pPr>
            <w:r>
              <w:rPr>
                <w:color w:val="000000"/>
              </w:rPr>
              <w:t>Consolidated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578,230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16.05</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0"/>
              <w:jc w:val="right"/>
              <w:rPr>
                <w:color w:val="000000"/>
              </w:rPr>
            </w:pPr>
            <w:r>
              <w:rPr>
                <w:color w:val="000000"/>
              </w:rPr>
              <w:t>306,254</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0"/>
              <w:jc w:val="right"/>
              <w:rPr>
                <w:color w:val="000000"/>
              </w:rPr>
            </w:pPr>
            <w:r>
              <w:rPr>
                <w:color w:val="000000"/>
              </w:rPr>
              <w:t>8.50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color w:val="000000"/>
              </w:rPr>
            </w:pPr>
            <w:r>
              <w:rPr>
                <w:color w:val="000000"/>
              </w:rPr>
              <w:t>N/A</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0"/>
              <w:jc w:val="right"/>
              <w:rPr>
                <w:color w:val="000000"/>
              </w:rPr>
            </w:pPr>
            <w:r>
              <w:rPr>
                <w:color w:val="000000"/>
              </w:rPr>
              <w:t>N/A</w:t>
            </w:r>
          </w:p>
        </w:tc>
        <w:tc>
          <w:tcPr>
            <w:tcW w:w="297" w:type="dxa"/>
            <w:tcBorders/>
            <w:shd w:fill="CCEEFF" w:val="clear"/>
            <w:vAlign w:val="bottom"/>
          </w:tcPr>
          <w:p>
            <w:pPr>
              <w:pStyle w:val="TableContents"/>
              <w:bidi w:val="0"/>
              <w:spacing w:before="0" w:after="283"/>
              <w:jc w:val="left"/>
              <w:rPr/>
            </w:pPr>
            <w:r>
              <w:rPr/>
              <w:t> </w:t>
            </w:r>
          </w:p>
        </w:tc>
      </w:tr>
      <w:tr>
        <w:trPr/>
        <w:tc>
          <w:tcPr>
            <w:tcW w:w="3029" w:type="dxa"/>
            <w:tcBorders/>
            <w:vAlign w:val="bottom"/>
          </w:tcPr>
          <w:p>
            <w:pPr>
              <w:pStyle w:val="TableContents"/>
              <w:bidi w:val="0"/>
              <w:spacing w:before="0" w:after="0"/>
              <w:ind w:left="144" w:right="0" w:hanging="144"/>
              <w:jc w:val="left"/>
              <w:rPr>
                <w:color w:val="000000"/>
              </w:rPr>
            </w:pPr>
            <w:r>
              <w:rPr>
                <w:color w:val="000000"/>
              </w:rPr>
              <w:t>City Bank</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496,654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13.79</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0"/>
              <w:jc w:val="right"/>
              <w:rPr>
                <w:color w:val="000000"/>
              </w:rPr>
            </w:pPr>
            <w:r>
              <w:rPr>
                <w:color w:val="000000"/>
              </w:rPr>
              <w:t>306,146</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0"/>
              <w:jc w:val="right"/>
              <w:rPr>
                <w:color w:val="000000"/>
              </w:rPr>
            </w:pPr>
            <w:r>
              <w:rPr>
                <w:color w:val="000000"/>
              </w:rPr>
              <w:t>8.50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color w:val="000000"/>
              </w:rPr>
            </w:pPr>
            <w:r>
              <w:rPr>
                <w:color w:val="000000"/>
              </w:rPr>
              <w:t>288,137</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0"/>
              <w:jc w:val="right"/>
              <w:rPr>
                <w:color w:val="000000"/>
              </w:rPr>
            </w:pPr>
            <w:r>
              <w:rPr>
                <w:color w:val="000000"/>
              </w:rPr>
              <w:t>8.00</w:t>
            </w:r>
          </w:p>
        </w:tc>
        <w:tc>
          <w:tcPr>
            <w:tcW w:w="297" w:type="dxa"/>
            <w:tcBorders/>
            <w:vAlign w:val="bottom"/>
          </w:tcPr>
          <w:p>
            <w:pPr>
              <w:pStyle w:val="TableContents"/>
              <w:bidi w:val="0"/>
              <w:spacing w:before="0" w:after="0"/>
              <w:jc w:val="left"/>
              <w:rPr>
                <w:color w:val="000000"/>
              </w:rPr>
            </w:pPr>
            <w:r>
              <w:rPr>
                <w:color w:val="000000"/>
              </w:rPr>
              <w:t>%</w:t>
            </w:r>
          </w:p>
        </w:tc>
      </w:tr>
      <w:tr>
        <w:trPr/>
        <w:tc>
          <w:tcPr>
            <w:tcW w:w="302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 </w:t>
            </w:r>
          </w:p>
        </w:tc>
        <w:tc>
          <w:tcPr>
            <w:tcW w:w="297" w:type="dxa"/>
            <w:tcBorders/>
            <w:shd w:fill="CCEEFF" w:val="clear"/>
            <w:vAlign w:val="bottom"/>
          </w:tcPr>
          <w:p>
            <w:pPr>
              <w:pStyle w:val="TableContents"/>
              <w:bidi w:val="0"/>
              <w:spacing w:before="0" w:after="283"/>
              <w:jc w:val="left"/>
              <w:rPr/>
            </w:pPr>
            <w:r>
              <w:rPr/>
              <w:t> </w:t>
            </w:r>
          </w:p>
        </w:tc>
      </w:tr>
      <w:tr>
        <w:trPr/>
        <w:tc>
          <w:tcPr>
            <w:tcW w:w="3029" w:type="dxa"/>
            <w:tcBorders/>
            <w:vAlign w:val="bottom"/>
          </w:tcPr>
          <w:p>
            <w:pPr>
              <w:pStyle w:val="TableContents"/>
              <w:bidi w:val="0"/>
              <w:spacing w:before="0" w:after="0"/>
              <w:ind w:left="144" w:right="0" w:hanging="144"/>
              <w:jc w:val="left"/>
              <w:rPr>
                <w:color w:val="000000"/>
              </w:rPr>
            </w:pPr>
            <w:r>
              <w:rPr>
                <w:color w:val="000000"/>
              </w:rPr>
              <w:t>Common Equity Tier 1 to Risk Weighted Assets: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 </w:t>
            </w:r>
          </w:p>
        </w:tc>
        <w:tc>
          <w:tcPr>
            <w:tcW w:w="297" w:type="dxa"/>
            <w:tcBorders/>
            <w:vAlign w:val="bottom"/>
          </w:tcPr>
          <w:p>
            <w:pPr>
              <w:pStyle w:val="TableContents"/>
              <w:bidi w:val="0"/>
              <w:spacing w:before="0" w:after="283"/>
              <w:jc w:val="left"/>
              <w:rPr/>
            </w:pPr>
            <w:r>
              <w:rPr/>
              <w:t> </w:t>
            </w:r>
          </w:p>
        </w:tc>
      </w:tr>
      <w:tr>
        <w:trPr/>
        <w:tc>
          <w:tcPr>
            <w:tcW w:w="3029" w:type="dxa"/>
            <w:tcBorders/>
            <w:shd w:fill="CCEEFF" w:val="clear"/>
            <w:vAlign w:val="bottom"/>
          </w:tcPr>
          <w:p>
            <w:pPr>
              <w:pStyle w:val="TableContents"/>
              <w:bidi w:val="0"/>
              <w:spacing w:before="0" w:after="0"/>
              <w:ind w:left="144" w:right="0" w:hanging="144"/>
              <w:jc w:val="left"/>
              <w:rPr>
                <w:color w:val="000000"/>
              </w:rPr>
            </w:pPr>
            <w:r>
              <w:rPr>
                <w:color w:val="000000"/>
              </w:rPr>
              <w:t>Consolidated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533,230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14.80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0"/>
              <w:jc w:val="right"/>
              <w:rPr>
                <w:color w:val="000000"/>
              </w:rPr>
            </w:pPr>
            <w:r>
              <w:rPr>
                <w:color w:val="000000"/>
              </w:rPr>
              <w:t>252,209</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0"/>
              <w:jc w:val="right"/>
              <w:rPr>
                <w:color w:val="000000"/>
              </w:rPr>
            </w:pPr>
            <w:r>
              <w:rPr>
                <w:color w:val="000000"/>
              </w:rPr>
              <w:t>7.00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color w:val="000000"/>
              </w:rPr>
            </w:pPr>
            <w:r>
              <w:rPr>
                <w:color w:val="000000"/>
              </w:rPr>
              <w:t>N/A</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0"/>
              <w:jc w:val="right"/>
              <w:rPr>
                <w:color w:val="000000"/>
              </w:rPr>
            </w:pPr>
            <w:r>
              <w:rPr>
                <w:color w:val="000000"/>
              </w:rPr>
              <w:t>N/A</w:t>
            </w:r>
          </w:p>
        </w:tc>
        <w:tc>
          <w:tcPr>
            <w:tcW w:w="297" w:type="dxa"/>
            <w:tcBorders/>
            <w:shd w:fill="CCEEFF" w:val="clear"/>
            <w:vAlign w:val="bottom"/>
          </w:tcPr>
          <w:p>
            <w:pPr>
              <w:pStyle w:val="TableContents"/>
              <w:bidi w:val="0"/>
              <w:spacing w:before="0" w:after="283"/>
              <w:jc w:val="left"/>
              <w:rPr/>
            </w:pPr>
            <w:r>
              <w:rPr/>
              <w:t> </w:t>
            </w:r>
          </w:p>
        </w:tc>
      </w:tr>
      <w:tr>
        <w:trPr/>
        <w:tc>
          <w:tcPr>
            <w:tcW w:w="3029" w:type="dxa"/>
            <w:tcBorders/>
            <w:vAlign w:val="bottom"/>
          </w:tcPr>
          <w:p>
            <w:pPr>
              <w:pStyle w:val="TableContents"/>
              <w:bidi w:val="0"/>
              <w:spacing w:before="0" w:after="0"/>
              <w:ind w:left="144" w:right="0" w:hanging="144"/>
              <w:jc w:val="left"/>
              <w:rPr>
                <w:color w:val="000000"/>
              </w:rPr>
            </w:pPr>
            <w:r>
              <w:rPr>
                <w:color w:val="000000"/>
              </w:rPr>
              <w:t>City Bank</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496,654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13.79</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0"/>
              <w:jc w:val="right"/>
              <w:rPr>
                <w:color w:val="000000"/>
              </w:rPr>
            </w:pPr>
            <w:r>
              <w:rPr>
                <w:color w:val="000000"/>
              </w:rPr>
              <w:t>252,120</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0"/>
              <w:jc w:val="right"/>
              <w:rPr>
                <w:color w:val="000000"/>
              </w:rPr>
            </w:pPr>
            <w:r>
              <w:rPr>
                <w:color w:val="000000"/>
              </w:rPr>
              <w:t>7.00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color w:val="000000"/>
              </w:rPr>
            </w:pPr>
            <w:r>
              <w:rPr>
                <w:color w:val="000000"/>
              </w:rPr>
              <w:t>234,111</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0"/>
              <w:jc w:val="right"/>
              <w:rPr>
                <w:color w:val="000000"/>
              </w:rPr>
            </w:pPr>
            <w:r>
              <w:rPr>
                <w:color w:val="000000"/>
              </w:rPr>
              <w:t>6.50</w:t>
            </w:r>
          </w:p>
        </w:tc>
        <w:tc>
          <w:tcPr>
            <w:tcW w:w="297" w:type="dxa"/>
            <w:tcBorders/>
            <w:vAlign w:val="bottom"/>
          </w:tcPr>
          <w:p>
            <w:pPr>
              <w:pStyle w:val="TableContents"/>
              <w:bidi w:val="0"/>
              <w:spacing w:before="0" w:after="0"/>
              <w:jc w:val="left"/>
              <w:rPr>
                <w:color w:val="000000"/>
              </w:rPr>
            </w:pPr>
            <w:r>
              <w:rPr>
                <w:color w:val="000000"/>
              </w:rPr>
              <w:t>%</w:t>
            </w:r>
          </w:p>
        </w:tc>
      </w:tr>
      <w:tr>
        <w:trPr/>
        <w:tc>
          <w:tcPr>
            <w:tcW w:w="302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 </w:t>
            </w:r>
          </w:p>
        </w:tc>
        <w:tc>
          <w:tcPr>
            <w:tcW w:w="297" w:type="dxa"/>
            <w:tcBorders/>
            <w:shd w:fill="CCEEFF" w:val="clear"/>
            <w:vAlign w:val="bottom"/>
          </w:tcPr>
          <w:p>
            <w:pPr>
              <w:pStyle w:val="TableContents"/>
              <w:bidi w:val="0"/>
              <w:spacing w:before="0" w:after="283"/>
              <w:jc w:val="left"/>
              <w:rPr/>
            </w:pPr>
            <w:r>
              <w:rPr/>
              <w:t> </w:t>
            </w:r>
          </w:p>
        </w:tc>
      </w:tr>
      <w:tr>
        <w:trPr/>
        <w:tc>
          <w:tcPr>
            <w:tcW w:w="3029" w:type="dxa"/>
            <w:tcBorders/>
            <w:vAlign w:val="bottom"/>
          </w:tcPr>
          <w:p>
            <w:pPr>
              <w:pStyle w:val="TableContents"/>
              <w:bidi w:val="0"/>
              <w:spacing w:before="0" w:after="0"/>
              <w:jc w:val="left"/>
              <w:rPr>
                <w:color w:val="000000"/>
              </w:rPr>
            </w:pPr>
            <w:r>
              <w:rPr>
                <w:color w:val="000000"/>
              </w:rPr>
              <w:t>Tier 1 Capital to Average Assets: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 </w:t>
            </w:r>
          </w:p>
        </w:tc>
        <w:tc>
          <w:tcPr>
            <w:tcW w:w="297" w:type="dxa"/>
            <w:tcBorders/>
            <w:vAlign w:val="bottom"/>
          </w:tcPr>
          <w:p>
            <w:pPr>
              <w:pStyle w:val="TableContents"/>
              <w:bidi w:val="0"/>
              <w:spacing w:before="0" w:after="283"/>
              <w:jc w:val="left"/>
              <w:rPr/>
            </w:pPr>
            <w:r>
              <w:rPr/>
              <w:t> </w:t>
            </w:r>
          </w:p>
        </w:tc>
      </w:tr>
      <w:tr>
        <w:trPr/>
        <w:tc>
          <w:tcPr>
            <w:tcW w:w="3029" w:type="dxa"/>
            <w:tcBorders/>
            <w:shd w:fill="CCEEFF" w:val="clear"/>
            <w:vAlign w:val="bottom"/>
          </w:tcPr>
          <w:p>
            <w:pPr>
              <w:pStyle w:val="TableContents"/>
              <w:bidi w:val="0"/>
              <w:spacing w:before="0" w:after="0"/>
              <w:ind w:left="144" w:right="0" w:hanging="144"/>
              <w:jc w:val="left"/>
              <w:rPr>
                <w:color w:val="000000"/>
              </w:rPr>
            </w:pPr>
            <w:r>
              <w:rPr>
                <w:color w:val="000000"/>
              </w:rPr>
              <w:t>Consolidated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578,230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12.68</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0"/>
              <w:jc w:val="right"/>
              <w:rPr>
                <w:color w:val="000000"/>
              </w:rPr>
            </w:pPr>
            <w:r>
              <w:rPr>
                <w:color w:val="000000"/>
              </w:rPr>
              <w:t>183,243</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0"/>
              <w:jc w:val="right"/>
              <w:rPr>
                <w:color w:val="000000"/>
              </w:rPr>
            </w:pPr>
            <w:r>
              <w:rPr>
                <w:color w:val="000000"/>
              </w:rPr>
              <w:t>4.00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color w:val="000000"/>
              </w:rPr>
            </w:pPr>
            <w:r>
              <w:rPr>
                <w:color w:val="000000"/>
              </w:rPr>
              <w:t>N/A</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0"/>
              <w:jc w:val="right"/>
              <w:rPr>
                <w:color w:val="000000"/>
              </w:rPr>
            </w:pPr>
            <w:r>
              <w:rPr>
                <w:color w:val="000000"/>
              </w:rPr>
              <w:t>N/A</w:t>
            </w:r>
          </w:p>
        </w:tc>
        <w:tc>
          <w:tcPr>
            <w:tcW w:w="297" w:type="dxa"/>
            <w:tcBorders/>
            <w:shd w:fill="CCEEFF" w:val="clear"/>
            <w:vAlign w:val="bottom"/>
          </w:tcPr>
          <w:p>
            <w:pPr>
              <w:pStyle w:val="TableContents"/>
              <w:bidi w:val="0"/>
              <w:spacing w:before="0" w:after="283"/>
              <w:jc w:val="left"/>
              <w:rPr/>
            </w:pPr>
            <w:r>
              <w:rPr/>
              <w:t> </w:t>
            </w:r>
          </w:p>
        </w:tc>
      </w:tr>
      <w:tr>
        <w:trPr/>
        <w:tc>
          <w:tcPr>
            <w:tcW w:w="3029" w:type="dxa"/>
            <w:tcBorders/>
            <w:vAlign w:val="bottom"/>
          </w:tcPr>
          <w:p>
            <w:pPr>
              <w:pStyle w:val="TableContents"/>
              <w:bidi w:val="0"/>
              <w:spacing w:before="0" w:after="0"/>
              <w:ind w:left="144" w:right="0" w:hanging="144"/>
              <w:jc w:val="left"/>
              <w:rPr>
                <w:color w:val="000000"/>
              </w:rPr>
            </w:pPr>
            <w:r>
              <w:rPr>
                <w:color w:val="000000"/>
              </w:rPr>
              <w:t>City Bank</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496,654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10.90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0"/>
              <w:jc w:val="right"/>
              <w:rPr>
                <w:color w:val="000000"/>
              </w:rPr>
            </w:pPr>
            <w:r>
              <w:rPr>
                <w:color w:val="000000"/>
              </w:rPr>
              <w:t>183,154</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0"/>
              <w:jc w:val="right"/>
              <w:rPr>
                <w:color w:val="000000"/>
              </w:rPr>
            </w:pPr>
            <w:r>
              <w:rPr>
                <w:color w:val="000000"/>
              </w:rPr>
              <w:t>4.00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color w:val="000000"/>
              </w:rPr>
            </w:pPr>
            <w:r>
              <w:rPr>
                <w:color w:val="000000"/>
              </w:rPr>
              <w:t>227,926</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0"/>
              <w:jc w:val="right"/>
              <w:rPr>
                <w:color w:val="000000"/>
              </w:rPr>
            </w:pPr>
            <w:r>
              <w:rPr>
                <w:color w:val="000000"/>
              </w:rPr>
              <w:t>5.00</w:t>
            </w:r>
          </w:p>
        </w:tc>
        <w:tc>
          <w:tcPr>
            <w:tcW w:w="297" w:type="dxa"/>
            <w:tcBorders/>
            <w:vAlign w:val="bottom"/>
          </w:tcPr>
          <w:p>
            <w:pPr>
              <w:pStyle w:val="TableContents"/>
              <w:bidi w:val="0"/>
              <w:spacing w:before="0" w:after="0"/>
              <w:jc w:val="left"/>
              <w:rPr>
                <w:color w:val="000000"/>
              </w:rPr>
            </w:pPr>
            <w:r>
              <w:rPr>
                <w:color w:val="000000"/>
              </w:rPr>
              <w:t>%</w:t>
            </w:r>
          </w:p>
        </w:tc>
      </w:tr>
      <w:tr>
        <w:trPr/>
        <w:tc>
          <w:tcPr>
            <w:tcW w:w="302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 </w:t>
            </w:r>
          </w:p>
        </w:tc>
        <w:tc>
          <w:tcPr>
            <w:tcW w:w="297" w:type="dxa"/>
            <w:tcBorders/>
            <w:shd w:fill="CCEEFF" w:val="clear"/>
            <w:vAlign w:val="bottom"/>
          </w:tcPr>
          <w:p>
            <w:pPr>
              <w:pStyle w:val="TableContents"/>
              <w:bidi w:val="0"/>
              <w:spacing w:before="0" w:after="283"/>
              <w:jc w:val="left"/>
              <w:rPr/>
            </w:pPr>
            <w:r>
              <w:rPr/>
              <w:t> </w:t>
            </w:r>
          </w:p>
        </w:tc>
      </w:tr>
      <w:tr>
        <w:trPr/>
        <w:tc>
          <w:tcPr>
            <w:tcW w:w="3029" w:type="dxa"/>
            <w:tcBorders/>
            <w:vAlign w:val="bottom"/>
          </w:tcPr>
          <w:p>
            <w:pPr>
              <w:pStyle w:val="TableContents"/>
              <w:bidi w:val="0"/>
              <w:spacing w:before="0" w:after="0"/>
              <w:ind w:left="144" w:right="0" w:hanging="144"/>
              <w:jc w:val="left"/>
              <w:rPr>
                <w:color w:val="000000"/>
                <w:u w:val="single"/>
              </w:rPr>
            </w:pPr>
            <w:r>
              <w:rPr>
                <w:color w:val="000000"/>
                <w:u w:val="single"/>
              </w:rPr>
              <w:t>December 31, 2025</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 </w:t>
            </w:r>
          </w:p>
        </w:tc>
        <w:tc>
          <w:tcPr>
            <w:tcW w:w="297" w:type="dxa"/>
            <w:tcBorders/>
            <w:vAlign w:val="bottom"/>
          </w:tcPr>
          <w:p>
            <w:pPr>
              <w:pStyle w:val="TableContents"/>
              <w:bidi w:val="0"/>
              <w:spacing w:before="0" w:after="283"/>
              <w:jc w:val="left"/>
              <w:rPr/>
            </w:pPr>
            <w:r>
              <w:rPr/>
              <w:t> </w:t>
            </w:r>
          </w:p>
        </w:tc>
      </w:tr>
      <w:tr>
        <w:trPr/>
        <w:tc>
          <w:tcPr>
            <w:tcW w:w="3029" w:type="dxa"/>
            <w:tcBorders/>
            <w:shd w:fill="CCEEFF" w:val="clear"/>
            <w:vAlign w:val="bottom"/>
          </w:tcPr>
          <w:p>
            <w:pPr>
              <w:pStyle w:val="TableContents"/>
              <w:bidi w:val="0"/>
              <w:spacing w:before="0" w:after="0"/>
              <w:jc w:val="left"/>
              <w:rPr>
                <w:color w:val="000000"/>
              </w:rPr>
            </w:pPr>
            <w:r>
              <w:rPr>
                <w:color w:val="000000"/>
              </w:rPr>
              <w:t>Total Capital to Risk Weighted Assets: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 </w:t>
            </w:r>
          </w:p>
        </w:tc>
        <w:tc>
          <w:tcPr>
            <w:tcW w:w="297" w:type="dxa"/>
            <w:tcBorders/>
            <w:shd w:fill="CCEEFF" w:val="clear"/>
            <w:vAlign w:val="bottom"/>
          </w:tcPr>
          <w:p>
            <w:pPr>
              <w:pStyle w:val="TableContents"/>
              <w:bidi w:val="0"/>
              <w:spacing w:before="0" w:after="283"/>
              <w:jc w:val="left"/>
              <w:rPr/>
            </w:pPr>
            <w:r>
              <w:rPr/>
              <w:t> </w:t>
            </w:r>
          </w:p>
        </w:tc>
      </w:tr>
      <w:tr>
        <w:trPr/>
        <w:tc>
          <w:tcPr>
            <w:tcW w:w="3029" w:type="dxa"/>
            <w:tcBorders/>
            <w:vAlign w:val="bottom"/>
          </w:tcPr>
          <w:p>
            <w:pPr>
              <w:pStyle w:val="TableContents"/>
              <w:bidi w:val="0"/>
              <w:spacing w:before="0" w:after="0"/>
              <w:ind w:left="144" w:right="0" w:hanging="144"/>
              <w:jc w:val="left"/>
              <w:rPr>
                <w:color w:val="000000"/>
              </w:rPr>
            </w:pPr>
            <w:r>
              <w:rPr>
                <w:color w:val="000000"/>
              </w:rPr>
              <w:t>Consolidated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622,485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17.26</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0"/>
              <w:jc w:val="left"/>
              <w:rPr>
                <w:color w:val="000000"/>
              </w:rPr>
            </w:pPr>
            <w:r>
              <w:rPr>
                <w:color w:val="000000"/>
              </w:rPr>
              <w:t>$</w:t>
            </w:r>
          </w:p>
        </w:tc>
        <w:tc>
          <w:tcPr>
            <w:tcW w:w="879" w:type="dxa"/>
            <w:tcBorders/>
            <w:vAlign w:val="bottom"/>
          </w:tcPr>
          <w:p>
            <w:pPr>
              <w:pStyle w:val="TableContents"/>
              <w:bidi w:val="0"/>
              <w:spacing w:before="0" w:after="0"/>
              <w:jc w:val="right"/>
              <w:rPr>
                <w:color w:val="000000"/>
              </w:rPr>
            </w:pPr>
            <w:r>
              <w:rPr>
                <w:color w:val="000000"/>
              </w:rPr>
              <w:t>378,645</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0"/>
              <w:jc w:val="right"/>
              <w:rPr>
                <w:color w:val="000000"/>
              </w:rPr>
            </w:pPr>
            <w:r>
              <w:rPr>
                <w:color w:val="000000"/>
              </w:rPr>
              <w:t>10.50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color w:val="000000"/>
              </w:rPr>
            </w:pPr>
            <w:r>
              <w:rPr>
                <w:color w:val="000000"/>
              </w:rPr>
              <w:t>N/A</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0"/>
              <w:jc w:val="right"/>
              <w:rPr>
                <w:color w:val="000000"/>
              </w:rPr>
            </w:pPr>
            <w:r>
              <w:rPr>
                <w:color w:val="000000"/>
              </w:rPr>
              <w:t>N/A</w:t>
            </w:r>
          </w:p>
        </w:tc>
        <w:tc>
          <w:tcPr>
            <w:tcW w:w="297" w:type="dxa"/>
            <w:tcBorders/>
            <w:vAlign w:val="bottom"/>
          </w:tcPr>
          <w:p>
            <w:pPr>
              <w:pStyle w:val="TableContents"/>
              <w:bidi w:val="0"/>
              <w:spacing w:before="0" w:after="283"/>
              <w:jc w:val="left"/>
              <w:rPr/>
            </w:pPr>
            <w:r>
              <w:rPr/>
              <w:t> </w:t>
            </w:r>
          </w:p>
        </w:tc>
      </w:tr>
      <w:tr>
        <w:trPr/>
        <w:tc>
          <w:tcPr>
            <w:tcW w:w="3029" w:type="dxa"/>
            <w:tcBorders/>
            <w:shd w:fill="CCEEFF" w:val="clear"/>
            <w:vAlign w:val="bottom"/>
          </w:tcPr>
          <w:p>
            <w:pPr>
              <w:pStyle w:val="TableContents"/>
              <w:bidi w:val="0"/>
              <w:spacing w:before="0" w:after="0"/>
              <w:ind w:left="144" w:right="0" w:hanging="144"/>
              <w:jc w:val="left"/>
              <w:rPr>
                <w:color w:val="000000"/>
              </w:rPr>
            </w:pPr>
            <w:r>
              <w:rPr>
                <w:color w:val="000000"/>
              </w:rPr>
              <w:t>City Bank</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537,444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14.91</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0"/>
              <w:jc w:val="right"/>
              <w:rPr>
                <w:color w:val="000000"/>
              </w:rPr>
            </w:pPr>
            <w:r>
              <w:rPr>
                <w:color w:val="000000"/>
              </w:rPr>
              <w:t>378,576</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0"/>
              <w:jc w:val="right"/>
              <w:rPr>
                <w:color w:val="000000"/>
              </w:rPr>
            </w:pPr>
            <w:r>
              <w:rPr>
                <w:color w:val="000000"/>
              </w:rPr>
              <w:t>10.50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0"/>
              <w:jc w:val="left"/>
              <w:rPr>
                <w:color w:val="000000"/>
              </w:rPr>
            </w:pPr>
            <w:r>
              <w:rPr>
                <w:color w:val="000000"/>
              </w:rPr>
              <w:t>$</w:t>
            </w:r>
          </w:p>
        </w:tc>
        <w:tc>
          <w:tcPr>
            <w:tcW w:w="1024" w:type="dxa"/>
            <w:tcBorders/>
            <w:shd w:fill="CCEEFF" w:val="clear"/>
            <w:vAlign w:val="bottom"/>
          </w:tcPr>
          <w:p>
            <w:pPr>
              <w:pStyle w:val="TableContents"/>
              <w:bidi w:val="0"/>
              <w:spacing w:before="0" w:after="0"/>
              <w:jc w:val="right"/>
              <w:rPr>
                <w:color w:val="000000"/>
              </w:rPr>
            </w:pPr>
            <w:r>
              <w:rPr>
                <w:color w:val="000000"/>
              </w:rPr>
              <w:t>360,549</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0"/>
              <w:jc w:val="right"/>
              <w:rPr>
                <w:color w:val="000000"/>
              </w:rPr>
            </w:pPr>
            <w:r>
              <w:rPr>
                <w:color w:val="000000"/>
              </w:rPr>
              <w:t>10.00</w:t>
            </w:r>
          </w:p>
        </w:tc>
        <w:tc>
          <w:tcPr>
            <w:tcW w:w="297" w:type="dxa"/>
            <w:tcBorders/>
            <w:shd w:fill="CCEEFF" w:val="clear"/>
            <w:vAlign w:val="bottom"/>
          </w:tcPr>
          <w:p>
            <w:pPr>
              <w:pStyle w:val="TableContents"/>
              <w:bidi w:val="0"/>
              <w:spacing w:before="0" w:after="0"/>
              <w:jc w:val="left"/>
              <w:rPr>
                <w:color w:val="000000"/>
              </w:rPr>
            </w:pPr>
            <w:r>
              <w:rPr>
                <w:color w:val="000000"/>
              </w:rPr>
              <w:t>%</w:t>
            </w:r>
          </w:p>
        </w:tc>
      </w:tr>
      <w:tr>
        <w:trPr/>
        <w:tc>
          <w:tcPr>
            <w:tcW w:w="30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 </w:t>
            </w:r>
          </w:p>
        </w:tc>
        <w:tc>
          <w:tcPr>
            <w:tcW w:w="297" w:type="dxa"/>
            <w:tcBorders/>
            <w:vAlign w:val="bottom"/>
          </w:tcPr>
          <w:p>
            <w:pPr>
              <w:pStyle w:val="TableContents"/>
              <w:bidi w:val="0"/>
              <w:spacing w:before="0" w:after="283"/>
              <w:jc w:val="left"/>
              <w:rPr/>
            </w:pPr>
            <w:r>
              <w:rPr/>
              <w:t> </w:t>
            </w:r>
          </w:p>
        </w:tc>
      </w:tr>
      <w:tr>
        <w:trPr/>
        <w:tc>
          <w:tcPr>
            <w:tcW w:w="3029" w:type="dxa"/>
            <w:tcBorders/>
            <w:shd w:fill="CCEEFF" w:val="clear"/>
            <w:vAlign w:val="bottom"/>
          </w:tcPr>
          <w:p>
            <w:pPr>
              <w:pStyle w:val="TableContents"/>
              <w:bidi w:val="0"/>
              <w:spacing w:before="0" w:after="0"/>
              <w:jc w:val="left"/>
              <w:rPr>
                <w:color w:val="000000"/>
              </w:rPr>
            </w:pPr>
            <w:r>
              <w:rPr>
                <w:color w:val="000000"/>
              </w:rPr>
              <w:t>Tier 1 Capital to Risk Weighted Assets: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 </w:t>
            </w:r>
          </w:p>
        </w:tc>
        <w:tc>
          <w:tcPr>
            <w:tcW w:w="297" w:type="dxa"/>
            <w:tcBorders/>
            <w:shd w:fill="CCEEFF" w:val="clear"/>
            <w:vAlign w:val="bottom"/>
          </w:tcPr>
          <w:p>
            <w:pPr>
              <w:pStyle w:val="TableContents"/>
              <w:bidi w:val="0"/>
              <w:spacing w:before="0" w:after="283"/>
              <w:jc w:val="left"/>
              <w:rPr/>
            </w:pPr>
            <w:r>
              <w:rPr/>
              <w:t> </w:t>
            </w:r>
          </w:p>
        </w:tc>
      </w:tr>
      <w:tr>
        <w:trPr/>
        <w:tc>
          <w:tcPr>
            <w:tcW w:w="3029" w:type="dxa"/>
            <w:tcBorders/>
            <w:vAlign w:val="bottom"/>
          </w:tcPr>
          <w:p>
            <w:pPr>
              <w:pStyle w:val="TableContents"/>
              <w:bidi w:val="0"/>
              <w:spacing w:before="0" w:after="0"/>
              <w:ind w:left="144" w:right="0" w:hanging="144"/>
              <w:jc w:val="left"/>
              <w:rPr>
                <w:color w:val="000000"/>
              </w:rPr>
            </w:pPr>
            <w:r>
              <w:rPr>
                <w:color w:val="000000"/>
              </w:rPr>
              <w:t>Consolidated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566,107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15.70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0"/>
              <w:jc w:val="right"/>
              <w:rPr>
                <w:color w:val="000000"/>
              </w:rPr>
            </w:pPr>
            <w:r>
              <w:rPr>
                <w:color w:val="000000"/>
              </w:rPr>
              <w:t>306,522</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0"/>
              <w:jc w:val="right"/>
              <w:rPr>
                <w:color w:val="000000"/>
              </w:rPr>
            </w:pPr>
            <w:r>
              <w:rPr>
                <w:color w:val="000000"/>
              </w:rPr>
              <w:t>8.50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color w:val="000000"/>
              </w:rPr>
            </w:pPr>
            <w:r>
              <w:rPr>
                <w:color w:val="000000"/>
              </w:rPr>
              <w:t>N/A</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0"/>
              <w:jc w:val="right"/>
              <w:rPr>
                <w:color w:val="000000"/>
              </w:rPr>
            </w:pPr>
            <w:r>
              <w:rPr>
                <w:color w:val="000000"/>
              </w:rPr>
              <w:t>N/A</w:t>
            </w:r>
          </w:p>
        </w:tc>
        <w:tc>
          <w:tcPr>
            <w:tcW w:w="297" w:type="dxa"/>
            <w:tcBorders/>
            <w:vAlign w:val="bottom"/>
          </w:tcPr>
          <w:p>
            <w:pPr>
              <w:pStyle w:val="TableContents"/>
              <w:bidi w:val="0"/>
              <w:spacing w:before="0" w:after="283"/>
              <w:jc w:val="left"/>
              <w:rPr/>
            </w:pPr>
            <w:r>
              <w:rPr/>
              <w:t> </w:t>
            </w:r>
          </w:p>
        </w:tc>
      </w:tr>
      <w:tr>
        <w:trPr/>
        <w:tc>
          <w:tcPr>
            <w:tcW w:w="3029" w:type="dxa"/>
            <w:tcBorders/>
            <w:shd w:fill="CCEEFF" w:val="clear"/>
            <w:vAlign w:val="bottom"/>
          </w:tcPr>
          <w:p>
            <w:pPr>
              <w:pStyle w:val="TableContents"/>
              <w:bidi w:val="0"/>
              <w:spacing w:before="0" w:after="0"/>
              <w:ind w:left="144" w:right="0" w:hanging="144"/>
              <w:jc w:val="left"/>
              <w:rPr>
                <w:color w:val="000000"/>
              </w:rPr>
            </w:pPr>
            <w:r>
              <w:rPr>
                <w:color w:val="000000"/>
              </w:rPr>
              <w:t>City Bank</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492,355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13.66</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0"/>
              <w:jc w:val="right"/>
              <w:rPr>
                <w:color w:val="000000"/>
              </w:rPr>
            </w:pPr>
            <w:r>
              <w:rPr>
                <w:color w:val="000000"/>
              </w:rPr>
              <w:t>306,466</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0"/>
              <w:jc w:val="right"/>
              <w:rPr>
                <w:color w:val="000000"/>
              </w:rPr>
            </w:pPr>
            <w:r>
              <w:rPr>
                <w:color w:val="000000"/>
              </w:rPr>
              <w:t>8.50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color w:val="000000"/>
              </w:rPr>
            </w:pPr>
            <w:r>
              <w:rPr>
                <w:color w:val="000000"/>
              </w:rPr>
              <w:t>288,439</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0"/>
              <w:jc w:val="right"/>
              <w:rPr>
                <w:color w:val="000000"/>
              </w:rPr>
            </w:pPr>
            <w:r>
              <w:rPr>
                <w:color w:val="000000"/>
              </w:rPr>
              <w:t>8.00</w:t>
            </w:r>
          </w:p>
        </w:tc>
        <w:tc>
          <w:tcPr>
            <w:tcW w:w="297" w:type="dxa"/>
            <w:tcBorders/>
            <w:shd w:fill="CCEEFF" w:val="clear"/>
            <w:vAlign w:val="bottom"/>
          </w:tcPr>
          <w:p>
            <w:pPr>
              <w:pStyle w:val="TableContents"/>
              <w:bidi w:val="0"/>
              <w:spacing w:before="0" w:after="0"/>
              <w:jc w:val="left"/>
              <w:rPr>
                <w:color w:val="000000"/>
              </w:rPr>
            </w:pPr>
            <w:r>
              <w:rPr>
                <w:color w:val="000000"/>
              </w:rPr>
              <w:t>%</w:t>
            </w:r>
          </w:p>
        </w:tc>
      </w:tr>
      <w:tr>
        <w:trPr/>
        <w:tc>
          <w:tcPr>
            <w:tcW w:w="30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 </w:t>
            </w:r>
          </w:p>
        </w:tc>
        <w:tc>
          <w:tcPr>
            <w:tcW w:w="297" w:type="dxa"/>
            <w:tcBorders/>
            <w:vAlign w:val="bottom"/>
          </w:tcPr>
          <w:p>
            <w:pPr>
              <w:pStyle w:val="TableContents"/>
              <w:bidi w:val="0"/>
              <w:spacing w:before="0" w:after="283"/>
              <w:jc w:val="left"/>
              <w:rPr/>
            </w:pPr>
            <w:r>
              <w:rPr/>
              <w:t> </w:t>
            </w:r>
          </w:p>
        </w:tc>
      </w:tr>
      <w:tr>
        <w:trPr/>
        <w:tc>
          <w:tcPr>
            <w:tcW w:w="3029" w:type="dxa"/>
            <w:tcBorders/>
            <w:shd w:fill="CCEEFF" w:val="clear"/>
            <w:vAlign w:val="bottom"/>
          </w:tcPr>
          <w:p>
            <w:pPr>
              <w:pStyle w:val="TableContents"/>
              <w:bidi w:val="0"/>
              <w:spacing w:before="0" w:after="0"/>
              <w:ind w:left="144" w:right="0" w:hanging="144"/>
              <w:jc w:val="left"/>
              <w:rPr>
                <w:color w:val="000000"/>
              </w:rPr>
            </w:pPr>
            <w:r>
              <w:rPr>
                <w:color w:val="000000"/>
              </w:rPr>
              <w:t>Common Equity Tier 1 to Risk Weighted Assets: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 </w:t>
            </w:r>
          </w:p>
        </w:tc>
        <w:tc>
          <w:tcPr>
            <w:tcW w:w="297" w:type="dxa"/>
            <w:tcBorders/>
            <w:shd w:fill="CCEEFF" w:val="clear"/>
            <w:vAlign w:val="bottom"/>
          </w:tcPr>
          <w:p>
            <w:pPr>
              <w:pStyle w:val="TableContents"/>
              <w:bidi w:val="0"/>
              <w:spacing w:before="0" w:after="283"/>
              <w:jc w:val="left"/>
              <w:rPr/>
            </w:pPr>
            <w:r>
              <w:rPr/>
              <w:t> </w:t>
            </w:r>
          </w:p>
        </w:tc>
      </w:tr>
      <w:tr>
        <w:trPr/>
        <w:tc>
          <w:tcPr>
            <w:tcW w:w="3029" w:type="dxa"/>
            <w:tcBorders/>
            <w:vAlign w:val="bottom"/>
          </w:tcPr>
          <w:p>
            <w:pPr>
              <w:pStyle w:val="TableContents"/>
              <w:bidi w:val="0"/>
              <w:spacing w:before="0" w:after="0"/>
              <w:ind w:left="144" w:right="0" w:hanging="144"/>
              <w:jc w:val="left"/>
              <w:rPr>
                <w:color w:val="000000"/>
              </w:rPr>
            </w:pPr>
            <w:r>
              <w:rPr>
                <w:color w:val="000000"/>
              </w:rPr>
              <w:t>Consolidated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521,107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14.45</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0"/>
              <w:jc w:val="right"/>
              <w:rPr>
                <w:color w:val="000000"/>
              </w:rPr>
            </w:pPr>
            <w:r>
              <w:rPr>
                <w:color w:val="000000"/>
              </w:rPr>
              <w:t>252,430</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0"/>
              <w:jc w:val="right"/>
              <w:rPr>
                <w:color w:val="000000"/>
              </w:rPr>
            </w:pPr>
            <w:r>
              <w:rPr>
                <w:color w:val="000000"/>
              </w:rPr>
              <w:t>7.00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color w:val="000000"/>
              </w:rPr>
            </w:pPr>
            <w:r>
              <w:rPr>
                <w:color w:val="000000"/>
              </w:rPr>
              <w:t>N/A</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0"/>
              <w:jc w:val="right"/>
              <w:rPr>
                <w:color w:val="000000"/>
              </w:rPr>
            </w:pPr>
            <w:r>
              <w:rPr>
                <w:color w:val="000000"/>
              </w:rPr>
              <w:t>N/A</w:t>
            </w:r>
          </w:p>
        </w:tc>
        <w:tc>
          <w:tcPr>
            <w:tcW w:w="297" w:type="dxa"/>
            <w:tcBorders/>
            <w:vAlign w:val="bottom"/>
          </w:tcPr>
          <w:p>
            <w:pPr>
              <w:pStyle w:val="TableContents"/>
              <w:bidi w:val="0"/>
              <w:spacing w:before="0" w:after="283"/>
              <w:jc w:val="left"/>
              <w:rPr/>
            </w:pPr>
            <w:r>
              <w:rPr/>
              <w:t> </w:t>
            </w:r>
          </w:p>
        </w:tc>
      </w:tr>
      <w:tr>
        <w:trPr/>
        <w:tc>
          <w:tcPr>
            <w:tcW w:w="3029" w:type="dxa"/>
            <w:tcBorders/>
            <w:shd w:fill="CCEEFF" w:val="clear"/>
            <w:vAlign w:val="bottom"/>
          </w:tcPr>
          <w:p>
            <w:pPr>
              <w:pStyle w:val="TableContents"/>
              <w:bidi w:val="0"/>
              <w:spacing w:before="0" w:after="0"/>
              <w:ind w:left="144" w:right="0" w:hanging="144"/>
              <w:jc w:val="left"/>
              <w:rPr>
                <w:color w:val="000000"/>
              </w:rPr>
            </w:pPr>
            <w:r>
              <w:rPr>
                <w:color w:val="000000"/>
              </w:rPr>
              <w:t>City Bank</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492,355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13.66</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0"/>
              <w:jc w:val="right"/>
              <w:rPr>
                <w:color w:val="000000"/>
              </w:rPr>
            </w:pPr>
            <w:r>
              <w:rPr>
                <w:color w:val="000000"/>
              </w:rPr>
              <w:t>252,384</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0"/>
              <w:jc w:val="right"/>
              <w:rPr>
                <w:color w:val="000000"/>
              </w:rPr>
            </w:pPr>
            <w:r>
              <w:rPr>
                <w:color w:val="000000"/>
              </w:rPr>
              <w:t>7.00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color w:val="000000"/>
              </w:rPr>
            </w:pPr>
            <w:r>
              <w:rPr>
                <w:color w:val="000000"/>
              </w:rPr>
              <w:t>234,357</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0"/>
              <w:jc w:val="right"/>
              <w:rPr>
                <w:color w:val="000000"/>
              </w:rPr>
            </w:pPr>
            <w:r>
              <w:rPr>
                <w:color w:val="000000"/>
              </w:rPr>
              <w:t>6.50</w:t>
            </w:r>
          </w:p>
        </w:tc>
        <w:tc>
          <w:tcPr>
            <w:tcW w:w="297" w:type="dxa"/>
            <w:tcBorders/>
            <w:shd w:fill="CCEEFF" w:val="clear"/>
            <w:vAlign w:val="bottom"/>
          </w:tcPr>
          <w:p>
            <w:pPr>
              <w:pStyle w:val="TableContents"/>
              <w:bidi w:val="0"/>
              <w:spacing w:before="0" w:after="0"/>
              <w:jc w:val="left"/>
              <w:rPr>
                <w:color w:val="000000"/>
              </w:rPr>
            </w:pPr>
            <w:r>
              <w:rPr>
                <w:color w:val="000000"/>
              </w:rPr>
              <w:t>%</w:t>
            </w:r>
          </w:p>
        </w:tc>
      </w:tr>
      <w:tr>
        <w:trPr/>
        <w:tc>
          <w:tcPr>
            <w:tcW w:w="30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 </w:t>
            </w:r>
          </w:p>
        </w:tc>
        <w:tc>
          <w:tcPr>
            <w:tcW w:w="297" w:type="dxa"/>
            <w:tcBorders/>
            <w:vAlign w:val="bottom"/>
          </w:tcPr>
          <w:p>
            <w:pPr>
              <w:pStyle w:val="TableContents"/>
              <w:bidi w:val="0"/>
              <w:spacing w:before="0" w:after="283"/>
              <w:jc w:val="left"/>
              <w:rPr/>
            </w:pPr>
            <w:r>
              <w:rPr/>
              <w:t> </w:t>
            </w:r>
          </w:p>
        </w:tc>
      </w:tr>
      <w:tr>
        <w:trPr/>
        <w:tc>
          <w:tcPr>
            <w:tcW w:w="3029" w:type="dxa"/>
            <w:tcBorders/>
            <w:shd w:fill="CCEEFF" w:val="clear"/>
            <w:vAlign w:val="bottom"/>
          </w:tcPr>
          <w:p>
            <w:pPr>
              <w:pStyle w:val="TableContents"/>
              <w:bidi w:val="0"/>
              <w:spacing w:before="0" w:after="0"/>
              <w:jc w:val="left"/>
              <w:rPr>
                <w:color w:val="000000"/>
              </w:rPr>
            </w:pPr>
            <w:r>
              <w:rPr>
                <w:color w:val="000000"/>
              </w:rPr>
              <w:t>Tier 1 Capital to Average Assets: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 </w:t>
            </w:r>
          </w:p>
        </w:tc>
        <w:tc>
          <w:tcPr>
            <w:tcW w:w="297" w:type="dxa"/>
            <w:tcBorders/>
            <w:shd w:fill="CCEEFF" w:val="clear"/>
            <w:vAlign w:val="bottom"/>
          </w:tcPr>
          <w:p>
            <w:pPr>
              <w:pStyle w:val="TableContents"/>
              <w:bidi w:val="0"/>
              <w:spacing w:before="0" w:after="283"/>
              <w:jc w:val="left"/>
              <w:rPr/>
            </w:pPr>
            <w:r>
              <w:rPr/>
              <w:t> </w:t>
            </w:r>
          </w:p>
        </w:tc>
      </w:tr>
      <w:tr>
        <w:trPr/>
        <w:tc>
          <w:tcPr>
            <w:tcW w:w="3029" w:type="dxa"/>
            <w:tcBorders/>
            <w:vAlign w:val="bottom"/>
          </w:tcPr>
          <w:p>
            <w:pPr>
              <w:pStyle w:val="TableContents"/>
              <w:bidi w:val="0"/>
              <w:spacing w:before="0" w:after="0"/>
              <w:ind w:left="144" w:right="0" w:hanging="144"/>
              <w:jc w:val="left"/>
              <w:rPr>
                <w:color w:val="000000"/>
              </w:rPr>
            </w:pPr>
            <w:r>
              <w:rPr>
                <w:color w:val="000000"/>
              </w:rPr>
              <w:t>Consolidated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566,107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12.53</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0"/>
              <w:jc w:val="right"/>
              <w:rPr>
                <w:color w:val="000000"/>
              </w:rPr>
            </w:pPr>
            <w:r>
              <w:rPr>
                <w:color w:val="000000"/>
              </w:rPr>
              <w:t>181,591</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0"/>
              <w:jc w:val="right"/>
              <w:rPr>
                <w:color w:val="000000"/>
              </w:rPr>
            </w:pPr>
            <w:r>
              <w:rPr>
                <w:color w:val="000000"/>
              </w:rPr>
              <w:t>4.00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color w:val="000000"/>
              </w:rPr>
            </w:pPr>
            <w:r>
              <w:rPr>
                <w:color w:val="000000"/>
              </w:rPr>
              <w:t>N/A</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0"/>
              <w:jc w:val="right"/>
              <w:rPr>
                <w:color w:val="000000"/>
              </w:rPr>
            </w:pPr>
            <w:r>
              <w:rPr>
                <w:color w:val="000000"/>
              </w:rPr>
              <w:t>N/A</w:t>
            </w:r>
          </w:p>
        </w:tc>
        <w:tc>
          <w:tcPr>
            <w:tcW w:w="297" w:type="dxa"/>
            <w:tcBorders/>
            <w:vAlign w:val="bottom"/>
          </w:tcPr>
          <w:p>
            <w:pPr>
              <w:pStyle w:val="TableContents"/>
              <w:bidi w:val="0"/>
              <w:spacing w:before="0" w:after="283"/>
              <w:jc w:val="left"/>
              <w:rPr/>
            </w:pPr>
            <w:r>
              <w:rPr/>
              <w:t> </w:t>
            </w:r>
          </w:p>
        </w:tc>
      </w:tr>
      <w:tr>
        <w:trPr/>
        <w:tc>
          <w:tcPr>
            <w:tcW w:w="3029" w:type="dxa"/>
            <w:tcBorders/>
            <w:shd w:fill="CCEEFF" w:val="clear"/>
            <w:vAlign w:val="bottom"/>
          </w:tcPr>
          <w:p>
            <w:pPr>
              <w:pStyle w:val="TableContents"/>
              <w:bidi w:val="0"/>
              <w:spacing w:before="0" w:after="0"/>
              <w:ind w:left="144" w:right="0" w:hanging="144"/>
              <w:jc w:val="left"/>
              <w:rPr>
                <w:color w:val="000000"/>
              </w:rPr>
            </w:pPr>
            <w:r>
              <w:rPr>
                <w:color w:val="000000"/>
              </w:rPr>
              <w:t>City Bank</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492,355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10.90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0"/>
              <w:jc w:val="right"/>
              <w:rPr>
                <w:color w:val="000000"/>
              </w:rPr>
            </w:pPr>
            <w:r>
              <w:rPr>
                <w:color w:val="000000"/>
              </w:rPr>
              <w:t>181,512</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0"/>
              <w:jc w:val="right"/>
              <w:rPr>
                <w:color w:val="000000"/>
              </w:rPr>
            </w:pPr>
            <w:r>
              <w:rPr>
                <w:color w:val="000000"/>
              </w:rPr>
              <w:t>4.00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color w:val="000000"/>
              </w:rPr>
            </w:pPr>
            <w:r>
              <w:rPr>
                <w:color w:val="000000"/>
              </w:rPr>
              <w:t>225,868</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0"/>
              <w:jc w:val="right"/>
              <w:rPr>
                <w:color w:val="000000"/>
              </w:rPr>
            </w:pPr>
            <w:r>
              <w:rPr>
                <w:color w:val="000000"/>
              </w:rPr>
              <w:t>5.00</w:t>
            </w:r>
          </w:p>
        </w:tc>
        <w:tc>
          <w:tcPr>
            <w:tcW w:w="297"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20</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is subject to the Basel III capital ratio requirements which include a “capital conservation buffer” of 2.50% above the regulatory minimum risk-based capital adequacy requirements. This 2.50% capital conservation buffer is reflected in the table above. Both the Company’s and the Bank’s actual ratios, as outlined in the table above, exceeded the Basel III risk-based capital requirement with the capital conservation buffer as of March 31, 2026.</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State banking regulations place certain restrictions on dividends paid by banks to their shareholders. Dividends paid by the Company’s bank subsidiary would be prohibited if the effect thereof would cause the bank subsidiary’s capital to be reduced below applicable minimum capital requirements.</w:t>
      </w:r>
    </w:p>
    <w:p>
      <w:pPr>
        <w:pStyle w:val="TextBody"/>
        <w:bidi w:val="0"/>
        <w:spacing w:before="0" w:after="0"/>
        <w:jc w:val="center"/>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11. DERIVATIVES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utilizes interest rate swap agreements as part of its asset-liability management strategy to help manage its interest rate risk position. These interest rate swaps are designated and qualify as fair value hedges and are entered into to reduce exposure to changes in fair value of fixed rate financial instruments. The notional amounts of the interest rate swaps do not represent amounts exchanged by the parties. The amount exchanged is determined by reference to the notional amounts and the other terms of the individual interest rate swap agreements.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reflects the changes in fair value hedges included in the Consolidated Statements of Comprehensive Income for the periods indicated (dollars in thousands):</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91" w:name="z6b408fd903964277aef948589027d8b3"/>
      <w:bookmarkStart w:id="92" w:name="z6b408fd903964277aef948589027d8b3"/>
      <w:bookmarkEnd w:id="92"/>
    </w:p>
    <w:tbl>
      <w:tblPr>
        <w:tblW w:w="10205" w:type="dxa"/>
        <w:jc w:val="center"/>
        <w:tblInd w:w="0" w:type="dxa"/>
        <w:tblLayout w:type="fixed"/>
        <w:tblCellMar>
          <w:top w:w="0" w:type="dxa"/>
          <w:left w:w="0" w:type="dxa"/>
          <w:bottom w:w="0" w:type="dxa"/>
          <w:right w:w="0" w:type="dxa"/>
        </w:tblCellMar>
      </w:tblPr>
      <w:tblGrid>
        <w:gridCol w:w="5570"/>
        <w:gridCol w:w="90"/>
        <w:gridCol w:w="2203"/>
        <w:gridCol w:w="90"/>
        <w:gridCol w:w="224"/>
        <w:gridCol w:w="482"/>
        <w:gridCol w:w="165"/>
        <w:gridCol w:w="119"/>
        <w:gridCol w:w="224"/>
        <w:gridCol w:w="879"/>
        <w:gridCol w:w="159"/>
      </w:tblGrid>
      <w:tr>
        <w:trPr/>
        <w:tc>
          <w:tcPr>
            <w:tcW w:w="55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0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93" w:type="dxa"/>
            <w:gridSpan w:val="6"/>
            <w:tcBorders/>
            <w:vAlign w:val="bottom"/>
          </w:tcPr>
          <w:p>
            <w:pPr>
              <w:pStyle w:val="TableContents"/>
              <w:bidi w:val="0"/>
              <w:spacing w:before="0" w:after="0"/>
              <w:ind w:left="0" w:right="0" w:hanging="140"/>
              <w:jc w:val="center"/>
              <w:rPr>
                <w:b/>
                <w:color w:val="000000"/>
              </w:rPr>
            </w:pPr>
            <w:r>
              <w:rPr>
                <w:b/>
                <w:color w:val="000000"/>
              </w:rPr>
              <w:t>Three Months Ended</w:t>
            </w:r>
          </w:p>
        </w:tc>
        <w:tc>
          <w:tcPr>
            <w:tcW w:w="159" w:type="dxa"/>
            <w:tcBorders/>
            <w:vAlign w:val="bottom"/>
          </w:tcPr>
          <w:p>
            <w:pPr>
              <w:pStyle w:val="TableContents"/>
              <w:bidi w:val="0"/>
              <w:spacing w:before="0" w:after="283"/>
              <w:jc w:val="left"/>
              <w:rPr/>
            </w:pPr>
            <w:r>
              <w:rPr/>
              <w:t> </w:t>
            </w:r>
          </w:p>
        </w:tc>
      </w:tr>
      <w:tr>
        <w:trPr/>
        <w:tc>
          <w:tcPr>
            <w:tcW w:w="55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0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93" w:type="dxa"/>
            <w:gridSpan w:val="6"/>
            <w:tcBorders>
              <w:bottom w:val="single" w:sz="12" w:space="0" w:color="000000"/>
            </w:tcBorders>
            <w:tcMar>
              <w:bottom w:w="28" w:type="dxa"/>
            </w:tcMar>
            <w:vAlign w:val="bottom"/>
          </w:tcPr>
          <w:p>
            <w:pPr>
              <w:pStyle w:val="TableContents"/>
              <w:bidi w:val="0"/>
              <w:spacing w:before="0" w:after="0"/>
              <w:ind w:left="0" w:right="0" w:hanging="140"/>
              <w:jc w:val="center"/>
              <w:rPr>
                <w:b/>
                <w:color w:val="000000"/>
              </w:rPr>
            </w:pPr>
            <w:r>
              <w:rPr>
                <w:b/>
                <w:color w:val="000000"/>
              </w:rPr>
              <w:t>March 31,</w:t>
            </w:r>
          </w:p>
        </w:tc>
        <w:tc>
          <w:tcPr>
            <w:tcW w:w="159" w:type="dxa"/>
            <w:tcBorders/>
            <w:vAlign w:val="bottom"/>
          </w:tcPr>
          <w:p>
            <w:pPr>
              <w:pStyle w:val="TableContents"/>
              <w:bidi w:val="0"/>
              <w:spacing w:before="0" w:after="283"/>
              <w:jc w:val="left"/>
              <w:rPr/>
            </w:pPr>
            <w:r>
              <w:rPr/>
              <w:t> </w:t>
            </w:r>
          </w:p>
        </w:tc>
      </w:tr>
      <w:tr>
        <w:trPr/>
        <w:tc>
          <w:tcPr>
            <w:tcW w:w="5570" w:type="dxa"/>
            <w:tcBorders>
              <w:bottom w:val="single" w:sz="12" w:space="0" w:color="000000"/>
            </w:tcBorders>
            <w:tcMar>
              <w:bottom w:w="28" w:type="dxa"/>
            </w:tcMar>
            <w:vAlign w:val="bottom"/>
          </w:tcPr>
          <w:p>
            <w:pPr>
              <w:pStyle w:val="TableContents"/>
              <w:bidi w:val="0"/>
              <w:spacing w:before="0" w:after="0"/>
              <w:ind w:left="144" w:right="0" w:hanging="144"/>
              <w:jc w:val="left"/>
              <w:rPr>
                <w:b/>
                <w:color w:val="000000"/>
              </w:rPr>
            </w:pPr>
            <w:r>
              <w:rPr>
                <w:b/>
                <w:color w:val="000000"/>
              </w:rPr>
              <w:t>Interest Rate Contracts</w:t>
            </w:r>
          </w:p>
        </w:tc>
        <w:tc>
          <w:tcPr>
            <w:tcW w:w="90" w:type="dxa"/>
            <w:tcBorders/>
            <w:vAlign w:val="bottom"/>
          </w:tcPr>
          <w:p>
            <w:pPr>
              <w:pStyle w:val="TableContents"/>
              <w:bidi w:val="0"/>
              <w:spacing w:before="0" w:after="283"/>
              <w:jc w:val="left"/>
              <w:rPr/>
            </w:pPr>
            <w:r>
              <w:rPr/>
              <w:t> </w:t>
            </w:r>
          </w:p>
        </w:tc>
        <w:tc>
          <w:tcPr>
            <w:tcW w:w="2203"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Location</w:t>
            </w:r>
          </w:p>
        </w:tc>
        <w:tc>
          <w:tcPr>
            <w:tcW w:w="90" w:type="dxa"/>
            <w:tcBorders/>
            <w:vAlign w:val="bottom"/>
          </w:tcPr>
          <w:p>
            <w:pPr>
              <w:pStyle w:val="TableContents"/>
              <w:bidi w:val="0"/>
              <w:spacing w:before="0" w:after="283"/>
              <w:jc w:val="left"/>
              <w:rPr/>
            </w:pPr>
            <w:r>
              <w:rPr/>
              <w:t> </w:t>
            </w:r>
          </w:p>
        </w:tc>
        <w:tc>
          <w:tcPr>
            <w:tcW w:w="70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6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03" w:type="dxa"/>
            <w:gridSpan w:val="2"/>
            <w:tcBorders>
              <w:bottom w:val="single" w:sz="12" w:space="0" w:color="000000"/>
            </w:tcBorders>
            <w:tcMar>
              <w:bottom w:w="28" w:type="dxa"/>
            </w:tcMar>
            <w:vAlign w:val="bottom"/>
          </w:tcPr>
          <w:p>
            <w:pPr>
              <w:pStyle w:val="TableContents"/>
              <w:bidi w:val="0"/>
              <w:spacing w:before="0" w:after="0"/>
              <w:ind w:left="0" w:right="0" w:hanging="140"/>
              <w:jc w:val="center"/>
              <w:rPr>
                <w:b/>
                <w:color w:val="000000"/>
              </w:rPr>
            </w:pPr>
            <w:r>
              <w:rPr>
                <w:b/>
                <w:color w:val="000000"/>
              </w:rPr>
              <w:t>2025</w:t>
            </w:r>
          </w:p>
        </w:tc>
        <w:tc>
          <w:tcPr>
            <w:tcW w:w="159" w:type="dxa"/>
            <w:tcBorders/>
            <w:vAlign w:val="bottom"/>
          </w:tcPr>
          <w:p>
            <w:pPr>
              <w:pStyle w:val="TableContents"/>
              <w:bidi w:val="0"/>
              <w:spacing w:before="0" w:after="283"/>
              <w:jc w:val="left"/>
              <w:rPr/>
            </w:pPr>
            <w:r>
              <w:rPr/>
              <w:t> </w:t>
            </w:r>
          </w:p>
        </w:tc>
      </w:tr>
      <w:tr>
        <w:trPr/>
        <w:tc>
          <w:tcPr>
            <w:tcW w:w="5570" w:type="dxa"/>
            <w:tcBorders/>
            <w:shd w:fill="CCEEFF" w:val="clear"/>
            <w:vAlign w:val="bottom"/>
          </w:tcPr>
          <w:p>
            <w:pPr>
              <w:pStyle w:val="TableContents"/>
              <w:bidi w:val="0"/>
              <w:spacing w:before="0" w:after="0"/>
              <w:ind w:left="144" w:right="0" w:hanging="144"/>
              <w:jc w:val="left"/>
              <w:rPr>
                <w:color w:val="000000"/>
              </w:rPr>
            </w:pPr>
            <w:r>
              <w:rPr>
                <w:color w:val="000000"/>
              </w:rPr>
              <w:t>Change in fair value of interest rate swaps hedging investment securities</w:t>
            </w:r>
          </w:p>
        </w:tc>
        <w:tc>
          <w:tcPr>
            <w:tcW w:w="90" w:type="dxa"/>
            <w:tcBorders/>
            <w:shd w:fill="CCEEFF" w:val="clear"/>
            <w:vAlign w:val="bottom"/>
          </w:tcPr>
          <w:p>
            <w:pPr>
              <w:pStyle w:val="TableContents"/>
              <w:bidi w:val="0"/>
              <w:spacing w:before="0" w:after="283"/>
              <w:jc w:val="left"/>
              <w:rPr/>
            </w:pPr>
            <w:r>
              <w:rPr/>
              <w:t> </w:t>
            </w:r>
          </w:p>
        </w:tc>
        <w:tc>
          <w:tcPr>
            <w:tcW w:w="2203" w:type="dxa"/>
            <w:tcBorders/>
            <w:shd w:fill="CCEEFF" w:val="clear"/>
            <w:vAlign w:val="bottom"/>
          </w:tcPr>
          <w:p>
            <w:pPr>
              <w:pStyle w:val="TableContents"/>
              <w:bidi w:val="0"/>
              <w:spacing w:before="0" w:after="0"/>
              <w:jc w:val="left"/>
              <w:rPr>
                <w:color w:val="000000"/>
              </w:rPr>
            </w:pPr>
            <w:r>
              <w:rPr>
                <w:color w:val="000000"/>
              </w:rPr>
              <w:t>Other noninterest expense</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0"/>
              <w:jc w:val="left"/>
              <w:rPr>
                <w:color w:val="000000"/>
              </w:rPr>
            </w:pPr>
            <w:r>
              <w:rPr>
                <w:color w:val="000000"/>
              </w:rPr>
              <w:t>$</w:t>
            </w:r>
          </w:p>
        </w:tc>
        <w:tc>
          <w:tcPr>
            <w:tcW w:w="482" w:type="dxa"/>
            <w:tcBorders/>
            <w:shd w:fill="CCEEFF" w:val="clear"/>
            <w:vAlign w:val="bottom"/>
          </w:tcPr>
          <w:p>
            <w:pPr>
              <w:pStyle w:val="TableContents"/>
              <w:bidi w:val="0"/>
              <w:spacing w:before="0" w:after="0"/>
              <w:jc w:val="right"/>
              <w:rPr>
                <w:color w:val="000000"/>
              </w:rPr>
            </w:pPr>
            <w:r>
              <w:rPr>
                <w:color w:val="000000"/>
              </w:rPr>
              <w:t>(64</w:t>
            </w:r>
          </w:p>
        </w:tc>
        <w:tc>
          <w:tcPr>
            <w:tcW w:w="165" w:type="dxa"/>
            <w:tcBorders/>
            <w:shd w:fill="CCEEFF" w:val="clear"/>
            <w:vAlign w:val="bottom"/>
          </w:tcPr>
          <w:p>
            <w:pPr>
              <w:pStyle w:val="TableContents"/>
              <w:bidi w:val="0"/>
              <w:spacing w:before="0" w:after="0"/>
              <w:jc w:val="left"/>
              <w:rPr>
                <w:color w:val="000000"/>
              </w:rPr>
            </w:pPr>
            <w:r>
              <w:rPr>
                <w:color w:val="000000"/>
              </w:rPr>
              <w:t>)</w:t>
            </w:r>
          </w:p>
        </w:tc>
        <w:tc>
          <w:tcPr>
            <w:tcW w:w="119"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0"/>
              <w:jc w:val="left"/>
              <w:rPr>
                <w:color w:val="000000"/>
              </w:rPr>
            </w:pPr>
            <w:r>
              <w:rPr>
                <w:color w:val="000000"/>
              </w:rPr>
              <w:t>$</w:t>
            </w:r>
          </w:p>
        </w:tc>
        <w:tc>
          <w:tcPr>
            <w:tcW w:w="879" w:type="dxa"/>
            <w:tcBorders/>
            <w:shd w:fill="CCEEFF" w:val="clear"/>
            <w:vAlign w:val="bottom"/>
          </w:tcPr>
          <w:p>
            <w:pPr>
              <w:pStyle w:val="TableContents"/>
              <w:bidi w:val="0"/>
              <w:spacing w:before="0" w:after="0"/>
              <w:jc w:val="right"/>
              <w:rPr>
                <w:color w:val="000000"/>
              </w:rPr>
            </w:pPr>
            <w:r>
              <w:rPr>
                <w:color w:val="000000"/>
              </w:rPr>
              <w:t>(2,436</w:t>
            </w:r>
          </w:p>
        </w:tc>
        <w:tc>
          <w:tcPr>
            <w:tcW w:w="159" w:type="dxa"/>
            <w:tcBorders/>
            <w:shd w:fill="CCEEFF" w:val="clear"/>
            <w:vAlign w:val="bottom"/>
          </w:tcPr>
          <w:p>
            <w:pPr>
              <w:pStyle w:val="TableContents"/>
              <w:bidi w:val="0"/>
              <w:spacing w:before="0" w:after="0"/>
              <w:jc w:val="left"/>
              <w:rPr>
                <w:color w:val="000000"/>
              </w:rPr>
            </w:pPr>
            <w:r>
              <w:rPr>
                <w:color w:val="000000"/>
              </w:rPr>
              <w:t>)</w:t>
            </w:r>
          </w:p>
        </w:tc>
      </w:tr>
      <w:tr>
        <w:trPr/>
        <w:tc>
          <w:tcPr>
            <w:tcW w:w="5570" w:type="dxa"/>
            <w:tcBorders/>
            <w:vAlign w:val="bottom"/>
          </w:tcPr>
          <w:p>
            <w:pPr>
              <w:pStyle w:val="TableContents"/>
              <w:bidi w:val="0"/>
              <w:spacing w:before="0" w:after="0"/>
              <w:ind w:left="144" w:right="0" w:hanging="144"/>
              <w:jc w:val="left"/>
              <w:rPr>
                <w:color w:val="000000"/>
              </w:rPr>
            </w:pPr>
            <w:r>
              <w:rPr>
                <w:color w:val="000000"/>
              </w:rPr>
              <w:t>Change in fair value of hedged investment securities</w:t>
            </w:r>
          </w:p>
        </w:tc>
        <w:tc>
          <w:tcPr>
            <w:tcW w:w="90" w:type="dxa"/>
            <w:tcBorders/>
            <w:vAlign w:val="bottom"/>
          </w:tcPr>
          <w:p>
            <w:pPr>
              <w:pStyle w:val="TableContents"/>
              <w:bidi w:val="0"/>
              <w:spacing w:before="0" w:after="283"/>
              <w:jc w:val="left"/>
              <w:rPr/>
            </w:pPr>
            <w:r>
              <w:rPr/>
              <w:t> </w:t>
            </w:r>
          </w:p>
        </w:tc>
        <w:tc>
          <w:tcPr>
            <w:tcW w:w="2203" w:type="dxa"/>
            <w:tcBorders/>
            <w:vAlign w:val="bottom"/>
          </w:tcPr>
          <w:p>
            <w:pPr>
              <w:pStyle w:val="TableContents"/>
              <w:bidi w:val="0"/>
              <w:spacing w:before="0" w:after="0"/>
              <w:jc w:val="left"/>
              <w:rPr>
                <w:color w:val="000000"/>
              </w:rPr>
            </w:pPr>
            <w:r>
              <w:rPr>
                <w:color w:val="000000"/>
              </w:rPr>
              <w:t>Other noninterest expense</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0"/>
              <w:jc w:val="right"/>
              <w:rPr>
                <w:color w:val="000000"/>
              </w:rPr>
            </w:pPr>
            <w:r>
              <w:rPr>
                <w:color w:val="000000"/>
              </w:rPr>
              <w:t>26</w:t>
            </w:r>
          </w:p>
        </w:tc>
        <w:tc>
          <w:tcPr>
            <w:tcW w:w="16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0"/>
              <w:jc w:val="right"/>
              <w:rPr>
                <w:color w:val="000000"/>
              </w:rPr>
            </w:pPr>
            <w:r>
              <w:rPr>
                <w:color w:val="000000"/>
              </w:rPr>
              <w:t>2,252</w:t>
            </w:r>
          </w:p>
        </w:tc>
        <w:tc>
          <w:tcPr>
            <w:tcW w:w="159" w:type="dxa"/>
            <w:tcBorders/>
            <w:vAlign w:val="bottom"/>
          </w:tcPr>
          <w:p>
            <w:pPr>
              <w:pStyle w:val="TableContents"/>
              <w:bidi w:val="0"/>
              <w:spacing w:before="0" w:after="283"/>
              <w:jc w:val="left"/>
              <w:rPr/>
            </w:pPr>
            <w:r>
              <w:rPr/>
              <w:t> </w:t>
            </w:r>
          </w:p>
        </w:tc>
      </w:tr>
      <w:tr>
        <w:trPr/>
        <w:tc>
          <w:tcPr>
            <w:tcW w:w="5570" w:type="dxa"/>
            <w:tcBorders/>
            <w:shd w:fill="CCEEFF" w:val="clear"/>
            <w:vAlign w:val="bottom"/>
          </w:tcPr>
          <w:p>
            <w:pPr>
              <w:pStyle w:val="TableContents"/>
              <w:bidi w:val="0"/>
              <w:spacing w:before="0" w:after="0"/>
              <w:ind w:left="144" w:right="0" w:hanging="144"/>
              <w:jc w:val="left"/>
              <w:rPr>
                <w:color w:val="000000"/>
              </w:rPr>
            </w:pPr>
            <w:r>
              <w:rPr>
                <w:color w:val="000000"/>
              </w:rPr>
              <w:t>Change in fair value of interest rate swaps hedging fixed rate loans</w:t>
            </w:r>
          </w:p>
        </w:tc>
        <w:tc>
          <w:tcPr>
            <w:tcW w:w="90" w:type="dxa"/>
            <w:tcBorders/>
            <w:shd w:fill="CCEEFF" w:val="clear"/>
            <w:vAlign w:val="bottom"/>
          </w:tcPr>
          <w:p>
            <w:pPr>
              <w:pStyle w:val="TableContents"/>
              <w:bidi w:val="0"/>
              <w:spacing w:before="0" w:after="283"/>
              <w:jc w:val="left"/>
              <w:rPr/>
            </w:pPr>
            <w:r>
              <w:rPr/>
              <w:t> </w:t>
            </w:r>
          </w:p>
        </w:tc>
        <w:tc>
          <w:tcPr>
            <w:tcW w:w="2203" w:type="dxa"/>
            <w:tcBorders/>
            <w:shd w:fill="CCEEFF" w:val="clear"/>
            <w:vAlign w:val="bottom"/>
          </w:tcPr>
          <w:p>
            <w:pPr>
              <w:pStyle w:val="TableContents"/>
              <w:bidi w:val="0"/>
              <w:spacing w:before="0" w:after="0"/>
              <w:jc w:val="left"/>
              <w:rPr>
                <w:color w:val="000000"/>
              </w:rPr>
            </w:pPr>
            <w:r>
              <w:rPr>
                <w:color w:val="000000"/>
              </w:rPr>
              <w:t>Interest income - loans</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0"/>
              <w:jc w:val="right"/>
              <w:rPr>
                <w:color w:val="000000"/>
              </w:rPr>
            </w:pPr>
            <w:r>
              <w:rPr>
                <w:color w:val="000000"/>
              </w:rPr>
              <w:t>—</w:t>
            </w:r>
          </w:p>
        </w:tc>
        <w:tc>
          <w:tcPr>
            <w:tcW w:w="16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0"/>
              <w:jc w:val="right"/>
              <w:rPr>
                <w:color w:val="000000"/>
              </w:rPr>
            </w:pPr>
            <w:r>
              <w:rPr>
                <w:color w:val="000000"/>
              </w:rPr>
              <w:t>(59</w:t>
            </w:r>
          </w:p>
        </w:tc>
        <w:tc>
          <w:tcPr>
            <w:tcW w:w="159" w:type="dxa"/>
            <w:tcBorders/>
            <w:shd w:fill="CCEEFF" w:val="clear"/>
            <w:vAlign w:val="bottom"/>
          </w:tcPr>
          <w:p>
            <w:pPr>
              <w:pStyle w:val="TableContents"/>
              <w:bidi w:val="0"/>
              <w:spacing w:before="0" w:after="0"/>
              <w:jc w:val="left"/>
              <w:rPr>
                <w:color w:val="000000"/>
              </w:rPr>
            </w:pPr>
            <w:r>
              <w:rPr>
                <w:color w:val="000000"/>
              </w:rPr>
              <w:t>)</w:t>
            </w:r>
          </w:p>
        </w:tc>
      </w:tr>
      <w:tr>
        <w:trPr/>
        <w:tc>
          <w:tcPr>
            <w:tcW w:w="5570" w:type="dxa"/>
            <w:tcBorders/>
            <w:vAlign w:val="bottom"/>
          </w:tcPr>
          <w:p>
            <w:pPr>
              <w:pStyle w:val="TableContents"/>
              <w:bidi w:val="0"/>
              <w:spacing w:before="0" w:after="0"/>
              <w:ind w:left="144" w:right="0" w:hanging="144"/>
              <w:jc w:val="left"/>
              <w:rPr>
                <w:color w:val="000000"/>
              </w:rPr>
            </w:pPr>
            <w:r>
              <w:rPr>
                <w:color w:val="000000"/>
              </w:rPr>
              <w:t>Change in fair value of hedged fixed rate loans</w:t>
            </w:r>
          </w:p>
        </w:tc>
        <w:tc>
          <w:tcPr>
            <w:tcW w:w="90" w:type="dxa"/>
            <w:tcBorders/>
            <w:vAlign w:val="bottom"/>
          </w:tcPr>
          <w:p>
            <w:pPr>
              <w:pStyle w:val="TableContents"/>
              <w:bidi w:val="0"/>
              <w:spacing w:before="0" w:after="283"/>
              <w:jc w:val="left"/>
              <w:rPr/>
            </w:pPr>
            <w:r>
              <w:rPr/>
              <w:t> </w:t>
            </w:r>
          </w:p>
        </w:tc>
        <w:tc>
          <w:tcPr>
            <w:tcW w:w="2203" w:type="dxa"/>
            <w:tcBorders/>
            <w:vAlign w:val="bottom"/>
          </w:tcPr>
          <w:p>
            <w:pPr>
              <w:pStyle w:val="TableContents"/>
              <w:bidi w:val="0"/>
              <w:spacing w:before="0" w:after="0"/>
              <w:jc w:val="left"/>
              <w:rPr>
                <w:color w:val="000000"/>
              </w:rPr>
            </w:pPr>
            <w:r>
              <w:rPr>
                <w:color w:val="000000"/>
              </w:rPr>
              <w:t>Interest income - loans</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0"/>
              <w:jc w:val="right"/>
              <w:rPr>
                <w:color w:val="000000"/>
              </w:rPr>
            </w:pPr>
            <w:r>
              <w:rPr>
                <w:color w:val="000000"/>
              </w:rPr>
              <w:t>—</w:t>
            </w:r>
          </w:p>
        </w:tc>
        <w:tc>
          <w:tcPr>
            <w:tcW w:w="16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0"/>
              <w:jc w:val="right"/>
              <w:rPr>
                <w:color w:val="000000"/>
              </w:rPr>
            </w:pPr>
            <w:r>
              <w:rPr>
                <w:color w:val="000000"/>
              </w:rPr>
              <w:t>71</w:t>
            </w:r>
          </w:p>
        </w:tc>
        <w:tc>
          <w:tcPr>
            <w:tcW w:w="159" w:type="dxa"/>
            <w:tcBorders/>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reflects the fair value hedges included in the Consolidated Balance Sheets at the dates indicated (dollars in thousands):</w:t>
      </w:r>
    </w:p>
    <w:p>
      <w:pPr>
        <w:pStyle w:val="TextBody"/>
        <w:bidi w:val="0"/>
        <w:spacing w:before="0" w:after="0"/>
        <w:jc w:val="center"/>
        <w:rPr/>
      </w:pPr>
      <w:r>
        <w:rPr/>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93" w:name="z9a58b06b9f4848ec892bc8640c49665b"/>
      <w:bookmarkStart w:id="94" w:name="z9a58b06b9f4848ec892bc8640c49665b"/>
      <w:bookmarkEnd w:id="94"/>
    </w:p>
    <w:tbl>
      <w:tblPr>
        <w:tblW w:w="9867" w:type="dxa"/>
        <w:jc w:val="center"/>
        <w:tblInd w:w="0" w:type="dxa"/>
        <w:tblLayout w:type="fixed"/>
        <w:tblCellMar>
          <w:top w:w="0" w:type="dxa"/>
          <w:left w:w="0" w:type="dxa"/>
          <w:bottom w:w="0" w:type="dxa"/>
          <w:right w:w="0" w:type="dxa"/>
        </w:tblCellMar>
      </w:tblPr>
      <w:tblGrid>
        <w:gridCol w:w="5540"/>
        <w:gridCol w:w="90"/>
        <w:gridCol w:w="170"/>
        <w:gridCol w:w="830"/>
        <w:gridCol w:w="90"/>
        <w:gridCol w:w="90"/>
        <w:gridCol w:w="170"/>
        <w:gridCol w:w="590"/>
        <w:gridCol w:w="90"/>
        <w:gridCol w:w="90"/>
        <w:gridCol w:w="173"/>
        <w:gridCol w:w="849"/>
        <w:gridCol w:w="92"/>
        <w:gridCol w:w="92"/>
        <w:gridCol w:w="173"/>
        <w:gridCol w:w="603"/>
        <w:gridCol w:w="135"/>
      </w:tblGrid>
      <w:tr>
        <w:trPr/>
        <w:tc>
          <w:tcPr>
            <w:tcW w:w="55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March 31, 2026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82"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2025</w:t>
            </w:r>
          </w:p>
        </w:tc>
        <w:tc>
          <w:tcPr>
            <w:tcW w:w="135" w:type="dxa"/>
            <w:tcBorders/>
            <w:vAlign w:val="bottom"/>
          </w:tcPr>
          <w:p>
            <w:pPr>
              <w:pStyle w:val="TableContents"/>
              <w:bidi w:val="0"/>
              <w:spacing w:before="0" w:after="283"/>
              <w:jc w:val="left"/>
              <w:rPr/>
            </w:pPr>
            <w:r>
              <w:rPr/>
              <w:t> </w:t>
            </w:r>
          </w:p>
        </w:tc>
      </w:tr>
      <w:tr>
        <w:trPr/>
        <w:tc>
          <w:tcPr>
            <w:tcW w:w="55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Notional</w:t>
            </w:r>
          </w:p>
          <w:p>
            <w:pPr>
              <w:pStyle w:val="TableContents"/>
              <w:bidi w:val="0"/>
              <w:spacing w:before="0" w:after="0"/>
              <w:jc w:val="center"/>
              <w:rPr>
                <w:b/>
                <w:color w:val="000000"/>
              </w:rPr>
            </w:pPr>
            <w:r>
              <w:rPr>
                <w:b/>
                <w:color w:val="000000"/>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Notional</w:t>
            </w:r>
          </w:p>
          <w:p>
            <w:pPr>
              <w:pStyle w:val="TableContents"/>
              <w:bidi w:val="0"/>
              <w:spacing w:before="0" w:after="0"/>
              <w:jc w:val="center"/>
              <w:rPr>
                <w:b/>
                <w:color w:val="000000"/>
              </w:rPr>
            </w:pPr>
            <w:r>
              <w:rPr>
                <w:b/>
                <w:color w:val="000000"/>
              </w:rPr>
              <w:t>Amount</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77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135" w:type="dxa"/>
            <w:tcBorders/>
            <w:vAlign w:val="bottom"/>
          </w:tcPr>
          <w:p>
            <w:pPr>
              <w:pStyle w:val="TableContents"/>
              <w:bidi w:val="0"/>
              <w:spacing w:before="0" w:after="283"/>
              <w:jc w:val="left"/>
              <w:rPr/>
            </w:pPr>
            <w:r>
              <w:rPr/>
              <w:t> </w:t>
            </w:r>
          </w:p>
        </w:tc>
      </w:tr>
      <w:tr>
        <w:trPr/>
        <w:tc>
          <w:tcPr>
            <w:tcW w:w="5540" w:type="dxa"/>
            <w:tcBorders/>
            <w:vAlign w:val="bottom"/>
          </w:tcPr>
          <w:p>
            <w:pPr>
              <w:pStyle w:val="TableContents"/>
              <w:bidi w:val="0"/>
              <w:spacing w:before="0" w:after="0"/>
              <w:jc w:val="left"/>
              <w:rPr>
                <w:color w:val="000000"/>
              </w:rPr>
            </w:pPr>
            <w:r>
              <w:rPr>
                <w:color w:val="000000"/>
              </w:rPr>
              <w:t>Included in other liabilities:</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776"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5540" w:type="dxa"/>
            <w:tcBorders/>
            <w:shd w:fill="CCEEFF" w:val="clear"/>
            <w:vAlign w:val="bottom"/>
          </w:tcPr>
          <w:p>
            <w:pPr>
              <w:pStyle w:val="TableContents"/>
              <w:bidi w:val="0"/>
              <w:spacing w:before="0" w:after="0"/>
              <w:ind w:left="288" w:right="0" w:hanging="144"/>
              <w:jc w:val="left"/>
              <w:rPr>
                <w:color w:val="000000"/>
              </w:rPr>
            </w:pPr>
            <w:r>
              <w:rPr>
                <w:color w:val="000000"/>
              </w:rPr>
              <w:t>Interest rate swaps related to fixed rate loans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color w:val="000000"/>
              </w:rPr>
            </w:pPr>
            <w:r>
              <w:rPr>
                <w:color w:val="000000"/>
              </w:rPr>
              <w:t>$</w:t>
            </w:r>
          </w:p>
        </w:tc>
        <w:tc>
          <w:tcPr>
            <w:tcW w:w="849" w:type="dxa"/>
            <w:tcBorders/>
            <w:shd w:fill="CCEEFF" w:val="clear"/>
            <w:vAlign w:val="bottom"/>
          </w:tcPr>
          <w:p>
            <w:pPr>
              <w:pStyle w:val="TableContents"/>
              <w:bidi w:val="0"/>
              <w:spacing w:before="0" w:after="0"/>
              <w:jc w:val="right"/>
              <w:rPr>
                <w:color w:val="000000"/>
              </w:rPr>
            </w:pPr>
            <w:r>
              <w:rPr>
                <w:color w:val="000000"/>
              </w:rPr>
              <w:t>—</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color w:val="000000"/>
              </w:rPr>
            </w:pPr>
            <w:r>
              <w:rPr>
                <w:color w:val="000000"/>
              </w:rPr>
              <w:t>$</w:t>
            </w:r>
          </w:p>
        </w:tc>
        <w:tc>
          <w:tcPr>
            <w:tcW w:w="603"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5540" w:type="dxa"/>
            <w:tcBorders/>
            <w:vAlign w:val="bottom"/>
          </w:tcPr>
          <w:p>
            <w:pPr>
              <w:pStyle w:val="TableContents"/>
              <w:bidi w:val="0"/>
              <w:spacing w:before="0" w:after="0"/>
              <w:ind w:left="288" w:right="0" w:hanging="144"/>
              <w:jc w:val="left"/>
              <w:rPr>
                <w:color w:val="000000"/>
              </w:rPr>
            </w:pPr>
            <w:r>
              <w:rPr>
                <w:color w:val="000000"/>
              </w:rPr>
              <w:t>Interest rate swaps related to state and municipal securities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0"/>
              <w:jc w:val="right"/>
              <w:rPr>
                <w:color w:val="000000"/>
              </w:rPr>
            </w:pPr>
            <w:r>
              <w:rPr>
                <w:color w:val="000000"/>
              </w:rPr>
              <w:t>—</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5540" w:type="dxa"/>
            <w:tcBorders/>
            <w:shd w:fill="CCEEFF" w:val="clear"/>
            <w:vAlign w:val="bottom"/>
          </w:tcPr>
          <w:p>
            <w:pPr>
              <w:pStyle w:val="TableContents"/>
              <w:bidi w:val="0"/>
              <w:spacing w:before="0" w:after="0"/>
              <w:ind w:left="144" w:right="0" w:hanging="144"/>
              <w:jc w:val="left"/>
              <w:rPr>
                <w:color w:val="000000"/>
              </w:rPr>
            </w:pPr>
            <w:r>
              <w:rPr>
                <w:color w:val="000000"/>
              </w:rPr>
              <w:t>Included in other assets: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 </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5540" w:type="dxa"/>
            <w:tcBorders/>
            <w:vAlign w:val="bottom"/>
          </w:tcPr>
          <w:p>
            <w:pPr>
              <w:pStyle w:val="TableContents"/>
              <w:bidi w:val="0"/>
              <w:spacing w:before="0" w:after="0"/>
              <w:ind w:left="288" w:right="0" w:hanging="144"/>
              <w:jc w:val="left"/>
              <w:rPr>
                <w:color w:val="000000"/>
              </w:rPr>
            </w:pPr>
            <w:r>
              <w:rPr>
                <w:color w:val="000000"/>
              </w:rPr>
              <w:t>Interest rate swaps related to fixed rate loans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2,006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590" w:type="dxa"/>
            <w:tcBorders/>
            <w:vAlign w:val="bottom"/>
          </w:tcPr>
          <w:p>
            <w:pPr>
              <w:pStyle w:val="TableContents"/>
              <w:bidi w:val="0"/>
              <w:spacing w:before="0" w:after="0"/>
              <w:jc w:val="right"/>
              <w:rPr>
                <w:color w:val="000000"/>
              </w:rPr>
            </w:pPr>
            <w:r>
              <w:rPr>
                <w:color w:val="000000"/>
              </w:rPr>
              <w:t>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0"/>
              <w:jc w:val="left"/>
              <w:rPr>
                <w:color w:val="000000"/>
              </w:rPr>
            </w:pPr>
            <w:r>
              <w:rPr>
                <w:color w:val="000000"/>
              </w:rPr>
              <w:t>$</w:t>
            </w:r>
          </w:p>
        </w:tc>
        <w:tc>
          <w:tcPr>
            <w:tcW w:w="849" w:type="dxa"/>
            <w:tcBorders/>
            <w:vAlign w:val="bottom"/>
          </w:tcPr>
          <w:p>
            <w:pPr>
              <w:pStyle w:val="TableContents"/>
              <w:bidi w:val="0"/>
              <w:spacing w:before="0" w:after="0"/>
              <w:jc w:val="right"/>
              <w:rPr>
                <w:color w:val="000000"/>
              </w:rPr>
            </w:pPr>
            <w:r>
              <w:rPr>
                <w:color w:val="000000"/>
              </w:rPr>
              <w:t>2,030</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0"/>
              <w:jc w:val="left"/>
              <w:rPr>
                <w:color w:val="000000"/>
              </w:rPr>
            </w:pPr>
            <w:r>
              <w:rPr>
                <w:color w:val="000000"/>
              </w:rPr>
              <w:t>$</w:t>
            </w:r>
          </w:p>
        </w:tc>
        <w:tc>
          <w:tcPr>
            <w:tcW w:w="603" w:type="dxa"/>
            <w:tcBorders/>
            <w:vAlign w:val="bottom"/>
          </w:tcPr>
          <w:p>
            <w:pPr>
              <w:pStyle w:val="TableContents"/>
              <w:bidi w:val="0"/>
              <w:spacing w:before="0" w:after="0"/>
              <w:jc w:val="right"/>
              <w:rPr>
                <w:color w:val="000000"/>
              </w:rPr>
            </w:pPr>
            <w:r>
              <w:rPr>
                <w:color w:val="000000"/>
              </w:rPr>
              <w:t>24</w:t>
            </w:r>
          </w:p>
        </w:tc>
        <w:tc>
          <w:tcPr>
            <w:tcW w:w="135" w:type="dxa"/>
            <w:tcBorders/>
            <w:vAlign w:val="bottom"/>
          </w:tcPr>
          <w:p>
            <w:pPr>
              <w:pStyle w:val="TableContents"/>
              <w:bidi w:val="0"/>
              <w:spacing w:before="0" w:after="283"/>
              <w:jc w:val="left"/>
              <w:rPr/>
            </w:pPr>
            <w:r>
              <w:rPr/>
              <w:t> </w:t>
            </w:r>
          </w:p>
        </w:tc>
      </w:tr>
      <w:tr>
        <w:trPr/>
        <w:tc>
          <w:tcPr>
            <w:tcW w:w="5540" w:type="dxa"/>
            <w:tcBorders/>
            <w:shd w:fill="CCEEFF" w:val="clear"/>
            <w:vAlign w:val="bottom"/>
          </w:tcPr>
          <w:p>
            <w:pPr>
              <w:pStyle w:val="TableContents"/>
              <w:bidi w:val="0"/>
              <w:spacing w:before="0" w:after="0"/>
              <w:ind w:left="288" w:right="0" w:hanging="144"/>
              <w:jc w:val="left"/>
              <w:rPr>
                <w:color w:val="000000"/>
              </w:rPr>
            </w:pPr>
            <w:r>
              <w:rPr>
                <w:color w:val="000000"/>
              </w:rPr>
              <w:t>Interest rate swaps related to state and municipal securities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116,810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9,666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0"/>
              <w:jc w:val="right"/>
              <w:rPr>
                <w:color w:val="000000"/>
              </w:rPr>
            </w:pPr>
            <w:r>
              <w:rPr>
                <w:color w:val="000000"/>
              </w:rPr>
              <w:t>117,860</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0"/>
              <w:jc w:val="right"/>
              <w:rPr>
                <w:color w:val="000000"/>
              </w:rPr>
            </w:pPr>
            <w:r>
              <w:rPr>
                <w:color w:val="000000"/>
              </w:rPr>
              <w:t>9,730</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21</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Mortgage banking derivatives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net gains (losses) relating to free standing derivative instruments used for risk management are summarized below for the periods indicated (dollars in thousands):</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95" w:name="z546556a9e8d34e4c94930036a29e8fc3"/>
      <w:bookmarkStart w:id="96" w:name="z546556a9e8d34e4c94930036a29e8fc3"/>
      <w:bookmarkEnd w:id="96"/>
    </w:p>
    <w:tbl>
      <w:tblPr>
        <w:tblW w:w="9253" w:type="dxa"/>
        <w:jc w:val="center"/>
        <w:tblInd w:w="0" w:type="dxa"/>
        <w:tblLayout w:type="fixed"/>
        <w:tblCellMar>
          <w:top w:w="0" w:type="dxa"/>
          <w:left w:w="0" w:type="dxa"/>
          <w:bottom w:w="0" w:type="dxa"/>
          <w:right w:w="0" w:type="dxa"/>
        </w:tblCellMar>
      </w:tblPr>
      <w:tblGrid>
        <w:gridCol w:w="4235"/>
        <w:gridCol w:w="90"/>
        <w:gridCol w:w="2480"/>
        <w:gridCol w:w="90"/>
        <w:gridCol w:w="312"/>
        <w:gridCol w:w="752"/>
        <w:gridCol w:w="165"/>
        <w:gridCol w:w="165"/>
        <w:gridCol w:w="312"/>
        <w:gridCol w:w="532"/>
        <w:gridCol w:w="120"/>
      </w:tblGrid>
      <w:tr>
        <w:trPr/>
        <w:tc>
          <w:tcPr>
            <w:tcW w:w="42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38" w:type="dxa"/>
            <w:gridSpan w:val="6"/>
            <w:tcBorders/>
            <w:vAlign w:val="bottom"/>
          </w:tcPr>
          <w:p>
            <w:pPr>
              <w:pStyle w:val="TableContents"/>
              <w:bidi w:val="0"/>
              <w:spacing w:before="0" w:after="0"/>
              <w:ind w:left="0" w:right="0" w:hanging="140"/>
              <w:jc w:val="center"/>
              <w:rPr>
                <w:b/>
                <w:color w:val="000000"/>
              </w:rPr>
            </w:pPr>
            <w:r>
              <w:rPr>
                <w:b/>
                <w:color w:val="000000"/>
              </w:rPr>
              <w:t>Three Months Ended</w:t>
            </w:r>
          </w:p>
        </w:tc>
        <w:tc>
          <w:tcPr>
            <w:tcW w:w="120" w:type="dxa"/>
            <w:tcBorders/>
            <w:vAlign w:val="bottom"/>
          </w:tcPr>
          <w:p>
            <w:pPr>
              <w:pStyle w:val="TableContents"/>
              <w:bidi w:val="0"/>
              <w:spacing w:before="0" w:after="283"/>
              <w:jc w:val="left"/>
              <w:rPr/>
            </w:pPr>
            <w:r>
              <w:rPr/>
              <w:t> </w:t>
            </w:r>
          </w:p>
        </w:tc>
      </w:tr>
      <w:tr>
        <w:trPr/>
        <w:tc>
          <w:tcPr>
            <w:tcW w:w="42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38" w:type="dxa"/>
            <w:gridSpan w:val="6"/>
            <w:tcBorders>
              <w:bottom w:val="single" w:sz="12" w:space="0" w:color="000000"/>
            </w:tcBorders>
            <w:tcMar>
              <w:bottom w:w="28" w:type="dxa"/>
            </w:tcMar>
            <w:vAlign w:val="bottom"/>
          </w:tcPr>
          <w:p>
            <w:pPr>
              <w:pStyle w:val="TableContents"/>
              <w:bidi w:val="0"/>
              <w:spacing w:before="0" w:after="0"/>
              <w:ind w:left="0" w:right="0" w:hanging="140"/>
              <w:jc w:val="center"/>
              <w:rPr>
                <w:b/>
                <w:color w:val="000000"/>
              </w:rPr>
            </w:pPr>
            <w:r>
              <w:rPr>
                <w:b/>
                <w:color w:val="000000"/>
              </w:rPr>
              <w:t>March 31,</w:t>
            </w:r>
          </w:p>
        </w:tc>
        <w:tc>
          <w:tcPr>
            <w:tcW w:w="120" w:type="dxa"/>
            <w:tcBorders/>
            <w:vAlign w:val="bottom"/>
          </w:tcPr>
          <w:p>
            <w:pPr>
              <w:pStyle w:val="TableContents"/>
              <w:bidi w:val="0"/>
              <w:spacing w:before="0" w:after="283"/>
              <w:jc w:val="left"/>
              <w:rPr/>
            </w:pPr>
            <w:r>
              <w:rPr/>
              <w:t> </w:t>
            </w:r>
          </w:p>
        </w:tc>
      </w:tr>
      <w:tr>
        <w:trPr/>
        <w:tc>
          <w:tcPr>
            <w:tcW w:w="4235" w:type="dxa"/>
            <w:tcBorders/>
            <w:vAlign w:val="bottom"/>
          </w:tcPr>
          <w:p>
            <w:pPr>
              <w:pStyle w:val="TableContents"/>
              <w:bidi w:val="0"/>
              <w:spacing w:before="0" w:after="0"/>
              <w:jc w:val="center"/>
              <w:rPr>
                <w:b/>
                <w:color w:val="000000"/>
              </w:rPr>
            </w:pPr>
            <w:r>
              <w:rPr>
                <w:b/>
                <w:color w:val="000000"/>
              </w:rPr>
            </w:r>
          </w:p>
        </w:tc>
        <w:tc>
          <w:tcPr>
            <w:tcW w:w="90" w:type="dxa"/>
            <w:tcBorders/>
            <w:vAlign w:val="bottom"/>
          </w:tcPr>
          <w:p>
            <w:pPr>
              <w:pStyle w:val="TableContents"/>
              <w:bidi w:val="0"/>
              <w:spacing w:before="0" w:after="283"/>
              <w:jc w:val="center"/>
              <w:rPr/>
            </w:pPr>
            <w:r>
              <w:rPr/>
              <w:t> </w:t>
            </w:r>
          </w:p>
        </w:tc>
        <w:tc>
          <w:tcPr>
            <w:tcW w:w="2480" w:type="dxa"/>
            <w:tcBorders>
              <w:bottom w:val="single" w:sz="12" w:space="0" w:color="000000"/>
            </w:tcBorders>
            <w:tcMar>
              <w:bottom w:w="28" w:type="dxa"/>
            </w:tcMar>
            <w:vAlign w:val="bottom"/>
          </w:tcPr>
          <w:p>
            <w:pPr>
              <w:pStyle w:val="TableContents"/>
              <w:bidi w:val="0"/>
              <w:spacing w:before="0" w:after="283"/>
              <w:jc w:val="center"/>
              <w:rPr>
                <w:b/>
              </w:rPr>
            </w:pPr>
            <w:r>
              <w:rPr>
                <w:b/>
              </w:rPr>
              <w:t>Location</w:t>
            </w:r>
          </w:p>
        </w:tc>
        <w:tc>
          <w:tcPr>
            <w:tcW w:w="90" w:type="dxa"/>
            <w:tcBorders/>
            <w:vAlign w:val="bottom"/>
          </w:tcPr>
          <w:p>
            <w:pPr>
              <w:pStyle w:val="TableContents"/>
              <w:bidi w:val="0"/>
              <w:spacing w:before="0" w:after="283"/>
              <w:jc w:val="left"/>
              <w:rPr/>
            </w:pPr>
            <w:r>
              <w:rPr/>
              <w:t> </w:t>
            </w:r>
          </w:p>
        </w:tc>
        <w:tc>
          <w:tcPr>
            <w:tcW w:w="1064" w:type="dxa"/>
            <w:gridSpan w:val="2"/>
            <w:tcBorders>
              <w:bottom w:val="single" w:sz="12" w:space="0" w:color="000000"/>
            </w:tcBorders>
            <w:tcMar>
              <w:bottom w:w="28" w:type="dxa"/>
            </w:tcMar>
            <w:vAlign w:val="bottom"/>
          </w:tcPr>
          <w:p>
            <w:pPr>
              <w:pStyle w:val="TableContents"/>
              <w:bidi w:val="0"/>
              <w:spacing w:before="0" w:after="283"/>
              <w:jc w:val="center"/>
              <w:rPr/>
            </w:pPr>
            <w:r>
              <w:rPr/>
              <w:t> </w:t>
            </w:r>
            <w:r>
              <w:rPr>
                <w:b/>
              </w:rPr>
              <w:t>2026</w:t>
            </w:r>
          </w:p>
        </w:tc>
        <w:tc>
          <w:tcPr>
            <w:tcW w:w="165" w:type="dxa"/>
            <w:tcBorders/>
            <w:vAlign w:val="bottom"/>
          </w:tcPr>
          <w:p>
            <w:pPr>
              <w:pStyle w:val="TableContents"/>
              <w:bidi w:val="0"/>
              <w:spacing w:before="0" w:after="283"/>
              <w:jc w:val="center"/>
              <w:rPr/>
            </w:pPr>
            <w:r>
              <w:rPr/>
              <w:t> </w:t>
            </w:r>
          </w:p>
        </w:tc>
        <w:tc>
          <w:tcPr>
            <w:tcW w:w="165" w:type="dxa"/>
            <w:tcBorders/>
            <w:vAlign w:val="bottom"/>
          </w:tcPr>
          <w:p>
            <w:pPr>
              <w:pStyle w:val="TableContents"/>
              <w:bidi w:val="0"/>
              <w:spacing w:before="0" w:after="283"/>
              <w:jc w:val="center"/>
              <w:rPr/>
            </w:pPr>
            <w:r>
              <w:rPr/>
              <w:t> </w:t>
            </w:r>
          </w:p>
        </w:tc>
        <w:tc>
          <w:tcPr>
            <w:tcW w:w="844" w:type="dxa"/>
            <w:gridSpan w:val="2"/>
            <w:tcBorders>
              <w:bottom w:val="single" w:sz="12" w:space="0" w:color="000000"/>
            </w:tcBorders>
            <w:tcMar>
              <w:bottom w:w="28" w:type="dxa"/>
            </w:tcMar>
            <w:vAlign w:val="bottom"/>
          </w:tcPr>
          <w:p>
            <w:pPr>
              <w:pStyle w:val="TableContents"/>
              <w:bidi w:val="0"/>
              <w:spacing w:before="0" w:after="283"/>
              <w:jc w:val="center"/>
              <w:rPr/>
            </w:pPr>
            <w:r>
              <w:rPr/>
              <w:t>   </w:t>
            </w:r>
            <w:r>
              <w:rPr>
                <w:b/>
              </w:rPr>
              <w:t>2025</w:t>
            </w:r>
          </w:p>
        </w:tc>
        <w:tc>
          <w:tcPr>
            <w:tcW w:w="120" w:type="dxa"/>
            <w:tcBorders/>
            <w:vAlign w:val="bottom"/>
          </w:tcPr>
          <w:p>
            <w:pPr>
              <w:pStyle w:val="TableContents"/>
              <w:bidi w:val="0"/>
              <w:spacing w:before="0" w:after="283"/>
              <w:jc w:val="left"/>
              <w:rPr/>
            </w:pPr>
            <w:r>
              <w:rPr/>
              <w:t> </w:t>
            </w:r>
          </w:p>
        </w:tc>
      </w:tr>
      <w:tr>
        <w:trPr/>
        <w:tc>
          <w:tcPr>
            <w:tcW w:w="4235" w:type="dxa"/>
            <w:tcBorders/>
            <w:shd w:fill="CCEEFF" w:val="clear"/>
            <w:vAlign w:val="bottom"/>
          </w:tcPr>
          <w:p>
            <w:pPr>
              <w:pStyle w:val="TableContents"/>
              <w:bidi w:val="0"/>
              <w:spacing w:before="0" w:after="0"/>
              <w:ind w:left="144" w:right="0" w:hanging="144"/>
              <w:jc w:val="left"/>
              <w:rPr>
                <w:color w:val="000000"/>
              </w:rPr>
            </w:pPr>
            <w:r>
              <w:rPr>
                <w:color w:val="000000"/>
              </w:rPr>
              <w:t>Gain (loss) on mortgage banking derivatives</w:t>
            </w:r>
          </w:p>
        </w:tc>
        <w:tc>
          <w:tcPr>
            <w:tcW w:w="90" w:type="dxa"/>
            <w:tcBorders/>
            <w:shd w:fill="CCEEFF" w:val="clear"/>
            <w:vAlign w:val="bottom"/>
          </w:tcPr>
          <w:p>
            <w:pPr>
              <w:pStyle w:val="TableContents"/>
              <w:bidi w:val="0"/>
              <w:spacing w:before="0" w:after="283"/>
              <w:jc w:val="left"/>
              <w:rPr/>
            </w:pPr>
            <w:r>
              <w:rPr/>
              <w:t> </w:t>
            </w:r>
          </w:p>
        </w:tc>
        <w:tc>
          <w:tcPr>
            <w:tcW w:w="2480" w:type="dxa"/>
            <w:tcBorders/>
            <w:shd w:fill="CCEEFF" w:val="clear"/>
            <w:vAlign w:val="bottom"/>
          </w:tcPr>
          <w:p>
            <w:pPr>
              <w:pStyle w:val="TableContents"/>
              <w:bidi w:val="0"/>
              <w:spacing w:before="0" w:after="0"/>
              <w:jc w:val="left"/>
              <w:rPr>
                <w:color w:val="000000"/>
              </w:rPr>
            </w:pPr>
            <w:r>
              <w:rPr>
                <w:color w:val="000000"/>
              </w:rPr>
              <w:t>Net gain on sales of loans</w:t>
            </w:r>
          </w:p>
        </w:tc>
        <w:tc>
          <w:tcPr>
            <w:tcW w:w="90" w:type="dxa"/>
            <w:tcBorders/>
            <w:shd w:fill="CCEEFF" w:val="clear"/>
            <w:vAlign w:val="bottom"/>
          </w:tcPr>
          <w:p>
            <w:pPr>
              <w:pStyle w:val="TableContents"/>
              <w:bidi w:val="0"/>
              <w:spacing w:before="0" w:after="283"/>
              <w:jc w:val="right"/>
              <w:rPr/>
            </w:pPr>
            <w:r>
              <w:rPr/>
              <w:t> </w:t>
            </w:r>
          </w:p>
        </w:tc>
        <w:tc>
          <w:tcPr>
            <w:tcW w:w="312" w:type="dxa"/>
            <w:tcBorders/>
            <w:shd w:fill="CCEEFF" w:val="clear"/>
            <w:vAlign w:val="bottom"/>
          </w:tcPr>
          <w:p>
            <w:pPr>
              <w:pStyle w:val="TableContents"/>
              <w:bidi w:val="0"/>
              <w:spacing w:before="0" w:after="0"/>
              <w:jc w:val="left"/>
              <w:rPr>
                <w:color w:val="000000"/>
              </w:rPr>
            </w:pPr>
            <w:r>
              <w:rPr>
                <w:color w:val="000000"/>
              </w:rPr>
              <w:t>$</w:t>
            </w:r>
          </w:p>
        </w:tc>
        <w:tc>
          <w:tcPr>
            <w:tcW w:w="752" w:type="dxa"/>
            <w:tcBorders/>
            <w:shd w:fill="CCEEFF" w:val="clear"/>
            <w:vAlign w:val="bottom"/>
          </w:tcPr>
          <w:p>
            <w:pPr>
              <w:pStyle w:val="TableContents"/>
              <w:bidi w:val="0"/>
              <w:spacing w:before="0" w:after="0"/>
              <w:jc w:val="right"/>
              <w:rPr>
                <w:color w:val="000000"/>
              </w:rPr>
            </w:pPr>
            <w:r>
              <w:rPr>
                <w:color w:val="000000"/>
              </w:rPr>
              <w:t>192</w:t>
            </w:r>
          </w:p>
        </w:tc>
        <w:tc>
          <w:tcPr>
            <w:tcW w:w="16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right"/>
              <w:rPr/>
            </w:pPr>
            <w:r>
              <w:rPr/>
              <w:t> </w:t>
            </w:r>
          </w:p>
        </w:tc>
        <w:tc>
          <w:tcPr>
            <w:tcW w:w="312" w:type="dxa"/>
            <w:tcBorders/>
            <w:shd w:fill="CCEEFF" w:val="clear"/>
            <w:vAlign w:val="bottom"/>
          </w:tcPr>
          <w:p>
            <w:pPr>
              <w:pStyle w:val="TableContents"/>
              <w:bidi w:val="0"/>
              <w:spacing w:before="0" w:after="0"/>
              <w:jc w:val="left"/>
              <w:rPr>
                <w:color w:val="000000"/>
              </w:rPr>
            </w:pPr>
            <w:r>
              <w:rPr>
                <w:color w:val="000000"/>
              </w:rPr>
              <w:t>$</w:t>
            </w:r>
          </w:p>
        </w:tc>
        <w:tc>
          <w:tcPr>
            <w:tcW w:w="532" w:type="dxa"/>
            <w:tcBorders/>
            <w:shd w:fill="CCEEFF" w:val="clear"/>
            <w:vAlign w:val="bottom"/>
          </w:tcPr>
          <w:p>
            <w:pPr>
              <w:pStyle w:val="TableContents"/>
              <w:bidi w:val="0"/>
              <w:spacing w:before="0" w:after="0"/>
              <w:jc w:val="right"/>
              <w:rPr>
                <w:color w:val="000000"/>
              </w:rPr>
            </w:pPr>
            <w:r>
              <w:rPr>
                <w:color w:val="000000"/>
              </w:rPr>
              <w:t>83</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reflects the amount and fair value of mortgage banking derivatives in the Consolidated Balance Sheets at the dates indicated (dollars in thousands):</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97" w:name="zbf6d4f8c291e461d971713b5ce39c9ca"/>
      <w:bookmarkStart w:id="98" w:name="zbf6d4f8c291e461d971713b5ce39c9ca"/>
      <w:bookmarkEnd w:id="98"/>
    </w:p>
    <w:tbl>
      <w:tblPr>
        <w:tblW w:w="9556" w:type="dxa"/>
        <w:jc w:val="center"/>
        <w:tblInd w:w="0" w:type="dxa"/>
        <w:tblLayout w:type="fixed"/>
        <w:tblCellMar>
          <w:top w:w="0" w:type="dxa"/>
          <w:left w:w="0" w:type="dxa"/>
          <w:bottom w:w="0" w:type="dxa"/>
          <w:right w:w="0" w:type="dxa"/>
        </w:tblCellMar>
      </w:tblPr>
      <w:tblGrid>
        <w:gridCol w:w="5420"/>
        <w:gridCol w:w="90"/>
        <w:gridCol w:w="177"/>
        <w:gridCol w:w="743"/>
        <w:gridCol w:w="90"/>
        <w:gridCol w:w="90"/>
        <w:gridCol w:w="190"/>
        <w:gridCol w:w="460"/>
        <w:gridCol w:w="90"/>
        <w:gridCol w:w="90"/>
        <w:gridCol w:w="205"/>
        <w:gridCol w:w="859"/>
        <w:gridCol w:w="108"/>
        <w:gridCol w:w="108"/>
        <w:gridCol w:w="205"/>
        <w:gridCol w:w="496"/>
        <w:gridCol w:w="135"/>
      </w:tblGrid>
      <w:tr>
        <w:trPr/>
        <w:tc>
          <w:tcPr>
            <w:tcW w:w="54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5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March 31, 2026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81"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2025</w:t>
            </w:r>
          </w:p>
        </w:tc>
        <w:tc>
          <w:tcPr>
            <w:tcW w:w="135" w:type="dxa"/>
            <w:tcBorders/>
            <w:vAlign w:val="bottom"/>
          </w:tcPr>
          <w:p>
            <w:pPr>
              <w:pStyle w:val="TableContents"/>
              <w:bidi w:val="0"/>
              <w:spacing w:before="0" w:after="283"/>
              <w:jc w:val="left"/>
              <w:rPr/>
            </w:pPr>
            <w:r>
              <w:rPr/>
              <w:t> </w:t>
            </w:r>
          </w:p>
        </w:tc>
      </w:tr>
      <w:tr>
        <w:trPr/>
        <w:tc>
          <w:tcPr>
            <w:tcW w:w="54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Notional</w:t>
            </w:r>
          </w:p>
          <w:p>
            <w:pPr>
              <w:pStyle w:val="TableContents"/>
              <w:bidi w:val="0"/>
              <w:spacing w:before="0" w:after="0"/>
              <w:jc w:val="center"/>
              <w:rPr>
                <w:b/>
                <w:color w:val="000000"/>
              </w:rPr>
            </w:pPr>
            <w:r>
              <w:rPr>
                <w:b/>
                <w:color w:val="000000"/>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6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Notional</w:t>
            </w:r>
          </w:p>
          <w:p>
            <w:pPr>
              <w:pStyle w:val="TableContents"/>
              <w:bidi w:val="0"/>
              <w:spacing w:before="0" w:after="0"/>
              <w:jc w:val="center"/>
              <w:rPr>
                <w:b/>
                <w:color w:val="000000"/>
              </w:rPr>
            </w:pPr>
            <w:r>
              <w:rPr>
                <w:b/>
                <w:color w:val="000000"/>
              </w:rPr>
              <w:t>Amount</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0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135" w:type="dxa"/>
            <w:tcBorders/>
            <w:vAlign w:val="bottom"/>
          </w:tcPr>
          <w:p>
            <w:pPr>
              <w:pStyle w:val="TableContents"/>
              <w:bidi w:val="0"/>
              <w:spacing w:before="0" w:after="283"/>
              <w:jc w:val="left"/>
              <w:rPr/>
            </w:pPr>
            <w:r>
              <w:rPr/>
              <w:t> </w:t>
            </w:r>
          </w:p>
        </w:tc>
      </w:tr>
      <w:tr>
        <w:trPr/>
        <w:tc>
          <w:tcPr>
            <w:tcW w:w="5420" w:type="dxa"/>
            <w:tcBorders/>
            <w:vAlign w:val="bottom"/>
          </w:tcPr>
          <w:p>
            <w:pPr>
              <w:pStyle w:val="TableContents"/>
              <w:bidi w:val="0"/>
              <w:spacing w:before="0" w:after="0"/>
              <w:jc w:val="left"/>
              <w:rPr>
                <w:color w:val="000000"/>
              </w:rPr>
            </w:pPr>
            <w:r>
              <w:rPr>
                <w:color w:val="000000"/>
              </w:rPr>
              <w:t>Included in other assets:</w:t>
            </w:r>
          </w:p>
        </w:tc>
        <w:tc>
          <w:tcPr>
            <w:tcW w:w="9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5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64" w:type="dxa"/>
            <w:gridSpan w:val="2"/>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01"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5420" w:type="dxa"/>
            <w:tcBorders/>
            <w:shd w:fill="CCEEFF" w:val="clear"/>
            <w:vAlign w:val="bottom"/>
          </w:tcPr>
          <w:p>
            <w:pPr>
              <w:pStyle w:val="TableContents"/>
              <w:bidi w:val="0"/>
              <w:spacing w:before="0" w:after="0"/>
              <w:ind w:left="288" w:right="0" w:hanging="144"/>
              <w:jc w:val="left"/>
              <w:rPr>
                <w:color w:val="000000"/>
              </w:rPr>
            </w:pPr>
            <w:r>
              <w:rPr>
                <w:color w:val="000000"/>
              </w:rPr>
              <w:t>Forward contracts related to mortgage loans held for sale</w:t>
            </w:r>
          </w:p>
        </w:tc>
        <w:tc>
          <w:tcPr>
            <w:tcW w:w="9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0"/>
              <w:jc w:val="left"/>
              <w:rPr>
                <w:color w:val="000000"/>
              </w:rPr>
            </w:pPr>
            <w:r>
              <w:rPr>
                <w:color w:val="000000"/>
              </w:rPr>
              <w:t>$</w:t>
            </w:r>
          </w:p>
        </w:tc>
        <w:tc>
          <w:tcPr>
            <w:tcW w:w="743" w:type="dxa"/>
            <w:tcBorders/>
            <w:shd w:fill="CCEEFF" w:val="clear"/>
            <w:vAlign w:val="bottom"/>
          </w:tcPr>
          <w:p>
            <w:pPr>
              <w:pStyle w:val="TableContents"/>
              <w:bidi w:val="0"/>
              <w:spacing w:before="0" w:after="0"/>
              <w:jc w:val="right"/>
              <w:rPr>
                <w:color w:val="000000"/>
              </w:rPr>
            </w:pPr>
            <w:r>
              <w:rPr>
                <w:color w:val="000000"/>
              </w:rPr>
              <w:t>18,125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0"/>
              <w:jc w:val="left"/>
              <w:rPr>
                <w:color w:val="000000"/>
              </w:rPr>
            </w:pPr>
            <w:r>
              <w:rPr>
                <w:color w:val="000000"/>
              </w:rPr>
              <w:t>$</w:t>
            </w:r>
          </w:p>
        </w:tc>
        <w:tc>
          <w:tcPr>
            <w:tcW w:w="460" w:type="dxa"/>
            <w:tcBorders/>
            <w:shd w:fill="CCEEFF" w:val="clear"/>
            <w:vAlign w:val="bottom"/>
          </w:tcPr>
          <w:p>
            <w:pPr>
              <w:pStyle w:val="TableContents"/>
              <w:bidi w:val="0"/>
              <w:spacing w:before="0" w:after="0"/>
              <w:jc w:val="right"/>
              <w:rPr>
                <w:color w:val="000000"/>
              </w:rPr>
            </w:pPr>
            <w:r>
              <w:rPr>
                <w:color w:val="000000"/>
              </w:rPr>
              <w:t>67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0"/>
              <w:jc w:val="left"/>
              <w:rPr>
                <w:color w:val="000000"/>
              </w:rPr>
            </w:pPr>
            <w:r>
              <w:rPr>
                <w:color w:val="000000"/>
              </w:rPr>
              <w:t>$</w:t>
            </w:r>
          </w:p>
        </w:tc>
        <w:tc>
          <w:tcPr>
            <w:tcW w:w="859" w:type="dxa"/>
            <w:tcBorders/>
            <w:shd w:fill="CCEEFF" w:val="clear"/>
            <w:vAlign w:val="bottom"/>
          </w:tcPr>
          <w:p>
            <w:pPr>
              <w:pStyle w:val="TableContents"/>
              <w:bidi w:val="0"/>
              <w:spacing w:before="0" w:after="0"/>
              <w:jc w:val="right"/>
              <w:rPr>
                <w:color w:val="000000"/>
              </w:rPr>
            </w:pPr>
            <w:r>
              <w:rPr>
                <w:color w:val="000000"/>
              </w:rPr>
              <w:t>—</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0"/>
              <w:jc w:val="left"/>
              <w:rPr>
                <w:color w:val="000000"/>
              </w:rPr>
            </w:pPr>
            <w:r>
              <w:rPr>
                <w:color w:val="000000"/>
              </w:rPr>
              <w:t>$</w:t>
            </w:r>
          </w:p>
        </w:tc>
        <w:tc>
          <w:tcPr>
            <w:tcW w:w="496"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5420" w:type="dxa"/>
            <w:tcBorders/>
            <w:vAlign w:val="bottom"/>
          </w:tcPr>
          <w:p>
            <w:pPr>
              <w:pStyle w:val="TableContents"/>
              <w:bidi w:val="0"/>
              <w:spacing w:before="0" w:after="0"/>
              <w:ind w:left="288" w:right="0" w:hanging="144"/>
              <w:jc w:val="left"/>
              <w:rPr>
                <w:color w:val="000000"/>
              </w:rPr>
            </w:pPr>
            <w:r>
              <w:rPr>
                <w:color w:val="000000"/>
              </w:rPr>
              <w:t>Interest rate lock commitments</w:t>
            </w:r>
          </w:p>
        </w:tc>
        <w:tc>
          <w:tcPr>
            <w:tcW w:w="9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0"/>
              <w:jc w:val="right"/>
              <w:rPr>
                <w:color w:val="000000"/>
              </w:rPr>
            </w:pPr>
            <w:r>
              <w:rPr>
                <w:color w:val="000000"/>
              </w:rPr>
              <w:t>24,856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0"/>
              <w:jc w:val="right"/>
              <w:rPr>
                <w:color w:val="000000"/>
              </w:rPr>
            </w:pPr>
            <w:r>
              <w:rPr>
                <w:color w:val="000000"/>
              </w:rPr>
              <w:t>403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color w:val="000000"/>
              </w:rPr>
            </w:pPr>
            <w:r>
              <w:rPr>
                <w:color w:val="000000"/>
              </w:rPr>
              <w:t>16,127</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0"/>
              <w:jc w:val="right"/>
              <w:rPr>
                <w:color w:val="000000"/>
              </w:rPr>
            </w:pPr>
            <w:r>
              <w:rPr>
                <w:color w:val="000000"/>
              </w:rPr>
              <w:t>216</w:t>
            </w:r>
          </w:p>
        </w:tc>
        <w:tc>
          <w:tcPr>
            <w:tcW w:w="135" w:type="dxa"/>
            <w:tcBorders/>
            <w:vAlign w:val="bottom"/>
          </w:tcPr>
          <w:p>
            <w:pPr>
              <w:pStyle w:val="TableContents"/>
              <w:bidi w:val="0"/>
              <w:spacing w:before="0" w:after="283"/>
              <w:jc w:val="left"/>
              <w:rPr/>
            </w:pPr>
            <w:r>
              <w:rPr/>
              <w:t> </w:t>
            </w:r>
          </w:p>
        </w:tc>
      </w:tr>
      <w:tr>
        <w:trPr/>
        <w:tc>
          <w:tcPr>
            <w:tcW w:w="542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5420" w:type="dxa"/>
            <w:tcBorders/>
            <w:vAlign w:val="bottom"/>
          </w:tcPr>
          <w:p>
            <w:pPr>
              <w:pStyle w:val="TableContents"/>
              <w:bidi w:val="0"/>
              <w:spacing w:before="0" w:after="0"/>
              <w:ind w:left="144" w:right="0" w:hanging="144"/>
              <w:jc w:val="left"/>
              <w:rPr>
                <w:color w:val="000000"/>
              </w:rPr>
            </w:pPr>
            <w:r>
              <w:rPr>
                <w:color w:val="000000"/>
              </w:rPr>
              <w:t>Included in other liabilities:</w:t>
            </w:r>
          </w:p>
        </w:tc>
        <w:tc>
          <w:tcPr>
            <w:tcW w:w="9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5420" w:type="dxa"/>
            <w:tcBorders/>
            <w:shd w:fill="CCEEFF" w:val="clear"/>
            <w:vAlign w:val="bottom"/>
          </w:tcPr>
          <w:p>
            <w:pPr>
              <w:pStyle w:val="TableContents"/>
              <w:bidi w:val="0"/>
              <w:spacing w:before="0" w:after="0"/>
              <w:ind w:left="288" w:right="0" w:hanging="144"/>
              <w:jc w:val="left"/>
              <w:rPr>
                <w:color w:val="000000"/>
              </w:rPr>
            </w:pPr>
            <w:r>
              <w:rPr>
                <w:color w:val="000000"/>
              </w:rPr>
              <w:t>Forward contracts related to mortgage loans held for sale</w:t>
            </w:r>
          </w:p>
        </w:tc>
        <w:tc>
          <w:tcPr>
            <w:tcW w:w="9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0"/>
              <w:jc w:val="left"/>
              <w:rPr>
                <w:color w:val="000000"/>
              </w:rPr>
            </w:pPr>
            <w:r>
              <w:rPr>
                <w:color w:val="000000"/>
              </w:rPr>
              <w:t>$</w:t>
            </w:r>
          </w:p>
        </w:tc>
        <w:tc>
          <w:tcPr>
            <w:tcW w:w="743" w:type="dxa"/>
            <w:tcBorders/>
            <w:shd w:fill="CCEEFF" w:val="clear"/>
            <w:vAlign w:val="bottom"/>
          </w:tcPr>
          <w:p>
            <w:pPr>
              <w:pStyle w:val="TableContents"/>
              <w:bidi w:val="0"/>
              <w:spacing w:before="0" w:after="0"/>
              <w:jc w:val="right"/>
              <w:rPr>
                <w:color w:val="000000"/>
              </w:rPr>
            </w:pPr>
            <w:r>
              <w:rPr>
                <w:color w:val="000000"/>
              </w:rPr>
              <w:t>4,641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0"/>
              <w:jc w:val="left"/>
              <w:rPr>
                <w:color w:val="000000"/>
              </w:rPr>
            </w:pPr>
            <w:r>
              <w:rPr>
                <w:color w:val="000000"/>
              </w:rPr>
              <w:t>$</w:t>
            </w:r>
          </w:p>
        </w:tc>
        <w:tc>
          <w:tcPr>
            <w:tcW w:w="460" w:type="dxa"/>
            <w:tcBorders/>
            <w:shd w:fill="CCEEFF" w:val="clear"/>
            <w:vAlign w:val="bottom"/>
          </w:tcPr>
          <w:p>
            <w:pPr>
              <w:pStyle w:val="TableContents"/>
              <w:bidi w:val="0"/>
              <w:spacing w:before="0" w:after="0"/>
              <w:jc w:val="right"/>
              <w:rPr>
                <w:color w:val="000000"/>
              </w:rPr>
            </w:pPr>
            <w:r>
              <w:rPr>
                <w:color w:val="000000"/>
              </w:rPr>
              <w:t>127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0"/>
              <w:jc w:val="left"/>
              <w:rPr>
                <w:color w:val="000000"/>
              </w:rPr>
            </w:pPr>
            <w:r>
              <w:rPr>
                <w:color w:val="000000"/>
              </w:rPr>
              <w:t>$</w:t>
            </w:r>
          </w:p>
        </w:tc>
        <w:tc>
          <w:tcPr>
            <w:tcW w:w="859" w:type="dxa"/>
            <w:tcBorders/>
            <w:shd w:fill="CCEEFF" w:val="clear"/>
            <w:vAlign w:val="bottom"/>
          </w:tcPr>
          <w:p>
            <w:pPr>
              <w:pStyle w:val="TableContents"/>
              <w:bidi w:val="0"/>
              <w:spacing w:before="0" w:after="0"/>
              <w:jc w:val="right"/>
              <w:rPr>
                <w:color w:val="000000"/>
              </w:rPr>
            </w:pPr>
            <w:r>
              <w:rPr>
                <w:color w:val="000000"/>
              </w:rPr>
              <w:t>15,746</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0"/>
              <w:jc w:val="left"/>
              <w:rPr>
                <w:color w:val="000000"/>
              </w:rPr>
            </w:pPr>
            <w:r>
              <w:rPr>
                <w:color w:val="000000"/>
              </w:rPr>
              <w:t>$</w:t>
            </w:r>
          </w:p>
        </w:tc>
        <w:tc>
          <w:tcPr>
            <w:tcW w:w="496" w:type="dxa"/>
            <w:tcBorders/>
            <w:shd w:fill="CCEEFF" w:val="clear"/>
            <w:vAlign w:val="bottom"/>
          </w:tcPr>
          <w:p>
            <w:pPr>
              <w:pStyle w:val="TableContents"/>
              <w:bidi w:val="0"/>
              <w:spacing w:before="0" w:after="0"/>
              <w:jc w:val="right"/>
              <w:rPr>
                <w:color w:val="000000"/>
              </w:rPr>
            </w:pPr>
            <w:r>
              <w:rPr>
                <w:color w:val="000000"/>
              </w:rPr>
              <w:t>65</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had received cash collateral of $9.3 million and $10.5 million to offset asset derivative positions on its interest rate swaps at March 31, 2026 and December 31, 2025, respectively. This amount is reported in other liabilities in the Consolidated Balance Sheets. The Company had advanced $1.1 million to offset liability derivative positions on its interest rate swaps at March 31, 2026 and December 31, 2025. Additionally, the Company had advanced $270 thousand on its mortgage forward contracts at March 31, 2026 and December 31, 2025. The advanced cash collateral amounts are reported in cash and due from banks in the Consolidated Balance Sheets.</w:t>
      </w:r>
    </w:p>
    <w:p>
      <w:pPr>
        <w:pStyle w:val="TextBody"/>
        <w:bidi w:val="0"/>
        <w:spacing w:before="0" w:after="0"/>
        <w:jc w:val="center"/>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12. EARNINGS PER SHARE</w:t>
      </w:r>
    </w:p>
    <w:p>
      <w:pPr>
        <w:pStyle w:val="TextBody"/>
        <w:bidi w:val="0"/>
        <w:spacing w:before="0" w:after="0"/>
        <w:jc w:val="center"/>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factors used in the earnings per share computation for the periods indicated follow (dollars in thousands, except per share data):</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99" w:name="z64a4eec2403348828e92c95ffa3b4f50"/>
      <w:bookmarkStart w:id="100" w:name="z64a4eec2403348828e92c95ffa3b4f50"/>
      <w:bookmarkEnd w:id="100"/>
    </w:p>
    <w:tbl>
      <w:tblPr>
        <w:tblW w:w="8305" w:type="dxa"/>
        <w:jc w:val="center"/>
        <w:tblInd w:w="0" w:type="dxa"/>
        <w:tblLayout w:type="fixed"/>
        <w:tblCellMar>
          <w:top w:w="0" w:type="dxa"/>
          <w:left w:w="0" w:type="dxa"/>
          <w:bottom w:w="0" w:type="dxa"/>
          <w:right w:w="0" w:type="dxa"/>
        </w:tblCellMar>
      </w:tblPr>
      <w:tblGrid>
        <w:gridCol w:w="5300"/>
        <w:gridCol w:w="90"/>
        <w:gridCol w:w="170"/>
        <w:gridCol w:w="1130"/>
        <w:gridCol w:w="90"/>
        <w:gridCol w:w="90"/>
        <w:gridCol w:w="170"/>
        <w:gridCol w:w="1130"/>
        <w:gridCol w:w="135"/>
      </w:tblGrid>
      <w:tr>
        <w:trPr/>
        <w:tc>
          <w:tcPr>
            <w:tcW w:w="530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8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w:t>
            </w:r>
          </w:p>
          <w:p>
            <w:pPr>
              <w:pStyle w:val="TableContents"/>
              <w:bidi w:val="0"/>
              <w:spacing w:before="0" w:after="0"/>
              <w:jc w:val="center"/>
              <w:rPr>
                <w:b/>
                <w:color w:val="000000"/>
              </w:rPr>
            </w:pPr>
            <w:r>
              <w:rPr>
                <w:b/>
                <w:color w:val="000000"/>
              </w:rPr>
              <w:t>March 31,</w:t>
            </w:r>
          </w:p>
        </w:tc>
        <w:tc>
          <w:tcPr>
            <w:tcW w:w="135" w:type="dxa"/>
            <w:tcBorders/>
            <w:vAlign w:val="bottom"/>
          </w:tcPr>
          <w:p>
            <w:pPr>
              <w:pStyle w:val="TableContents"/>
              <w:bidi w:val="0"/>
              <w:spacing w:before="0" w:after="283"/>
              <w:jc w:val="left"/>
              <w:rPr/>
            </w:pPr>
            <w:r>
              <w:rPr/>
              <w:t> </w:t>
            </w:r>
          </w:p>
        </w:tc>
      </w:tr>
      <w:tr>
        <w:trPr/>
        <w:tc>
          <w:tcPr>
            <w:tcW w:w="530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35" w:type="dxa"/>
            <w:tcBorders/>
            <w:vAlign w:val="bottom"/>
          </w:tcPr>
          <w:p>
            <w:pPr>
              <w:pStyle w:val="TableContents"/>
              <w:bidi w:val="0"/>
              <w:spacing w:before="0" w:after="283"/>
              <w:jc w:val="left"/>
              <w:rPr/>
            </w:pPr>
            <w:r>
              <w:rPr/>
              <w:t> </w:t>
            </w:r>
          </w:p>
        </w:tc>
      </w:tr>
      <w:tr>
        <w:trPr/>
        <w:tc>
          <w:tcPr>
            <w:tcW w:w="5300" w:type="dxa"/>
            <w:tcBorders/>
            <w:shd w:fill="CCEEFF" w:val="clear"/>
            <w:vAlign w:val="bottom"/>
          </w:tcPr>
          <w:p>
            <w:pPr>
              <w:pStyle w:val="TableContents"/>
              <w:bidi w:val="0"/>
              <w:spacing w:before="0" w:after="0"/>
              <w:ind w:left="144" w:right="0" w:hanging="144"/>
              <w:jc w:val="left"/>
              <w:rPr>
                <w:color w:val="000000"/>
              </w:rPr>
            </w:pPr>
            <w:r>
              <w:rPr>
                <w:color w:val="000000"/>
              </w:rPr>
              <w:t>Net income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14,545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12,294</w:t>
            </w:r>
          </w:p>
        </w:tc>
        <w:tc>
          <w:tcPr>
            <w:tcW w:w="135" w:type="dxa"/>
            <w:tcBorders/>
            <w:shd w:fill="CCEEFF" w:val="clear"/>
            <w:vAlign w:val="bottom"/>
          </w:tcPr>
          <w:p>
            <w:pPr>
              <w:pStyle w:val="TableContents"/>
              <w:bidi w:val="0"/>
              <w:spacing w:before="0" w:after="283"/>
              <w:jc w:val="left"/>
              <w:rPr/>
            </w:pPr>
            <w:r>
              <w:rPr/>
              <w:t> </w:t>
            </w:r>
          </w:p>
        </w:tc>
      </w:tr>
      <w:tr>
        <w:trPr/>
        <w:tc>
          <w:tcPr>
            <w:tcW w:w="530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5300" w:type="dxa"/>
            <w:tcBorders/>
            <w:shd w:fill="CCEEFF" w:val="clear"/>
            <w:vAlign w:val="bottom"/>
          </w:tcPr>
          <w:p>
            <w:pPr>
              <w:pStyle w:val="TableContents"/>
              <w:bidi w:val="0"/>
              <w:spacing w:before="0" w:after="0"/>
              <w:ind w:left="144" w:right="0" w:hanging="144"/>
              <w:jc w:val="left"/>
              <w:rPr>
                <w:color w:val="000000"/>
              </w:rPr>
            </w:pPr>
            <w:r>
              <w:rPr>
                <w:color w:val="000000"/>
              </w:rPr>
              <w:t>Weighted average common shares outstanding - basic</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16,318,570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16,415,862</w:t>
            </w:r>
          </w:p>
        </w:tc>
        <w:tc>
          <w:tcPr>
            <w:tcW w:w="135" w:type="dxa"/>
            <w:tcBorders/>
            <w:shd w:fill="CCEEFF" w:val="clear"/>
            <w:vAlign w:val="bottom"/>
          </w:tcPr>
          <w:p>
            <w:pPr>
              <w:pStyle w:val="TableContents"/>
              <w:bidi w:val="0"/>
              <w:spacing w:before="0" w:after="283"/>
              <w:jc w:val="left"/>
              <w:rPr/>
            </w:pPr>
            <w:r>
              <w:rPr/>
              <w:t> </w:t>
            </w:r>
          </w:p>
        </w:tc>
      </w:tr>
      <w:tr>
        <w:trPr/>
        <w:tc>
          <w:tcPr>
            <w:tcW w:w="5300" w:type="dxa"/>
            <w:tcBorders/>
            <w:vAlign w:val="bottom"/>
          </w:tcPr>
          <w:p>
            <w:pPr>
              <w:pStyle w:val="TableContents"/>
              <w:bidi w:val="0"/>
              <w:spacing w:before="0" w:after="0"/>
              <w:ind w:left="144" w:right="0" w:hanging="144"/>
              <w:jc w:val="left"/>
              <w:rPr>
                <w:color w:val="000000"/>
              </w:rPr>
            </w:pPr>
            <w:r>
              <w:rPr>
                <w:color w:val="000000"/>
              </w:rPr>
              <w:t>Effect of dilutive securities: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5300" w:type="dxa"/>
            <w:tcBorders/>
            <w:shd w:fill="CCEEFF" w:val="clear"/>
            <w:vAlign w:val="bottom"/>
          </w:tcPr>
          <w:p>
            <w:pPr>
              <w:pStyle w:val="TableContents"/>
              <w:bidi w:val="0"/>
              <w:spacing w:before="0" w:after="0"/>
              <w:ind w:left="144" w:right="0" w:hanging="144"/>
              <w:jc w:val="left"/>
              <w:rPr>
                <w:color w:val="000000"/>
              </w:rPr>
            </w:pPr>
            <w:r>
              <w:rPr>
                <w:color w:val="000000"/>
              </w:rPr>
              <w:t>Stock-based compensation awards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717,764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649,737</w:t>
            </w:r>
          </w:p>
        </w:tc>
        <w:tc>
          <w:tcPr>
            <w:tcW w:w="135" w:type="dxa"/>
            <w:tcBorders/>
            <w:shd w:fill="CCEEFF" w:val="clear"/>
            <w:vAlign w:val="bottom"/>
          </w:tcPr>
          <w:p>
            <w:pPr>
              <w:pStyle w:val="TableContents"/>
              <w:bidi w:val="0"/>
              <w:spacing w:before="0" w:after="283"/>
              <w:jc w:val="left"/>
              <w:rPr/>
            </w:pPr>
            <w:r>
              <w:rPr/>
              <w:t> </w:t>
            </w:r>
          </w:p>
        </w:tc>
      </w:tr>
      <w:tr>
        <w:trPr/>
        <w:tc>
          <w:tcPr>
            <w:tcW w:w="5300" w:type="dxa"/>
            <w:tcBorders/>
            <w:vAlign w:val="bottom"/>
          </w:tcPr>
          <w:p>
            <w:pPr>
              <w:pStyle w:val="TableContents"/>
              <w:bidi w:val="0"/>
              <w:spacing w:before="0" w:after="0"/>
              <w:ind w:left="144" w:right="0" w:hanging="144"/>
              <w:jc w:val="left"/>
              <w:rPr>
                <w:color w:val="000000"/>
              </w:rPr>
            </w:pPr>
            <w:r>
              <w:rPr>
                <w:color w:val="000000"/>
              </w:rPr>
              <w:t>Weighted average common shares outstanding - diluted</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 </w:t>
            </w:r>
          </w:p>
        </w:tc>
        <w:tc>
          <w:tcPr>
            <w:tcW w:w="11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17,036,334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 </w:t>
            </w:r>
          </w:p>
        </w:tc>
        <w:tc>
          <w:tcPr>
            <w:tcW w:w="11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17,065,599</w:t>
            </w:r>
          </w:p>
        </w:tc>
        <w:tc>
          <w:tcPr>
            <w:tcW w:w="135" w:type="dxa"/>
            <w:tcBorders/>
            <w:vAlign w:val="bottom"/>
          </w:tcPr>
          <w:p>
            <w:pPr>
              <w:pStyle w:val="TableContents"/>
              <w:bidi w:val="0"/>
              <w:spacing w:before="0" w:after="283"/>
              <w:jc w:val="left"/>
              <w:rPr/>
            </w:pPr>
            <w:r>
              <w:rPr/>
              <w:t> </w:t>
            </w:r>
          </w:p>
        </w:tc>
      </w:tr>
      <w:tr>
        <w:trPr/>
        <w:tc>
          <w:tcPr>
            <w:tcW w:w="530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5300" w:type="dxa"/>
            <w:tcBorders/>
            <w:vAlign w:val="bottom"/>
          </w:tcPr>
          <w:p>
            <w:pPr>
              <w:pStyle w:val="TableContents"/>
              <w:bidi w:val="0"/>
              <w:spacing w:before="0" w:after="0"/>
              <w:ind w:left="144" w:right="0" w:hanging="144"/>
              <w:jc w:val="left"/>
              <w:rPr>
                <w:color w:val="000000"/>
              </w:rPr>
            </w:pPr>
            <w:r>
              <w:rPr>
                <w:color w:val="000000"/>
              </w:rPr>
              <w:t>Basic earnings per share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1130" w:type="dxa"/>
            <w:tcBorders/>
            <w:vAlign w:val="bottom"/>
          </w:tcPr>
          <w:p>
            <w:pPr>
              <w:pStyle w:val="TableContents"/>
              <w:bidi w:val="0"/>
              <w:spacing w:before="0" w:after="0"/>
              <w:jc w:val="right"/>
              <w:rPr>
                <w:color w:val="000000"/>
              </w:rPr>
            </w:pPr>
            <w:r>
              <w:rPr>
                <w:color w:val="000000"/>
              </w:rPr>
              <w:t>0.89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1130" w:type="dxa"/>
            <w:tcBorders/>
            <w:vAlign w:val="bottom"/>
          </w:tcPr>
          <w:p>
            <w:pPr>
              <w:pStyle w:val="TableContents"/>
              <w:bidi w:val="0"/>
              <w:spacing w:before="0" w:after="0"/>
              <w:jc w:val="right"/>
              <w:rPr>
                <w:color w:val="000000"/>
              </w:rPr>
            </w:pPr>
            <w:r>
              <w:rPr>
                <w:color w:val="000000"/>
              </w:rPr>
              <w:t>0.75</w:t>
            </w:r>
          </w:p>
        </w:tc>
        <w:tc>
          <w:tcPr>
            <w:tcW w:w="135" w:type="dxa"/>
            <w:tcBorders/>
            <w:vAlign w:val="bottom"/>
          </w:tcPr>
          <w:p>
            <w:pPr>
              <w:pStyle w:val="TableContents"/>
              <w:bidi w:val="0"/>
              <w:spacing w:before="0" w:after="283"/>
              <w:jc w:val="left"/>
              <w:rPr/>
            </w:pPr>
            <w:r>
              <w:rPr/>
              <w:t> </w:t>
            </w:r>
          </w:p>
        </w:tc>
      </w:tr>
      <w:tr>
        <w:trPr/>
        <w:tc>
          <w:tcPr>
            <w:tcW w:w="5300" w:type="dxa"/>
            <w:tcBorders/>
            <w:shd w:fill="CCEEFF" w:val="clear"/>
            <w:vAlign w:val="bottom"/>
          </w:tcPr>
          <w:p>
            <w:pPr>
              <w:pStyle w:val="TableContents"/>
              <w:bidi w:val="0"/>
              <w:spacing w:before="0" w:after="0"/>
              <w:ind w:left="144" w:right="0" w:hanging="144"/>
              <w:jc w:val="left"/>
              <w:rPr>
                <w:color w:val="000000"/>
              </w:rPr>
            </w:pPr>
            <w:r>
              <w:rPr>
                <w:color w:val="000000"/>
              </w:rPr>
              <w:t>Diluted earnings per share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0.85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0.72</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ind w:left="720" w:right="0" w:hanging="720"/>
        <w:jc w:val="both"/>
        <w:rPr>
          <w:rFonts w:ascii="Times New Roman" w:hAnsi="Times New Roman"/>
          <w:b/>
          <w:i/>
          <w:color w:val="000000"/>
          <w:sz w:val="20"/>
          <w:shd w:fill="FFFFFF" w:val="clear"/>
        </w:rPr>
      </w:pPr>
      <w:r>
        <w:rPr>
          <w:rFonts w:ascii="Times New Roman" w:hAnsi="Times New Roman"/>
          <w:b/>
          <w:i/>
          <w:color w:val="000000"/>
          <w:sz w:val="20"/>
          <w:shd w:fill="FFFFFF" w:val="clear"/>
        </w:rPr>
        <w:t>13. SEGMENT INFORMATION</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Operating segments are components of a business about which separate financial information is available that is evaluated regularly by the chief operating decision-maker (“CODM”) in deciding how to allocate resources and in assessing performance.</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reportable banking segment is determined by its President, who is the designated CODM. City Bank is the only significant subsidiary upon which the CODM makes decisions regarding how to allocate resources and assess performance. Individual bank branches offer a group of similar services, including commercial, real estate and consumer loans, time deposits, checking and savings accounts, all with similar operating and economic characteristics. While the CODM monitors the revenue streams of the various products, services, and branch locations, operations are managed and financial performance is evaluated on a Company-wide basis. Accordingly, all of the community banking services and branch locations are considered by management to be aggregated into one reportable operating segment, banking. Loans, investments, and deposits provide the significant revenues and interest expense, provision for credit losses and salaries and employee benefits comprise the significant expenses within the banking segment. All significant revenues and expenses mentioned above are shown individually on the Consolidated Statements of Comprehensive Income.</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22</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14. FAIR VALUE DISCLOSURES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Fair value is the price that would be received to sell an asset or paid to transfer a liability in an orderly transaction between market participants. A fair value measurement assumes that the transaction to sell the asset or transfer the liability occurs in the principal market for the asset or liability or, in the absence of a principal market, the most advantageous market for the asset or liability. The price in the principal (or most advantageous) market used to measure the fair value of the asset or liability is not adjusted for transaction costs. An orderly transaction is a transaction that assumes exposure to the market for a period prior to the measurement date to allow for marketing activities that are usual and customary for transactions involving such assets and liabilities; it is not a forced transaction. Market participants are buyers and sellers in the principal market that are: (i) independent, (ii) knowledgeable, (iii) able to transact and (iv) willing to transact.</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Valuation techniques that are consistent with the market approach, the income approach and/or the cost approach are required by GAAP.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Valuation techniques should be consistently applied. Inputs to valuation techniques refer to the assumptions that market participants would use in pricing the asset or liability. Inputs may be observable, meaning those that reflect the assumptions market participants would use in pricing the asset or liability developed based on market data obtained from independent sources, or unobservable, meaning those that reflect the reporting entity’s own assumptions about the assumptions market participants would use in pricing the asset or liability developed based on the best information available in the circumstances. The fair value hierarchy for valuation inputs gives the highest priority to quoted prices in active markets for identical assets or liabilities and the lowest priority to unobservable inputs. The fair value hierarchy is as follows:</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01" w:name="z537df5aa95f14c1fbdde924c5492e657"/>
      <w:bookmarkStart w:id="102" w:name="z537df5aa95f14c1fbdde924c5492e657"/>
      <w:bookmarkEnd w:id="102"/>
    </w:p>
    <w:tbl>
      <w:tblPr>
        <w:tblW w:w="10205" w:type="dxa"/>
        <w:jc w:val="center"/>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i/>
                <w:color w:val="000000"/>
              </w:rPr>
              <w:t>Level 1 Inputs</w:t>
            </w:r>
            <w:r>
              <w:rPr>
                <w:color w:val="000000"/>
              </w:rPr>
              <w:t xml:space="preserve"> - Unadjusted quoted prices in active markets for identical assets or liabilities that the reporting entity has the ability to access at the measurement date.</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03" w:name="zd561174a2276402ca28e09e0e1d321ba"/>
      <w:bookmarkStart w:id="104" w:name="zd561174a2276402ca28e09e0e1d321ba"/>
      <w:bookmarkEnd w:id="104"/>
    </w:p>
    <w:tbl>
      <w:tblPr>
        <w:tblW w:w="10205" w:type="dxa"/>
        <w:jc w:val="center"/>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i/>
                <w:color w:val="000000"/>
              </w:rPr>
              <w:t>Level 2 Inputs</w:t>
            </w:r>
            <w:r>
              <w:rPr>
                <w:color w:val="000000"/>
              </w:rPr>
              <w:t xml:space="preserve"> - Inputs other than quoted prices included in Level 1 that are observable for the asset or liability, either directly 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05" w:name="za414c46921654c58acfaa0402516f84c"/>
      <w:bookmarkStart w:id="106" w:name="za414c46921654c58acfaa0402516f84c"/>
      <w:bookmarkEnd w:id="106"/>
    </w:p>
    <w:tbl>
      <w:tblPr>
        <w:tblW w:w="10205" w:type="dxa"/>
        <w:jc w:val="center"/>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i/>
                <w:color w:val="000000"/>
              </w:rPr>
              <w:t>Level 3 Inputs</w:t>
            </w:r>
            <w:r>
              <w:rPr>
                <w:color w:val="000000"/>
              </w:rPr>
              <w:t xml:space="preserve"> - Significant unobservable inputs for determining the fair values of assets or liabilities that reflect an entity’s own assumptions about the assumptions that market participants would use in pricing the assets or liabilities.</w:t>
            </w:r>
          </w:p>
        </w:tc>
      </w:tr>
    </w:tbl>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summarizes fair value measurements as of the dates indicated below (dollars in thousands):</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07" w:name="z91df3bfec3444f8889502f2cb0cab666"/>
      <w:bookmarkStart w:id="108" w:name="z91df3bfec3444f8889502f2cb0cab666"/>
      <w:bookmarkEnd w:id="108"/>
    </w:p>
    <w:tbl>
      <w:tblPr>
        <w:tblW w:w="10205" w:type="dxa"/>
        <w:jc w:val="center"/>
        <w:tblInd w:w="0" w:type="dxa"/>
        <w:tblLayout w:type="fixed"/>
        <w:tblCellMar>
          <w:top w:w="0" w:type="dxa"/>
          <w:left w:w="0" w:type="dxa"/>
          <w:bottom w:w="0" w:type="dxa"/>
          <w:right w:w="0" w:type="dxa"/>
        </w:tblCellMar>
      </w:tblPr>
      <w:tblGrid>
        <w:gridCol w:w="5711"/>
        <w:gridCol w:w="90"/>
        <w:gridCol w:w="287"/>
        <w:gridCol w:w="491"/>
        <w:gridCol w:w="90"/>
        <w:gridCol w:w="90"/>
        <w:gridCol w:w="170"/>
        <w:gridCol w:w="830"/>
        <w:gridCol w:w="125"/>
        <w:gridCol w:w="90"/>
        <w:gridCol w:w="170"/>
        <w:gridCol w:w="710"/>
        <w:gridCol w:w="90"/>
        <w:gridCol w:w="90"/>
        <w:gridCol w:w="170"/>
        <w:gridCol w:w="830"/>
        <w:gridCol w:w="171"/>
      </w:tblGrid>
      <w:tr>
        <w:trPr/>
        <w:tc>
          <w:tcPr>
            <w:tcW w:w="571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7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71" w:type="dxa"/>
            <w:tcBorders/>
            <w:vAlign w:val="bottom"/>
          </w:tcPr>
          <w:p>
            <w:pPr>
              <w:pStyle w:val="TableContents"/>
              <w:bidi w:val="0"/>
              <w:spacing w:before="0" w:after="283"/>
              <w:jc w:val="left"/>
              <w:rPr/>
            </w:pPr>
            <w:r>
              <w:rPr/>
              <w:t> </w:t>
            </w:r>
          </w:p>
        </w:tc>
      </w:tr>
      <w:tr>
        <w:trPr/>
        <w:tc>
          <w:tcPr>
            <w:tcW w:w="5711" w:type="dxa"/>
            <w:tcBorders/>
            <w:vAlign w:val="bottom"/>
          </w:tcPr>
          <w:p>
            <w:pPr>
              <w:pStyle w:val="TableContents"/>
              <w:bidi w:val="0"/>
              <w:spacing w:before="0" w:after="0"/>
              <w:jc w:val="left"/>
              <w:rPr>
                <w:color w:val="000000"/>
                <w:u w:val="single"/>
              </w:rPr>
            </w:pPr>
            <w:r>
              <w:rPr>
                <w:color w:val="000000"/>
                <w:u w:val="single"/>
              </w:rPr>
              <w:t>March 31, 2026</w:t>
            </w:r>
          </w:p>
        </w:tc>
        <w:tc>
          <w:tcPr>
            <w:tcW w:w="90" w:type="dxa"/>
            <w:tcBorders/>
            <w:vAlign w:val="bottom"/>
          </w:tcPr>
          <w:p>
            <w:pPr>
              <w:pStyle w:val="TableContents"/>
              <w:bidi w:val="0"/>
              <w:spacing w:before="0" w:after="283"/>
              <w:jc w:val="left"/>
              <w:rPr/>
            </w:pPr>
            <w:r>
              <w:rPr/>
              <w:t> </w:t>
            </w:r>
          </w:p>
        </w:tc>
        <w:tc>
          <w:tcPr>
            <w:tcW w:w="778"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r>
      <w:tr>
        <w:trPr/>
        <w:tc>
          <w:tcPr>
            <w:tcW w:w="5711" w:type="dxa"/>
            <w:tcBorders/>
            <w:vAlign w:val="bottom"/>
          </w:tcPr>
          <w:p>
            <w:pPr>
              <w:pStyle w:val="TableContents"/>
              <w:bidi w:val="0"/>
              <w:spacing w:before="0" w:after="0"/>
              <w:jc w:val="left"/>
              <w:rPr>
                <w:color w:val="000000"/>
              </w:rPr>
            </w:pPr>
            <w:r>
              <w:rPr>
                <w:color w:val="000000"/>
              </w:rPr>
              <w:t>Assets (liabilities) measured at fair value on a recurring basis:</w:t>
            </w:r>
          </w:p>
        </w:tc>
        <w:tc>
          <w:tcPr>
            <w:tcW w:w="90" w:type="dxa"/>
            <w:tcBorders/>
            <w:vAlign w:val="bottom"/>
          </w:tcPr>
          <w:p>
            <w:pPr>
              <w:pStyle w:val="TableContents"/>
              <w:bidi w:val="0"/>
              <w:spacing w:before="0" w:after="283"/>
              <w:jc w:val="left"/>
              <w:rPr/>
            </w:pPr>
            <w:r>
              <w:rPr/>
              <w:t> </w:t>
            </w:r>
          </w:p>
        </w:tc>
        <w:tc>
          <w:tcPr>
            <w:tcW w:w="778"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r>
      <w:tr>
        <w:trPr/>
        <w:tc>
          <w:tcPr>
            <w:tcW w:w="5711" w:type="dxa"/>
            <w:tcBorders/>
            <w:vAlign w:val="bottom"/>
          </w:tcPr>
          <w:p>
            <w:pPr>
              <w:pStyle w:val="TableContents"/>
              <w:bidi w:val="0"/>
              <w:spacing w:before="0" w:after="0"/>
              <w:jc w:val="left"/>
              <w:rPr>
                <w:color w:val="000000"/>
              </w:rPr>
            </w:pPr>
            <w:r>
              <w:rPr>
                <w:color w:val="000000"/>
              </w:rPr>
              <w:t>Securities available for sale:</w:t>
            </w:r>
          </w:p>
        </w:tc>
        <w:tc>
          <w:tcPr>
            <w:tcW w:w="90" w:type="dxa"/>
            <w:tcBorders/>
            <w:vAlign w:val="bottom"/>
          </w:tcPr>
          <w:p>
            <w:pPr>
              <w:pStyle w:val="TableContents"/>
              <w:bidi w:val="0"/>
              <w:spacing w:before="0" w:after="283"/>
              <w:jc w:val="left"/>
              <w:rPr/>
            </w:pPr>
            <w:r>
              <w:rPr/>
              <w:t> </w:t>
            </w:r>
          </w:p>
        </w:tc>
        <w:tc>
          <w:tcPr>
            <w:tcW w:w="778"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r>
      <w:tr>
        <w:trPr/>
        <w:tc>
          <w:tcPr>
            <w:tcW w:w="5711" w:type="dxa"/>
            <w:tcBorders/>
            <w:shd w:fill="CCEEFF" w:val="clear"/>
            <w:vAlign w:val="bottom"/>
          </w:tcPr>
          <w:p>
            <w:pPr>
              <w:pStyle w:val="TableContents"/>
              <w:bidi w:val="0"/>
              <w:spacing w:before="0" w:after="0"/>
              <w:ind w:left="180" w:right="0" w:hanging="0"/>
              <w:jc w:val="left"/>
              <w:rPr>
                <w:color w:val="000000"/>
              </w:rPr>
            </w:pPr>
            <w:r>
              <w:rPr>
                <w:color w:val="000000"/>
              </w:rPr>
              <w:t>U.S government and agencies</w:t>
            </w:r>
          </w:p>
        </w:tc>
        <w:tc>
          <w:tcPr>
            <w:tcW w:w="9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0"/>
              <w:jc w:val="left"/>
              <w:rPr>
                <w:color w:val="000000"/>
              </w:rPr>
            </w:pPr>
            <w:r>
              <w:rPr>
                <w:color w:val="000000"/>
              </w:rPr>
              <w:t>$</w:t>
            </w:r>
          </w:p>
        </w:tc>
        <w:tc>
          <w:tcPr>
            <w:tcW w:w="49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49,990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49,990</w:t>
            </w:r>
          </w:p>
        </w:tc>
        <w:tc>
          <w:tcPr>
            <w:tcW w:w="171" w:type="dxa"/>
            <w:tcBorders/>
            <w:shd w:fill="CCEEFF" w:val="clear"/>
            <w:vAlign w:val="bottom"/>
          </w:tcPr>
          <w:p>
            <w:pPr>
              <w:pStyle w:val="TableContents"/>
              <w:bidi w:val="0"/>
              <w:spacing w:before="0" w:after="283"/>
              <w:jc w:val="left"/>
              <w:rPr/>
            </w:pPr>
            <w:r>
              <w:rPr/>
              <w:t> </w:t>
            </w:r>
          </w:p>
        </w:tc>
      </w:tr>
      <w:tr>
        <w:trPr/>
        <w:tc>
          <w:tcPr>
            <w:tcW w:w="5711" w:type="dxa"/>
            <w:tcBorders/>
            <w:vAlign w:val="bottom"/>
          </w:tcPr>
          <w:p>
            <w:pPr>
              <w:pStyle w:val="TableContents"/>
              <w:bidi w:val="0"/>
              <w:spacing w:before="0" w:after="0"/>
              <w:ind w:left="180" w:right="0" w:hanging="0"/>
              <w:jc w:val="left"/>
              <w:rPr>
                <w:color w:val="000000"/>
              </w:rPr>
            </w:pPr>
            <w:r>
              <w:rPr>
                <w:color w:val="000000"/>
              </w:rPr>
              <w:t>State and municipal</w:t>
            </w:r>
          </w:p>
        </w:tc>
        <w:tc>
          <w:tcPr>
            <w:tcW w:w="9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173,197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173,197</w:t>
            </w:r>
          </w:p>
        </w:tc>
        <w:tc>
          <w:tcPr>
            <w:tcW w:w="171" w:type="dxa"/>
            <w:tcBorders/>
            <w:vAlign w:val="bottom"/>
          </w:tcPr>
          <w:p>
            <w:pPr>
              <w:pStyle w:val="TableContents"/>
              <w:bidi w:val="0"/>
              <w:spacing w:before="0" w:after="283"/>
              <w:jc w:val="left"/>
              <w:rPr/>
            </w:pPr>
            <w:r>
              <w:rPr/>
              <w:t> </w:t>
            </w:r>
          </w:p>
        </w:tc>
      </w:tr>
      <w:tr>
        <w:trPr/>
        <w:tc>
          <w:tcPr>
            <w:tcW w:w="5711" w:type="dxa"/>
            <w:tcBorders/>
            <w:shd w:fill="CCEEFF" w:val="clear"/>
            <w:vAlign w:val="bottom"/>
          </w:tcPr>
          <w:p>
            <w:pPr>
              <w:pStyle w:val="TableContents"/>
              <w:bidi w:val="0"/>
              <w:spacing w:before="0" w:after="0"/>
              <w:ind w:left="180" w:right="0" w:hanging="0"/>
              <w:jc w:val="left"/>
              <w:rPr>
                <w:color w:val="000000"/>
              </w:rPr>
            </w:pPr>
            <w:r>
              <w:rPr>
                <w:color w:val="000000"/>
              </w:rPr>
              <w:t>Residential mortgage-backed securities</w:t>
            </w:r>
          </w:p>
        </w:tc>
        <w:tc>
          <w:tcPr>
            <w:tcW w:w="9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254,065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254,065</w:t>
            </w:r>
          </w:p>
        </w:tc>
        <w:tc>
          <w:tcPr>
            <w:tcW w:w="171" w:type="dxa"/>
            <w:tcBorders/>
            <w:shd w:fill="CCEEFF" w:val="clear"/>
            <w:vAlign w:val="bottom"/>
          </w:tcPr>
          <w:p>
            <w:pPr>
              <w:pStyle w:val="TableContents"/>
              <w:bidi w:val="0"/>
              <w:spacing w:before="0" w:after="283"/>
              <w:jc w:val="left"/>
              <w:rPr/>
            </w:pPr>
            <w:r>
              <w:rPr/>
              <w:t> </w:t>
            </w:r>
          </w:p>
        </w:tc>
      </w:tr>
      <w:tr>
        <w:trPr/>
        <w:tc>
          <w:tcPr>
            <w:tcW w:w="5711" w:type="dxa"/>
            <w:tcBorders/>
            <w:vAlign w:val="bottom"/>
          </w:tcPr>
          <w:p>
            <w:pPr>
              <w:pStyle w:val="TableContents"/>
              <w:bidi w:val="0"/>
              <w:spacing w:before="0" w:after="0"/>
              <w:ind w:left="180" w:right="0" w:hanging="0"/>
              <w:jc w:val="left"/>
              <w:rPr>
                <w:color w:val="000000"/>
              </w:rPr>
            </w:pPr>
            <w:r>
              <w:rPr>
                <w:color w:val="000000"/>
              </w:rPr>
              <w:t>Commercial mortgage-backed securities</w:t>
            </w:r>
          </w:p>
        </w:tc>
        <w:tc>
          <w:tcPr>
            <w:tcW w:w="9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45,833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45,833</w:t>
            </w:r>
          </w:p>
        </w:tc>
        <w:tc>
          <w:tcPr>
            <w:tcW w:w="171" w:type="dxa"/>
            <w:tcBorders/>
            <w:vAlign w:val="bottom"/>
          </w:tcPr>
          <w:p>
            <w:pPr>
              <w:pStyle w:val="TableContents"/>
              <w:bidi w:val="0"/>
              <w:spacing w:before="0" w:after="283"/>
              <w:jc w:val="left"/>
              <w:rPr/>
            </w:pPr>
            <w:r>
              <w:rPr/>
              <w:t> </w:t>
            </w:r>
          </w:p>
        </w:tc>
      </w:tr>
      <w:tr>
        <w:trPr/>
        <w:tc>
          <w:tcPr>
            <w:tcW w:w="5711" w:type="dxa"/>
            <w:tcBorders/>
            <w:shd w:fill="CCEEFF" w:val="clear"/>
            <w:vAlign w:val="bottom"/>
          </w:tcPr>
          <w:p>
            <w:pPr>
              <w:pStyle w:val="TableContents"/>
              <w:bidi w:val="0"/>
              <w:spacing w:before="0" w:after="0"/>
              <w:ind w:left="180" w:right="0" w:hanging="0"/>
              <w:jc w:val="left"/>
              <w:rPr>
                <w:color w:val="000000"/>
              </w:rPr>
            </w:pPr>
            <w:r>
              <w:rPr>
                <w:color w:val="000000"/>
              </w:rPr>
              <w:t>Commercial collateralized mortgage obligations</w:t>
            </w:r>
          </w:p>
        </w:tc>
        <w:tc>
          <w:tcPr>
            <w:tcW w:w="9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67,067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67,067</w:t>
            </w:r>
          </w:p>
        </w:tc>
        <w:tc>
          <w:tcPr>
            <w:tcW w:w="171" w:type="dxa"/>
            <w:tcBorders/>
            <w:shd w:fill="CCEEFF" w:val="clear"/>
            <w:vAlign w:val="bottom"/>
          </w:tcPr>
          <w:p>
            <w:pPr>
              <w:pStyle w:val="TableContents"/>
              <w:bidi w:val="0"/>
              <w:spacing w:before="0" w:after="283"/>
              <w:jc w:val="left"/>
              <w:rPr/>
            </w:pPr>
            <w:r>
              <w:rPr/>
              <w:t> </w:t>
            </w:r>
          </w:p>
        </w:tc>
      </w:tr>
      <w:tr>
        <w:trPr/>
        <w:tc>
          <w:tcPr>
            <w:tcW w:w="5711" w:type="dxa"/>
            <w:tcBorders/>
            <w:vAlign w:val="bottom"/>
          </w:tcPr>
          <w:p>
            <w:pPr>
              <w:pStyle w:val="TableContents"/>
              <w:bidi w:val="0"/>
              <w:spacing w:before="0" w:after="0"/>
              <w:ind w:left="180" w:right="0" w:hanging="0"/>
              <w:jc w:val="left"/>
              <w:rPr>
                <w:color w:val="000000"/>
              </w:rPr>
            </w:pPr>
            <w:r>
              <w:rPr>
                <w:color w:val="000000"/>
              </w:rPr>
              <w:t>Asset-backed and other amortizing securities</w:t>
            </w:r>
          </w:p>
        </w:tc>
        <w:tc>
          <w:tcPr>
            <w:tcW w:w="9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12,700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12,700</w:t>
            </w:r>
          </w:p>
        </w:tc>
        <w:tc>
          <w:tcPr>
            <w:tcW w:w="171" w:type="dxa"/>
            <w:tcBorders/>
            <w:vAlign w:val="bottom"/>
          </w:tcPr>
          <w:p>
            <w:pPr>
              <w:pStyle w:val="TableContents"/>
              <w:bidi w:val="0"/>
              <w:spacing w:before="0" w:after="283"/>
              <w:jc w:val="left"/>
              <w:rPr/>
            </w:pPr>
            <w:r>
              <w:rPr/>
              <w:t> </w:t>
            </w:r>
          </w:p>
        </w:tc>
      </w:tr>
      <w:tr>
        <w:trPr/>
        <w:tc>
          <w:tcPr>
            <w:tcW w:w="5711" w:type="dxa"/>
            <w:tcBorders/>
            <w:shd w:fill="CCEEFF" w:val="clear"/>
            <w:vAlign w:val="bottom"/>
          </w:tcPr>
          <w:p>
            <w:pPr>
              <w:pStyle w:val="TableContents"/>
              <w:bidi w:val="0"/>
              <w:spacing w:before="0" w:after="0"/>
              <w:ind w:left="180" w:right="0" w:hanging="0"/>
              <w:jc w:val="left"/>
              <w:rPr>
                <w:color w:val="000000"/>
              </w:rPr>
            </w:pPr>
            <w:r>
              <w:rPr>
                <w:color w:val="000000"/>
              </w:rPr>
              <w:t>Other securities</w:t>
            </w:r>
          </w:p>
        </w:tc>
        <w:tc>
          <w:tcPr>
            <w:tcW w:w="9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171" w:type="dxa"/>
            <w:tcBorders/>
            <w:shd w:fill="CCEEFF" w:val="clear"/>
            <w:vAlign w:val="bottom"/>
          </w:tcPr>
          <w:p>
            <w:pPr>
              <w:pStyle w:val="TableContents"/>
              <w:bidi w:val="0"/>
              <w:spacing w:before="0" w:after="283"/>
              <w:jc w:val="left"/>
              <w:rPr/>
            </w:pPr>
            <w:r>
              <w:rPr/>
              <w:t> </w:t>
            </w:r>
          </w:p>
        </w:tc>
      </w:tr>
      <w:tr>
        <w:trPr/>
        <w:tc>
          <w:tcPr>
            <w:tcW w:w="5711" w:type="dxa"/>
            <w:tcBorders/>
            <w:vAlign w:val="bottom"/>
          </w:tcPr>
          <w:p>
            <w:pPr>
              <w:pStyle w:val="TableContents"/>
              <w:bidi w:val="0"/>
              <w:spacing w:before="0" w:after="0"/>
              <w:ind w:left="144" w:right="0" w:hanging="144"/>
              <w:jc w:val="left"/>
              <w:rPr>
                <w:color w:val="000000"/>
              </w:rPr>
            </w:pPr>
            <w:r>
              <w:rPr>
                <w:color w:val="000000"/>
              </w:rPr>
              <w:t>Loans held for sale (mandatory)</w:t>
            </w:r>
          </w:p>
        </w:tc>
        <w:tc>
          <w:tcPr>
            <w:tcW w:w="9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15,471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15,471</w:t>
            </w:r>
          </w:p>
        </w:tc>
        <w:tc>
          <w:tcPr>
            <w:tcW w:w="171" w:type="dxa"/>
            <w:tcBorders/>
            <w:vAlign w:val="bottom"/>
          </w:tcPr>
          <w:p>
            <w:pPr>
              <w:pStyle w:val="TableContents"/>
              <w:bidi w:val="0"/>
              <w:spacing w:before="0" w:after="283"/>
              <w:jc w:val="left"/>
              <w:rPr/>
            </w:pPr>
            <w:r>
              <w:rPr/>
              <w:t> </w:t>
            </w:r>
          </w:p>
        </w:tc>
      </w:tr>
      <w:tr>
        <w:trPr/>
        <w:tc>
          <w:tcPr>
            <w:tcW w:w="5711" w:type="dxa"/>
            <w:tcBorders/>
            <w:shd w:fill="CCEEFF" w:val="clear"/>
            <w:vAlign w:val="bottom"/>
          </w:tcPr>
          <w:p>
            <w:pPr>
              <w:pStyle w:val="TableContents"/>
              <w:bidi w:val="0"/>
              <w:spacing w:before="0" w:after="0"/>
              <w:ind w:left="144" w:right="0" w:hanging="144"/>
              <w:jc w:val="left"/>
              <w:rPr>
                <w:color w:val="000000"/>
              </w:rPr>
            </w:pPr>
            <w:r>
              <w:rPr>
                <w:color w:val="000000"/>
              </w:rPr>
              <w:t>Mortgage servicing rights</w:t>
            </w:r>
          </w:p>
        </w:tc>
        <w:tc>
          <w:tcPr>
            <w:tcW w:w="9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24,611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24,611</w:t>
            </w:r>
          </w:p>
        </w:tc>
        <w:tc>
          <w:tcPr>
            <w:tcW w:w="171" w:type="dxa"/>
            <w:tcBorders/>
            <w:shd w:fill="CCEEFF" w:val="clear"/>
            <w:vAlign w:val="bottom"/>
          </w:tcPr>
          <w:p>
            <w:pPr>
              <w:pStyle w:val="TableContents"/>
              <w:bidi w:val="0"/>
              <w:spacing w:before="0" w:after="283"/>
              <w:jc w:val="left"/>
              <w:rPr/>
            </w:pPr>
            <w:r>
              <w:rPr/>
              <w:t> </w:t>
            </w:r>
          </w:p>
        </w:tc>
      </w:tr>
      <w:tr>
        <w:trPr/>
        <w:tc>
          <w:tcPr>
            <w:tcW w:w="5711" w:type="dxa"/>
            <w:tcBorders/>
            <w:vAlign w:val="bottom"/>
          </w:tcPr>
          <w:p>
            <w:pPr>
              <w:pStyle w:val="TableContents"/>
              <w:bidi w:val="0"/>
              <w:spacing w:before="0" w:after="0"/>
              <w:ind w:left="144" w:right="0" w:hanging="144"/>
              <w:jc w:val="left"/>
              <w:rPr>
                <w:color w:val="000000"/>
              </w:rPr>
            </w:pPr>
            <w:r>
              <w:rPr>
                <w:color w:val="000000"/>
              </w:rPr>
              <w:t>Asset derivatives</w:t>
            </w:r>
          </w:p>
        </w:tc>
        <w:tc>
          <w:tcPr>
            <w:tcW w:w="9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10,160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10,160</w:t>
            </w:r>
          </w:p>
        </w:tc>
        <w:tc>
          <w:tcPr>
            <w:tcW w:w="171" w:type="dxa"/>
            <w:tcBorders/>
            <w:vAlign w:val="bottom"/>
          </w:tcPr>
          <w:p>
            <w:pPr>
              <w:pStyle w:val="TableContents"/>
              <w:bidi w:val="0"/>
              <w:spacing w:before="0" w:after="283"/>
              <w:jc w:val="left"/>
              <w:rPr/>
            </w:pPr>
            <w:r>
              <w:rPr/>
              <w:t> </w:t>
            </w:r>
          </w:p>
        </w:tc>
      </w:tr>
      <w:tr>
        <w:trPr/>
        <w:tc>
          <w:tcPr>
            <w:tcW w:w="5711" w:type="dxa"/>
            <w:tcBorders/>
            <w:shd w:fill="CCEEFF" w:val="clear"/>
            <w:vAlign w:val="bottom"/>
          </w:tcPr>
          <w:p>
            <w:pPr>
              <w:pStyle w:val="TableContents"/>
              <w:bidi w:val="0"/>
              <w:spacing w:before="0" w:after="0"/>
              <w:ind w:left="144" w:right="0" w:hanging="144"/>
              <w:jc w:val="left"/>
              <w:rPr>
                <w:color w:val="000000"/>
              </w:rPr>
            </w:pPr>
            <w:r>
              <w:rPr>
                <w:color w:val="000000"/>
              </w:rPr>
              <w:t>Liability derivatives</w:t>
            </w:r>
          </w:p>
        </w:tc>
        <w:tc>
          <w:tcPr>
            <w:tcW w:w="9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(127</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(127</w:t>
            </w:r>
          </w:p>
        </w:tc>
        <w:tc>
          <w:tcPr>
            <w:tcW w:w="171" w:type="dxa"/>
            <w:tcBorders/>
            <w:shd w:fill="CCEEFF" w:val="clear"/>
            <w:vAlign w:val="bottom"/>
          </w:tcPr>
          <w:p>
            <w:pPr>
              <w:pStyle w:val="TableContents"/>
              <w:bidi w:val="0"/>
              <w:spacing w:before="0" w:after="0"/>
              <w:jc w:val="left"/>
              <w:rPr>
                <w:color w:val="000000"/>
              </w:rPr>
            </w:pPr>
            <w:r>
              <w:rPr>
                <w:color w:val="000000"/>
              </w:rPr>
              <w:t>)</w:t>
            </w:r>
          </w:p>
        </w:tc>
      </w:tr>
      <w:tr>
        <w:trPr/>
        <w:tc>
          <w:tcPr>
            <w:tcW w:w="571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71" w:type="dxa"/>
            <w:tcBorders/>
            <w:vAlign w:val="bottom"/>
          </w:tcPr>
          <w:p>
            <w:pPr>
              <w:pStyle w:val="TableContents"/>
              <w:bidi w:val="0"/>
              <w:spacing w:before="0" w:after="283"/>
              <w:jc w:val="left"/>
              <w:rPr/>
            </w:pPr>
            <w:r>
              <w:rPr/>
              <w:t> </w:t>
            </w:r>
          </w:p>
        </w:tc>
      </w:tr>
      <w:tr>
        <w:trPr/>
        <w:tc>
          <w:tcPr>
            <w:tcW w:w="5711" w:type="dxa"/>
            <w:tcBorders/>
            <w:shd w:fill="CCEEFF" w:val="clear"/>
            <w:vAlign w:val="bottom"/>
          </w:tcPr>
          <w:p>
            <w:pPr>
              <w:pStyle w:val="TableContents"/>
              <w:bidi w:val="0"/>
              <w:spacing w:before="0" w:after="0"/>
              <w:ind w:left="144" w:right="0" w:hanging="144"/>
              <w:jc w:val="left"/>
              <w:rPr>
                <w:color w:val="000000"/>
              </w:rPr>
            </w:pPr>
            <w:r>
              <w:rPr>
                <w:color w:val="000000"/>
              </w:rPr>
              <w:t>Assets measured at fair value on a non-recurring basis:</w:t>
            </w:r>
          </w:p>
        </w:tc>
        <w:tc>
          <w:tcPr>
            <w:tcW w:w="9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71" w:type="dxa"/>
            <w:tcBorders/>
            <w:shd w:fill="CCEEFF" w:val="clear"/>
            <w:vAlign w:val="bottom"/>
          </w:tcPr>
          <w:p>
            <w:pPr>
              <w:pStyle w:val="TableContents"/>
              <w:bidi w:val="0"/>
              <w:spacing w:before="0" w:after="283"/>
              <w:jc w:val="left"/>
              <w:rPr/>
            </w:pPr>
            <w:r>
              <w:rPr/>
              <w:t> </w:t>
            </w:r>
          </w:p>
        </w:tc>
      </w:tr>
      <w:tr>
        <w:trPr/>
        <w:tc>
          <w:tcPr>
            <w:tcW w:w="5711" w:type="dxa"/>
            <w:tcBorders/>
            <w:vAlign w:val="bottom"/>
          </w:tcPr>
          <w:p>
            <w:pPr>
              <w:pStyle w:val="TableContents"/>
              <w:bidi w:val="0"/>
              <w:spacing w:before="0" w:after="0"/>
              <w:ind w:left="144" w:right="0" w:hanging="144"/>
              <w:jc w:val="left"/>
              <w:rPr>
                <w:color w:val="000000"/>
              </w:rPr>
            </w:pPr>
            <w:r>
              <w:rPr>
                <w:color w:val="000000"/>
              </w:rPr>
              <w:t>Loans held for investment</w:t>
            </w:r>
          </w:p>
        </w:tc>
        <w:tc>
          <w:tcPr>
            <w:tcW w:w="9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2,344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2,344</w:t>
            </w:r>
          </w:p>
        </w:tc>
        <w:tc>
          <w:tcPr>
            <w:tcW w:w="171" w:type="dxa"/>
            <w:tcBorders/>
            <w:vAlign w:val="bottom"/>
          </w:tcPr>
          <w:p>
            <w:pPr>
              <w:pStyle w:val="TableContents"/>
              <w:bidi w:val="0"/>
              <w:spacing w:before="0" w:after="283"/>
              <w:jc w:val="left"/>
              <w:rPr/>
            </w:pPr>
            <w:r>
              <w:rPr/>
              <w:t> </w:t>
            </w:r>
          </w:p>
        </w:tc>
      </w:tr>
      <w:tr>
        <w:trPr/>
        <w:tc>
          <w:tcPr>
            <w:tcW w:w="571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71" w:type="dxa"/>
            <w:tcBorders/>
            <w:shd w:fill="CCEEFF" w:val="clear"/>
            <w:vAlign w:val="bottom"/>
          </w:tcPr>
          <w:p>
            <w:pPr>
              <w:pStyle w:val="TableContents"/>
              <w:bidi w:val="0"/>
              <w:spacing w:before="0" w:after="283"/>
              <w:jc w:val="left"/>
              <w:rPr/>
            </w:pPr>
            <w:r>
              <w:rPr/>
              <w:t> </w:t>
            </w:r>
          </w:p>
        </w:tc>
      </w:tr>
      <w:tr>
        <w:trPr/>
        <w:tc>
          <w:tcPr>
            <w:tcW w:w="5711" w:type="dxa"/>
            <w:tcBorders/>
            <w:vAlign w:val="bottom"/>
          </w:tcPr>
          <w:p>
            <w:pPr>
              <w:pStyle w:val="TableContents"/>
              <w:bidi w:val="0"/>
              <w:spacing w:before="0" w:after="0"/>
              <w:jc w:val="left"/>
              <w:rPr>
                <w:color w:val="000000"/>
                <w:u w:val="single"/>
              </w:rPr>
            </w:pPr>
            <w:r>
              <w:rPr>
                <w:color w:val="000000"/>
                <w:u w:val="single"/>
              </w:rPr>
              <w:t>December 31, 2025</w:t>
            </w:r>
          </w:p>
        </w:tc>
        <w:tc>
          <w:tcPr>
            <w:tcW w:w="9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71" w:type="dxa"/>
            <w:tcBorders/>
            <w:vAlign w:val="bottom"/>
          </w:tcPr>
          <w:p>
            <w:pPr>
              <w:pStyle w:val="TableContents"/>
              <w:bidi w:val="0"/>
              <w:spacing w:before="0" w:after="283"/>
              <w:jc w:val="left"/>
              <w:rPr/>
            </w:pPr>
            <w:r>
              <w:rPr/>
              <w:t> </w:t>
            </w:r>
          </w:p>
        </w:tc>
      </w:tr>
      <w:tr>
        <w:trPr/>
        <w:tc>
          <w:tcPr>
            <w:tcW w:w="5711" w:type="dxa"/>
            <w:tcBorders/>
            <w:shd w:fill="CCEEFF" w:val="clear"/>
            <w:vAlign w:val="bottom"/>
          </w:tcPr>
          <w:p>
            <w:pPr>
              <w:pStyle w:val="TableContents"/>
              <w:bidi w:val="0"/>
              <w:spacing w:before="0" w:after="0"/>
              <w:jc w:val="left"/>
              <w:rPr>
                <w:color w:val="000000"/>
              </w:rPr>
            </w:pPr>
            <w:r>
              <w:rPr>
                <w:color w:val="000000"/>
              </w:rPr>
              <w:t>Assets (liabilities) measured at fair value on a recurring basis:</w:t>
            </w:r>
          </w:p>
        </w:tc>
        <w:tc>
          <w:tcPr>
            <w:tcW w:w="9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71" w:type="dxa"/>
            <w:tcBorders/>
            <w:shd w:fill="CCEEFF" w:val="clear"/>
            <w:vAlign w:val="bottom"/>
          </w:tcPr>
          <w:p>
            <w:pPr>
              <w:pStyle w:val="TableContents"/>
              <w:bidi w:val="0"/>
              <w:spacing w:before="0" w:after="283"/>
              <w:jc w:val="left"/>
              <w:rPr/>
            </w:pPr>
            <w:r>
              <w:rPr/>
              <w:t> </w:t>
            </w:r>
          </w:p>
        </w:tc>
      </w:tr>
      <w:tr>
        <w:trPr/>
        <w:tc>
          <w:tcPr>
            <w:tcW w:w="5711" w:type="dxa"/>
            <w:tcBorders/>
            <w:vAlign w:val="bottom"/>
          </w:tcPr>
          <w:p>
            <w:pPr>
              <w:pStyle w:val="TableContents"/>
              <w:bidi w:val="0"/>
              <w:spacing w:before="0" w:after="0"/>
              <w:jc w:val="left"/>
              <w:rPr>
                <w:color w:val="000000"/>
              </w:rPr>
            </w:pPr>
            <w:r>
              <w:rPr>
                <w:color w:val="000000"/>
              </w:rPr>
              <w:t>Securities available for sale:</w:t>
            </w:r>
          </w:p>
        </w:tc>
        <w:tc>
          <w:tcPr>
            <w:tcW w:w="9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71" w:type="dxa"/>
            <w:tcBorders/>
            <w:vAlign w:val="bottom"/>
          </w:tcPr>
          <w:p>
            <w:pPr>
              <w:pStyle w:val="TableContents"/>
              <w:bidi w:val="0"/>
              <w:spacing w:before="0" w:after="283"/>
              <w:jc w:val="left"/>
              <w:rPr/>
            </w:pPr>
            <w:r>
              <w:rPr/>
              <w:t> </w:t>
            </w:r>
          </w:p>
        </w:tc>
      </w:tr>
      <w:tr>
        <w:trPr/>
        <w:tc>
          <w:tcPr>
            <w:tcW w:w="5711" w:type="dxa"/>
            <w:tcBorders/>
            <w:shd w:fill="CCEEFF" w:val="clear"/>
            <w:vAlign w:val="bottom"/>
          </w:tcPr>
          <w:p>
            <w:pPr>
              <w:pStyle w:val="TableContents"/>
              <w:bidi w:val="0"/>
              <w:spacing w:before="0" w:after="0"/>
              <w:ind w:left="0" w:right="0" w:firstLine="180"/>
              <w:jc w:val="left"/>
              <w:rPr>
                <w:color w:val="000000"/>
              </w:rPr>
            </w:pPr>
            <w:r>
              <w:rPr>
                <w:color w:val="000000"/>
              </w:rPr>
              <w:t>State and municipal</w:t>
            </w:r>
          </w:p>
        </w:tc>
        <w:tc>
          <w:tcPr>
            <w:tcW w:w="9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0"/>
              <w:jc w:val="left"/>
              <w:rPr>
                <w:color w:val="000000"/>
              </w:rPr>
            </w:pPr>
            <w:r>
              <w:rPr>
                <w:color w:val="000000"/>
              </w:rPr>
              <w:t>$</w:t>
            </w:r>
          </w:p>
        </w:tc>
        <w:tc>
          <w:tcPr>
            <w:tcW w:w="49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176,305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176,305</w:t>
            </w:r>
          </w:p>
        </w:tc>
        <w:tc>
          <w:tcPr>
            <w:tcW w:w="171" w:type="dxa"/>
            <w:tcBorders/>
            <w:shd w:fill="CCEEFF" w:val="clear"/>
            <w:vAlign w:val="bottom"/>
          </w:tcPr>
          <w:p>
            <w:pPr>
              <w:pStyle w:val="TableContents"/>
              <w:bidi w:val="0"/>
              <w:spacing w:before="0" w:after="283"/>
              <w:jc w:val="left"/>
              <w:rPr/>
            </w:pPr>
            <w:r>
              <w:rPr/>
              <w:t> </w:t>
            </w:r>
          </w:p>
        </w:tc>
      </w:tr>
      <w:tr>
        <w:trPr/>
        <w:tc>
          <w:tcPr>
            <w:tcW w:w="5711" w:type="dxa"/>
            <w:tcBorders/>
            <w:vAlign w:val="bottom"/>
          </w:tcPr>
          <w:p>
            <w:pPr>
              <w:pStyle w:val="TableContents"/>
              <w:bidi w:val="0"/>
              <w:spacing w:before="0" w:after="0"/>
              <w:ind w:left="0" w:right="0" w:firstLine="180"/>
              <w:jc w:val="left"/>
              <w:rPr>
                <w:color w:val="000000"/>
              </w:rPr>
            </w:pPr>
            <w:r>
              <w:rPr>
                <w:color w:val="000000"/>
              </w:rPr>
              <w:t>Residential mortgage-backed securities</w:t>
            </w:r>
          </w:p>
        </w:tc>
        <w:tc>
          <w:tcPr>
            <w:tcW w:w="9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260,760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260,760</w:t>
            </w:r>
          </w:p>
        </w:tc>
        <w:tc>
          <w:tcPr>
            <w:tcW w:w="171" w:type="dxa"/>
            <w:tcBorders/>
            <w:vAlign w:val="bottom"/>
          </w:tcPr>
          <w:p>
            <w:pPr>
              <w:pStyle w:val="TableContents"/>
              <w:bidi w:val="0"/>
              <w:spacing w:before="0" w:after="283"/>
              <w:jc w:val="left"/>
              <w:rPr/>
            </w:pPr>
            <w:r>
              <w:rPr/>
              <w:t> </w:t>
            </w:r>
          </w:p>
        </w:tc>
      </w:tr>
      <w:tr>
        <w:trPr/>
        <w:tc>
          <w:tcPr>
            <w:tcW w:w="5711" w:type="dxa"/>
            <w:tcBorders/>
            <w:shd w:fill="CCEEFF" w:val="clear"/>
            <w:vAlign w:val="bottom"/>
          </w:tcPr>
          <w:p>
            <w:pPr>
              <w:pStyle w:val="TableContents"/>
              <w:bidi w:val="0"/>
              <w:spacing w:before="0" w:after="0"/>
              <w:ind w:left="0" w:right="0" w:firstLine="180"/>
              <w:jc w:val="left"/>
              <w:rPr>
                <w:color w:val="000000"/>
              </w:rPr>
            </w:pPr>
            <w:r>
              <w:rPr>
                <w:color w:val="000000"/>
              </w:rPr>
              <w:t>Commercial mortgage-backed securities</w:t>
            </w:r>
          </w:p>
        </w:tc>
        <w:tc>
          <w:tcPr>
            <w:tcW w:w="9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44,786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44,786</w:t>
            </w:r>
          </w:p>
        </w:tc>
        <w:tc>
          <w:tcPr>
            <w:tcW w:w="171" w:type="dxa"/>
            <w:tcBorders/>
            <w:shd w:fill="CCEEFF" w:val="clear"/>
            <w:vAlign w:val="bottom"/>
          </w:tcPr>
          <w:p>
            <w:pPr>
              <w:pStyle w:val="TableContents"/>
              <w:bidi w:val="0"/>
              <w:spacing w:before="0" w:after="283"/>
              <w:jc w:val="left"/>
              <w:rPr/>
            </w:pPr>
            <w:r>
              <w:rPr/>
              <w:t> </w:t>
            </w:r>
          </w:p>
        </w:tc>
      </w:tr>
      <w:tr>
        <w:trPr/>
        <w:tc>
          <w:tcPr>
            <w:tcW w:w="5711" w:type="dxa"/>
            <w:tcBorders/>
            <w:vAlign w:val="bottom"/>
          </w:tcPr>
          <w:p>
            <w:pPr>
              <w:pStyle w:val="TableContents"/>
              <w:bidi w:val="0"/>
              <w:spacing w:before="0" w:after="0"/>
              <w:ind w:left="0" w:right="0" w:firstLine="180"/>
              <w:jc w:val="left"/>
              <w:rPr>
                <w:color w:val="000000"/>
              </w:rPr>
            </w:pPr>
            <w:r>
              <w:rPr>
                <w:color w:val="000000"/>
              </w:rPr>
              <w:t>Commercial collateralized mortgage obligations</w:t>
            </w:r>
          </w:p>
        </w:tc>
        <w:tc>
          <w:tcPr>
            <w:tcW w:w="9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67,597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67,597</w:t>
            </w:r>
          </w:p>
        </w:tc>
        <w:tc>
          <w:tcPr>
            <w:tcW w:w="171" w:type="dxa"/>
            <w:tcBorders/>
            <w:vAlign w:val="bottom"/>
          </w:tcPr>
          <w:p>
            <w:pPr>
              <w:pStyle w:val="TableContents"/>
              <w:bidi w:val="0"/>
              <w:spacing w:before="0" w:after="283"/>
              <w:jc w:val="left"/>
              <w:rPr/>
            </w:pPr>
            <w:r>
              <w:rPr/>
              <w:t> </w:t>
            </w:r>
          </w:p>
        </w:tc>
      </w:tr>
      <w:tr>
        <w:trPr/>
        <w:tc>
          <w:tcPr>
            <w:tcW w:w="5711" w:type="dxa"/>
            <w:tcBorders/>
            <w:shd w:fill="CCEEFF" w:val="clear"/>
            <w:vAlign w:val="bottom"/>
          </w:tcPr>
          <w:p>
            <w:pPr>
              <w:pStyle w:val="TableContents"/>
              <w:bidi w:val="0"/>
              <w:spacing w:before="0" w:after="0"/>
              <w:ind w:left="0" w:right="0" w:firstLine="180"/>
              <w:jc w:val="left"/>
              <w:rPr>
                <w:color w:val="000000"/>
              </w:rPr>
            </w:pPr>
            <w:r>
              <w:rPr>
                <w:color w:val="000000"/>
              </w:rPr>
              <w:t>Asset-backed and other amortizing securities</w:t>
            </w:r>
          </w:p>
        </w:tc>
        <w:tc>
          <w:tcPr>
            <w:tcW w:w="9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13,132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13,132</w:t>
            </w:r>
          </w:p>
        </w:tc>
        <w:tc>
          <w:tcPr>
            <w:tcW w:w="171" w:type="dxa"/>
            <w:tcBorders/>
            <w:shd w:fill="CCEEFF" w:val="clear"/>
            <w:vAlign w:val="bottom"/>
          </w:tcPr>
          <w:p>
            <w:pPr>
              <w:pStyle w:val="TableContents"/>
              <w:bidi w:val="0"/>
              <w:spacing w:before="0" w:after="283"/>
              <w:jc w:val="left"/>
              <w:rPr/>
            </w:pPr>
            <w:r>
              <w:rPr/>
              <w:t> </w:t>
            </w:r>
          </w:p>
        </w:tc>
      </w:tr>
      <w:tr>
        <w:trPr/>
        <w:tc>
          <w:tcPr>
            <w:tcW w:w="5711" w:type="dxa"/>
            <w:tcBorders/>
            <w:vAlign w:val="bottom"/>
          </w:tcPr>
          <w:p>
            <w:pPr>
              <w:pStyle w:val="TableContents"/>
              <w:bidi w:val="0"/>
              <w:spacing w:before="0" w:after="0"/>
              <w:ind w:left="0" w:right="0" w:firstLine="180"/>
              <w:jc w:val="left"/>
              <w:rPr>
                <w:color w:val="000000"/>
              </w:rPr>
            </w:pPr>
            <w:r>
              <w:rPr>
                <w:color w:val="000000"/>
              </w:rPr>
              <w:t>Other securities</w:t>
            </w:r>
          </w:p>
        </w:tc>
        <w:tc>
          <w:tcPr>
            <w:tcW w:w="9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4,960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4,960</w:t>
            </w:r>
          </w:p>
        </w:tc>
        <w:tc>
          <w:tcPr>
            <w:tcW w:w="171" w:type="dxa"/>
            <w:tcBorders/>
            <w:vAlign w:val="bottom"/>
          </w:tcPr>
          <w:p>
            <w:pPr>
              <w:pStyle w:val="TableContents"/>
              <w:bidi w:val="0"/>
              <w:spacing w:before="0" w:after="283"/>
              <w:jc w:val="left"/>
              <w:rPr/>
            </w:pPr>
            <w:r>
              <w:rPr/>
              <w:t> </w:t>
            </w:r>
          </w:p>
        </w:tc>
      </w:tr>
      <w:tr>
        <w:trPr/>
        <w:tc>
          <w:tcPr>
            <w:tcW w:w="5711" w:type="dxa"/>
            <w:tcBorders/>
            <w:shd w:fill="CCEEFF" w:val="clear"/>
            <w:vAlign w:val="bottom"/>
          </w:tcPr>
          <w:p>
            <w:pPr>
              <w:pStyle w:val="TableContents"/>
              <w:bidi w:val="0"/>
              <w:spacing w:before="0" w:after="0"/>
              <w:ind w:left="144" w:right="0" w:hanging="144"/>
              <w:jc w:val="left"/>
              <w:rPr>
                <w:color w:val="000000"/>
              </w:rPr>
            </w:pPr>
            <w:r>
              <w:rPr>
                <w:color w:val="000000"/>
              </w:rPr>
              <w:t>Loans held for sale (mandatory)</w:t>
            </w:r>
          </w:p>
        </w:tc>
        <w:tc>
          <w:tcPr>
            <w:tcW w:w="9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7,796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7,796</w:t>
            </w:r>
          </w:p>
        </w:tc>
        <w:tc>
          <w:tcPr>
            <w:tcW w:w="171" w:type="dxa"/>
            <w:tcBorders/>
            <w:shd w:fill="CCEEFF" w:val="clear"/>
            <w:vAlign w:val="bottom"/>
          </w:tcPr>
          <w:p>
            <w:pPr>
              <w:pStyle w:val="TableContents"/>
              <w:bidi w:val="0"/>
              <w:spacing w:before="0" w:after="283"/>
              <w:jc w:val="left"/>
              <w:rPr/>
            </w:pPr>
            <w:r>
              <w:rPr/>
              <w:t> </w:t>
            </w:r>
          </w:p>
        </w:tc>
      </w:tr>
      <w:tr>
        <w:trPr/>
        <w:tc>
          <w:tcPr>
            <w:tcW w:w="5711" w:type="dxa"/>
            <w:tcBorders/>
            <w:vAlign w:val="bottom"/>
          </w:tcPr>
          <w:p>
            <w:pPr>
              <w:pStyle w:val="TableContents"/>
              <w:bidi w:val="0"/>
              <w:spacing w:before="0" w:after="0"/>
              <w:ind w:left="144" w:right="0" w:hanging="144"/>
              <w:jc w:val="left"/>
              <w:rPr>
                <w:color w:val="000000"/>
              </w:rPr>
            </w:pPr>
            <w:r>
              <w:rPr>
                <w:color w:val="000000"/>
              </w:rPr>
              <w:t>Mortgage servicing rights</w:t>
            </w:r>
          </w:p>
        </w:tc>
        <w:tc>
          <w:tcPr>
            <w:tcW w:w="9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24,041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24,041</w:t>
            </w:r>
          </w:p>
        </w:tc>
        <w:tc>
          <w:tcPr>
            <w:tcW w:w="171" w:type="dxa"/>
            <w:tcBorders/>
            <w:vAlign w:val="bottom"/>
          </w:tcPr>
          <w:p>
            <w:pPr>
              <w:pStyle w:val="TableContents"/>
              <w:bidi w:val="0"/>
              <w:spacing w:before="0" w:after="283"/>
              <w:jc w:val="left"/>
              <w:rPr/>
            </w:pPr>
            <w:r>
              <w:rPr/>
              <w:t> </w:t>
            </w:r>
          </w:p>
        </w:tc>
      </w:tr>
      <w:tr>
        <w:trPr/>
        <w:tc>
          <w:tcPr>
            <w:tcW w:w="5711" w:type="dxa"/>
            <w:tcBorders/>
            <w:shd w:fill="CCEEFF" w:val="clear"/>
            <w:vAlign w:val="bottom"/>
          </w:tcPr>
          <w:p>
            <w:pPr>
              <w:pStyle w:val="TableContents"/>
              <w:bidi w:val="0"/>
              <w:spacing w:before="0" w:after="0"/>
              <w:ind w:left="144" w:right="0" w:hanging="144"/>
              <w:jc w:val="left"/>
              <w:rPr>
                <w:color w:val="000000"/>
              </w:rPr>
            </w:pPr>
            <w:r>
              <w:rPr>
                <w:color w:val="000000"/>
              </w:rPr>
              <w:t>Asset derivatives</w:t>
            </w:r>
          </w:p>
        </w:tc>
        <w:tc>
          <w:tcPr>
            <w:tcW w:w="9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9,970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9,970</w:t>
            </w:r>
          </w:p>
        </w:tc>
        <w:tc>
          <w:tcPr>
            <w:tcW w:w="171" w:type="dxa"/>
            <w:tcBorders/>
            <w:shd w:fill="CCEEFF" w:val="clear"/>
            <w:vAlign w:val="bottom"/>
          </w:tcPr>
          <w:p>
            <w:pPr>
              <w:pStyle w:val="TableContents"/>
              <w:bidi w:val="0"/>
              <w:spacing w:before="0" w:after="283"/>
              <w:jc w:val="left"/>
              <w:rPr/>
            </w:pPr>
            <w:r>
              <w:rPr/>
              <w:t> </w:t>
            </w:r>
          </w:p>
        </w:tc>
      </w:tr>
      <w:tr>
        <w:trPr/>
        <w:tc>
          <w:tcPr>
            <w:tcW w:w="5711" w:type="dxa"/>
            <w:tcBorders/>
            <w:vAlign w:val="bottom"/>
          </w:tcPr>
          <w:p>
            <w:pPr>
              <w:pStyle w:val="TableContents"/>
              <w:bidi w:val="0"/>
              <w:spacing w:before="0" w:after="0"/>
              <w:ind w:left="144" w:right="0" w:hanging="144"/>
              <w:jc w:val="left"/>
              <w:rPr>
                <w:color w:val="000000"/>
              </w:rPr>
            </w:pPr>
            <w:r>
              <w:rPr>
                <w:color w:val="000000"/>
              </w:rPr>
              <w:t>Liability derivatives</w:t>
            </w:r>
          </w:p>
        </w:tc>
        <w:tc>
          <w:tcPr>
            <w:tcW w:w="9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(65</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(65</w:t>
            </w:r>
          </w:p>
        </w:tc>
        <w:tc>
          <w:tcPr>
            <w:tcW w:w="171" w:type="dxa"/>
            <w:tcBorders/>
            <w:vAlign w:val="bottom"/>
          </w:tcPr>
          <w:p>
            <w:pPr>
              <w:pStyle w:val="TableContents"/>
              <w:bidi w:val="0"/>
              <w:spacing w:before="0" w:after="0"/>
              <w:jc w:val="left"/>
              <w:rPr>
                <w:color w:val="000000"/>
              </w:rPr>
            </w:pPr>
            <w:r>
              <w:rPr>
                <w:color w:val="000000"/>
              </w:rPr>
              <w:t>)</w:t>
            </w:r>
          </w:p>
        </w:tc>
      </w:tr>
      <w:tr>
        <w:trPr/>
        <w:tc>
          <w:tcPr>
            <w:tcW w:w="571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71" w:type="dxa"/>
            <w:tcBorders/>
            <w:shd w:fill="CCEEFF" w:val="clear"/>
            <w:vAlign w:val="bottom"/>
          </w:tcPr>
          <w:p>
            <w:pPr>
              <w:pStyle w:val="TableContents"/>
              <w:bidi w:val="0"/>
              <w:spacing w:before="0" w:after="283"/>
              <w:jc w:val="left"/>
              <w:rPr/>
            </w:pPr>
            <w:r>
              <w:rPr/>
              <w:t> </w:t>
            </w:r>
          </w:p>
        </w:tc>
      </w:tr>
      <w:tr>
        <w:trPr/>
        <w:tc>
          <w:tcPr>
            <w:tcW w:w="5711" w:type="dxa"/>
            <w:tcBorders/>
            <w:vAlign w:val="bottom"/>
          </w:tcPr>
          <w:p>
            <w:pPr>
              <w:pStyle w:val="TableContents"/>
              <w:bidi w:val="0"/>
              <w:spacing w:before="0" w:after="0"/>
              <w:ind w:left="144" w:right="0" w:hanging="144"/>
              <w:jc w:val="left"/>
              <w:rPr>
                <w:color w:val="000000"/>
              </w:rPr>
            </w:pPr>
            <w:r>
              <w:rPr>
                <w:color w:val="000000"/>
              </w:rPr>
              <w:t>Assets measured at fair value on a non-recurring basis:</w:t>
            </w:r>
          </w:p>
        </w:tc>
        <w:tc>
          <w:tcPr>
            <w:tcW w:w="9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71" w:type="dxa"/>
            <w:tcBorders/>
            <w:vAlign w:val="bottom"/>
          </w:tcPr>
          <w:p>
            <w:pPr>
              <w:pStyle w:val="TableContents"/>
              <w:bidi w:val="0"/>
              <w:spacing w:before="0" w:after="283"/>
              <w:jc w:val="left"/>
              <w:rPr/>
            </w:pPr>
            <w:r>
              <w:rPr/>
              <w:t> </w:t>
            </w:r>
          </w:p>
        </w:tc>
      </w:tr>
      <w:tr>
        <w:trPr/>
        <w:tc>
          <w:tcPr>
            <w:tcW w:w="5711" w:type="dxa"/>
            <w:tcBorders/>
            <w:shd w:fill="CCEEFF" w:val="clear"/>
            <w:vAlign w:val="bottom"/>
          </w:tcPr>
          <w:p>
            <w:pPr>
              <w:pStyle w:val="TableContents"/>
              <w:bidi w:val="0"/>
              <w:spacing w:before="0" w:after="0"/>
              <w:ind w:left="144" w:right="0" w:hanging="144"/>
              <w:jc w:val="left"/>
              <w:rPr>
                <w:color w:val="000000"/>
              </w:rPr>
            </w:pPr>
            <w:r>
              <w:rPr>
                <w:color w:val="000000"/>
              </w:rPr>
              <w:t>Loans held for investment</w:t>
            </w:r>
          </w:p>
        </w:tc>
        <w:tc>
          <w:tcPr>
            <w:tcW w:w="9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5,515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5,515</w:t>
            </w:r>
          </w:p>
        </w:tc>
        <w:tc>
          <w:tcPr>
            <w:tcW w:w="171"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23</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Securities</w:t>
      </w:r>
      <w:r>
        <w:rPr>
          <w:rFonts w:ascii="Times New Roman" w:hAnsi="Times New Roman"/>
          <w:color w:val="000000"/>
          <w:sz w:val="20"/>
          <w:shd w:fill="FFFFFF" w:val="clear"/>
        </w:rPr>
        <w:t xml:space="preserve"> – Fair value is calculated based on market prices of similar securities using matrix pricing. Matrix pricing is a mathematical technique commonly used to price debt securities that are not actively traded.</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Mortgage servicing rights</w:t>
      </w:r>
      <w:r>
        <w:rPr>
          <w:rFonts w:ascii="Times New Roman" w:hAnsi="Times New Roman"/>
          <w:color w:val="000000"/>
          <w:sz w:val="20"/>
          <w:shd w:fill="FFFFFF" w:val="clear"/>
        </w:rPr>
        <w:t xml:space="preserve"> – Mortgage servicing rights are reported at fair value using Level 3 inputs. The mortgage servicing rights asset is valued by projecting net servicing cash flows, which are then discounted to estimate the fair value. The fair value of the mortgage servicing rights asset is impacted by a variety of factors, including prepayment speeds, default rates, and discount rates, which are significant unobservable inputs. Mortgage servicing rights are the only Level 3 asset measured at fair value on a recurring basis, see Note 6 for the Level 3 change activity for each of the three months ended March 31, 2026 and 2025.</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Derivatives</w:t>
      </w:r>
      <w:r>
        <w:rPr>
          <w:rFonts w:ascii="Times New Roman" w:hAnsi="Times New Roman"/>
          <w:color w:val="000000"/>
          <w:sz w:val="20"/>
          <w:shd w:fill="FFFFFF" w:val="clear"/>
        </w:rPr>
        <w:t xml:space="preserve"> – Fair value of derivatives is based on valuation models using observable market data as of the measurement date.</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Loans held for investment</w:t>
      </w:r>
      <w:r>
        <w:rPr>
          <w:rFonts w:ascii="Times New Roman" w:hAnsi="Times New Roman"/>
          <w:color w:val="000000"/>
          <w:sz w:val="20"/>
          <w:shd w:fill="FFFFFF" w:val="clear"/>
        </w:rPr>
        <w:t xml:space="preserve"> – Includes certain collateral-dependent loans which are reported at fair value, for which a specific allocation of the allowance for credit losses is based off of the underlying collateral, less estimated disposal costs, if repayment is expected solely from the sale of the collateral. Collateral values are estimated using Level 2 inputs based on observable market data or Level 3 inputs based on customized discounting criteria.</w:t>
      </w:r>
    </w:p>
    <w:p>
      <w:pPr>
        <w:pStyle w:val="TextBody"/>
        <w:bidi w:val="0"/>
        <w:spacing w:before="0" w:after="0"/>
        <w:jc w:val="center"/>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Fair Values of Assets Recorded on a Recurring Basis for which the Fair Value Option has been Elected</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Loans held for sale (mandatory)</w:t>
      </w:r>
      <w:r>
        <w:rPr>
          <w:rFonts w:ascii="Times New Roman" w:hAnsi="Times New Roman"/>
          <w:color w:val="000000"/>
          <w:sz w:val="20"/>
          <w:shd w:fill="FFFFFF" w:val="clear"/>
        </w:rPr>
        <w:t xml:space="preserve"> – Loans held for sale originated for mandatory delivery are reported at fair value on a recurring basis due to the Company’s election to adopt fair value accounting treatment for these assets. This election allows for a more effective offset of the changes in fair values of the assets and the derivative instruments used to economically hedge them without the burden of complying with the requirements for hedge accounting under ASC Topic 815, </w:t>
      </w:r>
      <w:r>
        <w:rPr>
          <w:rFonts w:ascii="Times New Roman" w:hAnsi="Times New Roman"/>
          <w:i/>
          <w:color w:val="000000"/>
          <w:sz w:val="20"/>
          <w:shd w:fill="FFFFFF" w:val="clear"/>
        </w:rPr>
        <w:t>Derivatives and Hedging.</w:t>
      </w:r>
      <w:r>
        <w:rPr>
          <w:rFonts w:ascii="Times New Roman" w:hAnsi="Times New Roman"/>
          <w:color w:val="000000"/>
          <w:sz w:val="20"/>
          <w:shd w:fill="FFFFFF" w:val="clear"/>
        </w:rPr>
        <w:t xml:space="preserve"> For assets for which the fair value option has been elected, the earned current contractual interest payment is recognized in interest income, loan origination costs and fees on fair value option loans are recognized in earnings as incurred and not deferred. At March 31, 2026, and December 31, 2025, there were no gains or losses recorded attributable to changes in instrument-specific credit risk. Fair value is determined using quoted prices for similar assets, adjusted for specific attributes of that loan. At March 31, 2026 and December 31, 2025, the aggregate fair value of loans held for sale for mandatory delivery was $15.5 million and $7.8 million, respectively. The aggregate unpaid principal balance as of the same dates was $15.3 million and $7.6 million, respectively, representing differences between fair value and unpaid principal balance of $194 thousand and $152 thousand, respectively. The Company had no loans held for sale for mandatory delivery designated as nonaccrual or 90 days or more past due at each of March 31, 2026 and December 31, 2025.</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total fair value option impact on noninterest income for loans held for sale for mandatory delivery is included in Net gain on sales of loans in the Consolidated Statements of Comprehensive Income. For each of the three months ended March 31, 2026 and 2025, the net (gain) loss amount totaled $(233) thousand and $(88) thousand, respectively.</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presents quantitative information about recurring and non-recurring Level 3 fair value measurements at the dates indicated (dollars in thousands):</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09" w:name="zdee11a18dcd542729cf0e851c863c831"/>
      <w:bookmarkStart w:id="110" w:name="zdee11a18dcd542729cf0e851c863c831"/>
      <w:bookmarkEnd w:id="110"/>
    </w:p>
    <w:tbl>
      <w:tblPr>
        <w:tblW w:w="10205" w:type="dxa"/>
        <w:jc w:val="center"/>
        <w:tblInd w:w="0" w:type="dxa"/>
        <w:tblLayout w:type="fixed"/>
        <w:tblCellMar>
          <w:top w:w="0" w:type="dxa"/>
          <w:left w:w="0" w:type="dxa"/>
          <w:bottom w:w="0" w:type="dxa"/>
          <w:right w:w="0" w:type="dxa"/>
        </w:tblCellMar>
      </w:tblPr>
      <w:tblGrid>
        <w:gridCol w:w="2121"/>
        <w:gridCol w:w="90"/>
        <w:gridCol w:w="170"/>
        <w:gridCol w:w="710"/>
        <w:gridCol w:w="90"/>
        <w:gridCol w:w="2772"/>
        <w:gridCol w:w="90"/>
        <w:gridCol w:w="2877"/>
        <w:gridCol w:w="90"/>
        <w:gridCol w:w="181"/>
        <w:gridCol w:w="1014"/>
      </w:tblGrid>
      <w:tr>
        <w:trPr/>
        <w:tc>
          <w:tcPr>
            <w:tcW w:w="21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90" w:type="dxa"/>
            <w:tcBorders/>
            <w:vAlign w:val="bottom"/>
          </w:tcPr>
          <w:p>
            <w:pPr>
              <w:pStyle w:val="TableContents"/>
              <w:bidi w:val="0"/>
              <w:spacing w:before="0" w:after="283"/>
              <w:jc w:val="left"/>
              <w:rPr/>
            </w:pPr>
            <w:r>
              <w:rPr/>
              <w:t> </w:t>
            </w:r>
          </w:p>
        </w:tc>
        <w:tc>
          <w:tcPr>
            <w:tcW w:w="2772"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Valuation</w:t>
            </w:r>
          </w:p>
          <w:p>
            <w:pPr>
              <w:pStyle w:val="TableContents"/>
              <w:bidi w:val="0"/>
              <w:spacing w:before="0" w:after="0"/>
              <w:jc w:val="center"/>
              <w:rPr>
                <w:b/>
                <w:color w:val="000000"/>
              </w:rPr>
            </w:pPr>
            <w:r>
              <w:rPr>
                <w:b/>
                <w:color w:val="000000"/>
              </w:rPr>
              <w:t>Techniques</w:t>
            </w:r>
          </w:p>
        </w:tc>
        <w:tc>
          <w:tcPr>
            <w:tcW w:w="90" w:type="dxa"/>
            <w:tcBorders/>
            <w:vAlign w:val="bottom"/>
          </w:tcPr>
          <w:p>
            <w:pPr>
              <w:pStyle w:val="TableContents"/>
              <w:bidi w:val="0"/>
              <w:spacing w:before="0" w:after="283"/>
              <w:jc w:val="left"/>
              <w:rPr/>
            </w:pPr>
            <w:r>
              <w:rPr/>
              <w:t> </w:t>
            </w:r>
          </w:p>
        </w:tc>
        <w:tc>
          <w:tcPr>
            <w:tcW w:w="2877"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Unobservable</w:t>
            </w:r>
          </w:p>
          <w:p>
            <w:pPr>
              <w:pStyle w:val="TableContents"/>
              <w:bidi w:val="0"/>
              <w:spacing w:before="0" w:after="0"/>
              <w:jc w:val="center"/>
              <w:rPr>
                <w:b/>
                <w:color w:val="000000"/>
              </w:rPr>
            </w:pPr>
            <w:r>
              <w:rPr>
                <w:b/>
                <w:color w:val="000000"/>
              </w:rPr>
              <w:t>Inputs</w:t>
            </w:r>
          </w:p>
        </w:tc>
        <w:tc>
          <w:tcPr>
            <w:tcW w:w="90" w:type="dxa"/>
            <w:tcBorders/>
            <w:vAlign w:val="bottom"/>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Range of</w:t>
            </w:r>
          </w:p>
          <w:p>
            <w:pPr>
              <w:pStyle w:val="TableContents"/>
              <w:bidi w:val="0"/>
              <w:spacing w:before="0" w:after="0"/>
              <w:jc w:val="center"/>
              <w:rPr>
                <w:b/>
                <w:color w:val="000000"/>
              </w:rPr>
            </w:pPr>
            <w:r>
              <w:rPr>
                <w:b/>
                <w:color w:val="000000"/>
              </w:rPr>
              <w:t>Discounts</w:t>
            </w:r>
          </w:p>
        </w:tc>
      </w:tr>
      <w:tr>
        <w:trPr/>
        <w:tc>
          <w:tcPr>
            <w:tcW w:w="2121" w:type="dxa"/>
            <w:tcBorders/>
            <w:vAlign w:val="bottom"/>
          </w:tcPr>
          <w:p>
            <w:pPr>
              <w:pStyle w:val="TableContents"/>
              <w:bidi w:val="0"/>
              <w:spacing w:before="0" w:after="0"/>
              <w:jc w:val="left"/>
              <w:rPr>
                <w:color w:val="000000"/>
                <w:u w:val="single"/>
              </w:rPr>
            </w:pPr>
            <w:r>
              <w:rPr>
                <w:color w:val="000000"/>
                <w:u w:val="single"/>
              </w:rPr>
              <w:t>March 31, 2026</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7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7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95" w:type="dxa"/>
            <w:gridSpan w:val="2"/>
            <w:tcBorders/>
            <w:vAlign w:val="bottom"/>
          </w:tcPr>
          <w:p>
            <w:pPr>
              <w:pStyle w:val="TableContents"/>
              <w:bidi w:val="0"/>
              <w:spacing w:before="0" w:after="283"/>
              <w:jc w:val="left"/>
              <w:rPr/>
            </w:pPr>
            <w:r>
              <w:rPr/>
              <w:t> </w:t>
            </w:r>
          </w:p>
        </w:tc>
      </w:tr>
      <w:tr>
        <w:trPr/>
        <w:tc>
          <w:tcPr>
            <w:tcW w:w="2121" w:type="dxa"/>
            <w:tcBorders/>
            <w:vAlign w:val="bottom"/>
          </w:tcPr>
          <w:p>
            <w:pPr>
              <w:pStyle w:val="TableContents"/>
              <w:bidi w:val="0"/>
              <w:spacing w:before="0" w:after="0"/>
              <w:ind w:left="144" w:right="0" w:hanging="144"/>
              <w:jc w:val="left"/>
              <w:rPr>
                <w:color w:val="000000"/>
              </w:rPr>
            </w:pPr>
            <w:r>
              <w:rPr>
                <w:color w:val="000000"/>
              </w:rPr>
              <w:t>Non-recurring:</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7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7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95" w:type="dxa"/>
            <w:gridSpan w:val="2"/>
            <w:tcBorders/>
            <w:vAlign w:val="bottom"/>
          </w:tcPr>
          <w:p>
            <w:pPr>
              <w:pStyle w:val="TableContents"/>
              <w:bidi w:val="0"/>
              <w:spacing w:before="0" w:after="283"/>
              <w:jc w:val="left"/>
              <w:rPr/>
            </w:pPr>
            <w:r>
              <w:rPr/>
              <w:t> </w:t>
            </w:r>
          </w:p>
        </w:tc>
      </w:tr>
      <w:tr>
        <w:trPr/>
        <w:tc>
          <w:tcPr>
            <w:tcW w:w="2121" w:type="dxa"/>
            <w:tcBorders/>
            <w:shd w:fill="CCEEFF" w:val="clear"/>
            <w:vAlign w:val="bottom"/>
          </w:tcPr>
          <w:p>
            <w:pPr>
              <w:pStyle w:val="TableContents"/>
              <w:bidi w:val="0"/>
              <w:spacing w:before="0" w:after="0"/>
              <w:ind w:left="144" w:right="0" w:hanging="144"/>
              <w:jc w:val="left"/>
              <w:rPr>
                <w:color w:val="000000"/>
              </w:rPr>
            </w:pPr>
            <w:r>
              <w:rPr>
                <w:color w:val="000000"/>
              </w:rPr>
              <w:t>Loans held for investment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2,344</w:t>
            </w:r>
          </w:p>
        </w:tc>
        <w:tc>
          <w:tcPr>
            <w:tcW w:w="90" w:type="dxa"/>
            <w:tcBorders/>
            <w:shd w:fill="CCEEFF" w:val="clear"/>
            <w:vAlign w:val="bottom"/>
          </w:tcPr>
          <w:p>
            <w:pPr>
              <w:pStyle w:val="TableContents"/>
              <w:bidi w:val="0"/>
              <w:spacing w:before="0" w:after="283"/>
              <w:jc w:val="left"/>
              <w:rPr/>
            </w:pPr>
            <w:r>
              <w:rPr/>
              <w:t> </w:t>
            </w:r>
          </w:p>
        </w:tc>
        <w:tc>
          <w:tcPr>
            <w:tcW w:w="2772" w:type="dxa"/>
            <w:tcBorders/>
            <w:shd w:fill="CCEEFF" w:val="clear"/>
            <w:vAlign w:val="bottom"/>
          </w:tcPr>
          <w:p>
            <w:pPr>
              <w:pStyle w:val="TableContents"/>
              <w:bidi w:val="0"/>
              <w:spacing w:before="0" w:after="0"/>
              <w:ind w:left="144" w:right="0" w:hanging="144"/>
              <w:jc w:val="left"/>
              <w:rPr>
                <w:color w:val="000000"/>
              </w:rPr>
            </w:pPr>
            <w:r>
              <w:rPr>
                <w:color w:val="000000"/>
              </w:rPr>
              <w:t>Third party appraisals or inspections</w:t>
            </w:r>
          </w:p>
        </w:tc>
        <w:tc>
          <w:tcPr>
            <w:tcW w:w="90" w:type="dxa"/>
            <w:tcBorders/>
            <w:shd w:fill="CCEEFF" w:val="clear"/>
            <w:vAlign w:val="bottom"/>
          </w:tcPr>
          <w:p>
            <w:pPr>
              <w:pStyle w:val="TableContents"/>
              <w:bidi w:val="0"/>
              <w:spacing w:before="0" w:after="283"/>
              <w:jc w:val="left"/>
              <w:rPr/>
            </w:pPr>
            <w:r>
              <w:rPr/>
              <w:t> </w:t>
            </w:r>
          </w:p>
        </w:tc>
        <w:tc>
          <w:tcPr>
            <w:tcW w:w="2877" w:type="dxa"/>
            <w:tcBorders/>
            <w:shd w:fill="CCEEFF" w:val="clear"/>
            <w:vAlign w:val="bottom"/>
          </w:tcPr>
          <w:p>
            <w:pPr>
              <w:pStyle w:val="TableContents"/>
              <w:bidi w:val="0"/>
              <w:spacing w:before="0" w:after="0"/>
              <w:ind w:left="144" w:right="0" w:hanging="144"/>
              <w:jc w:val="left"/>
              <w:rPr>
                <w:color w:val="000000"/>
              </w:rPr>
            </w:pPr>
            <w:r>
              <w:rPr>
                <w:color w:val="000000"/>
              </w:rPr>
              <w:t>Collateral discounts and selling costs</w:t>
            </w:r>
          </w:p>
        </w:tc>
        <w:tc>
          <w:tcPr>
            <w:tcW w:w="90" w:type="dxa"/>
            <w:tcBorders/>
            <w:shd w:fill="CCEEFF" w:val="clear"/>
            <w:vAlign w:val="bottom"/>
          </w:tcPr>
          <w:p>
            <w:pPr>
              <w:pStyle w:val="TableContents"/>
              <w:bidi w:val="0"/>
              <w:spacing w:before="0" w:after="283"/>
              <w:jc w:val="left"/>
              <w:rPr/>
            </w:pPr>
            <w:r>
              <w:rPr/>
              <w:t> </w:t>
            </w:r>
          </w:p>
        </w:tc>
        <w:tc>
          <w:tcPr>
            <w:tcW w:w="1195" w:type="dxa"/>
            <w:gridSpan w:val="2"/>
            <w:tcBorders/>
            <w:shd w:fill="CCEEFF" w:val="clear"/>
            <w:vAlign w:val="bottom"/>
          </w:tcPr>
          <w:p>
            <w:pPr>
              <w:pStyle w:val="TableContents"/>
              <w:bidi w:val="0"/>
              <w:spacing w:before="0" w:after="0"/>
              <w:jc w:val="right"/>
              <w:rPr>
                <w:color w:val="000000"/>
              </w:rPr>
            </w:pPr>
            <w:r>
              <w:rPr>
                <w:color w:val="000000"/>
              </w:rPr>
              <w:t>20% to 35%</w:t>
            </w:r>
          </w:p>
        </w:tc>
      </w:tr>
      <w:tr>
        <w:trPr/>
        <w:tc>
          <w:tcPr>
            <w:tcW w:w="2121" w:type="dxa"/>
            <w:tcBorders/>
            <w:vAlign w:val="bottom"/>
          </w:tcPr>
          <w:p>
            <w:pPr>
              <w:pStyle w:val="TableContents"/>
              <w:bidi w:val="0"/>
              <w:spacing w:before="0" w:after="0"/>
              <w:ind w:left="144" w:right="0" w:hanging="144"/>
              <w:jc w:val="left"/>
              <w:rPr>
                <w:color w:val="000000"/>
              </w:rPr>
            </w:pPr>
            <w:r>
              <w:rPr>
                <w:color w:val="000000"/>
              </w:rPr>
              <w:t>Recurring:</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277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7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95" w:type="dxa"/>
            <w:gridSpan w:val="2"/>
            <w:tcBorders/>
            <w:vAlign w:val="bottom"/>
          </w:tcPr>
          <w:p>
            <w:pPr>
              <w:pStyle w:val="TableContents"/>
              <w:bidi w:val="0"/>
              <w:spacing w:before="0" w:after="283"/>
              <w:jc w:val="right"/>
              <w:rPr/>
            </w:pPr>
            <w:r>
              <w:rPr/>
              <w:t> </w:t>
            </w:r>
          </w:p>
        </w:tc>
      </w:tr>
      <w:tr>
        <w:trPr/>
        <w:tc>
          <w:tcPr>
            <w:tcW w:w="2121" w:type="dxa"/>
            <w:tcBorders/>
            <w:shd w:fill="CCEEFF" w:val="clear"/>
            <w:vAlign w:val="bottom"/>
          </w:tcPr>
          <w:p>
            <w:pPr>
              <w:pStyle w:val="TableContents"/>
              <w:bidi w:val="0"/>
              <w:spacing w:before="0" w:after="0"/>
              <w:ind w:left="144" w:right="0" w:hanging="144"/>
              <w:jc w:val="left"/>
              <w:rPr>
                <w:color w:val="000000"/>
              </w:rPr>
            </w:pPr>
            <w:r>
              <w:rPr>
                <w:color w:val="000000"/>
              </w:rPr>
              <w:t>Mortgage servicing rights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24,611</w:t>
            </w:r>
          </w:p>
        </w:tc>
        <w:tc>
          <w:tcPr>
            <w:tcW w:w="90" w:type="dxa"/>
            <w:tcBorders/>
            <w:shd w:fill="CCEEFF" w:val="clear"/>
            <w:vAlign w:val="bottom"/>
          </w:tcPr>
          <w:p>
            <w:pPr>
              <w:pStyle w:val="TableContents"/>
              <w:bidi w:val="0"/>
              <w:spacing w:before="0" w:after="283"/>
              <w:jc w:val="left"/>
              <w:rPr/>
            </w:pPr>
            <w:r>
              <w:rPr/>
              <w:t> </w:t>
            </w:r>
          </w:p>
        </w:tc>
        <w:tc>
          <w:tcPr>
            <w:tcW w:w="2772" w:type="dxa"/>
            <w:tcBorders/>
            <w:shd w:fill="CCEEFF" w:val="clear"/>
            <w:vAlign w:val="bottom"/>
          </w:tcPr>
          <w:p>
            <w:pPr>
              <w:pStyle w:val="TableContents"/>
              <w:bidi w:val="0"/>
              <w:spacing w:before="0" w:after="0"/>
              <w:ind w:left="144" w:right="0" w:hanging="144"/>
              <w:jc w:val="left"/>
              <w:rPr>
                <w:color w:val="000000"/>
              </w:rPr>
            </w:pPr>
            <w:r>
              <w:rPr>
                <w:color w:val="000000"/>
              </w:rPr>
              <w:t>Discounted cash flows</w:t>
            </w:r>
          </w:p>
        </w:tc>
        <w:tc>
          <w:tcPr>
            <w:tcW w:w="90" w:type="dxa"/>
            <w:tcBorders/>
            <w:shd w:fill="CCEEFF" w:val="clear"/>
            <w:vAlign w:val="bottom"/>
          </w:tcPr>
          <w:p>
            <w:pPr>
              <w:pStyle w:val="TableContents"/>
              <w:bidi w:val="0"/>
              <w:spacing w:before="0" w:after="283"/>
              <w:jc w:val="left"/>
              <w:rPr/>
            </w:pPr>
            <w:r>
              <w:rPr/>
              <w:t> </w:t>
            </w:r>
          </w:p>
        </w:tc>
        <w:tc>
          <w:tcPr>
            <w:tcW w:w="2877" w:type="dxa"/>
            <w:tcBorders/>
            <w:shd w:fill="CCEEFF" w:val="clear"/>
            <w:vAlign w:val="bottom"/>
          </w:tcPr>
          <w:p>
            <w:pPr>
              <w:pStyle w:val="TableContents"/>
              <w:bidi w:val="0"/>
              <w:spacing w:before="0" w:after="0"/>
              <w:ind w:left="144" w:right="0" w:hanging="144"/>
              <w:jc w:val="left"/>
              <w:rPr>
                <w:color w:val="000000"/>
              </w:rPr>
            </w:pPr>
            <w:r>
              <w:rPr>
                <w:color w:val="000000"/>
              </w:rPr>
              <w:t>Constant prepayment rate</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right"/>
              <w:rPr/>
            </w:pPr>
            <w:r>
              <w:rPr/>
              <w:t> </w:t>
            </w:r>
          </w:p>
        </w:tc>
        <w:tc>
          <w:tcPr>
            <w:tcW w:w="1014" w:type="dxa"/>
            <w:tcBorders/>
            <w:shd w:fill="CCEEFF" w:val="clear"/>
            <w:vAlign w:val="bottom"/>
          </w:tcPr>
          <w:p>
            <w:pPr>
              <w:pStyle w:val="TableContents"/>
              <w:bidi w:val="0"/>
              <w:spacing w:before="0" w:after="0"/>
              <w:jc w:val="right"/>
              <w:rPr>
                <w:color w:val="000000"/>
              </w:rPr>
            </w:pPr>
            <w:r>
              <w:rPr>
                <w:color w:val="000000"/>
              </w:rPr>
              <w:t>7.27%</w:t>
            </w:r>
          </w:p>
        </w:tc>
      </w:tr>
      <w:tr>
        <w:trPr/>
        <w:tc>
          <w:tcPr>
            <w:tcW w:w="21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277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77" w:type="dxa"/>
            <w:tcBorders/>
            <w:vAlign w:val="bottom"/>
          </w:tcPr>
          <w:p>
            <w:pPr>
              <w:pStyle w:val="TableContents"/>
              <w:bidi w:val="0"/>
              <w:spacing w:before="0" w:after="0"/>
              <w:jc w:val="left"/>
              <w:rPr>
                <w:color w:val="000000"/>
              </w:rPr>
            </w:pPr>
            <w:r>
              <w:rPr>
                <w:color w:val="000000"/>
              </w:rPr>
              <w:t>Discount rate</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right"/>
              <w:rPr/>
            </w:pPr>
            <w:r>
              <w:rPr/>
              <w:t> </w:t>
            </w:r>
          </w:p>
        </w:tc>
        <w:tc>
          <w:tcPr>
            <w:tcW w:w="1014" w:type="dxa"/>
            <w:tcBorders/>
            <w:vAlign w:val="bottom"/>
          </w:tcPr>
          <w:p>
            <w:pPr>
              <w:pStyle w:val="TableContents"/>
              <w:bidi w:val="0"/>
              <w:spacing w:before="0" w:after="0"/>
              <w:jc w:val="right"/>
              <w:rPr>
                <w:color w:val="000000"/>
              </w:rPr>
            </w:pPr>
            <w:r>
              <w:rPr>
                <w:color w:val="000000"/>
              </w:rPr>
              <w:t>9.71%</w:t>
            </w:r>
          </w:p>
        </w:tc>
      </w:tr>
      <w:tr>
        <w:trPr/>
        <w:tc>
          <w:tcPr>
            <w:tcW w:w="21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2772"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77"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right"/>
              <w:rPr/>
            </w:pPr>
            <w:r>
              <w:rPr/>
              <w:t> </w:t>
            </w:r>
          </w:p>
        </w:tc>
        <w:tc>
          <w:tcPr>
            <w:tcW w:w="1014" w:type="dxa"/>
            <w:tcBorders/>
            <w:shd w:fill="CCEEFF" w:val="clear"/>
            <w:vAlign w:val="bottom"/>
          </w:tcPr>
          <w:p>
            <w:pPr>
              <w:pStyle w:val="TableContents"/>
              <w:bidi w:val="0"/>
              <w:spacing w:before="0" w:after="283"/>
              <w:jc w:val="right"/>
              <w:rPr/>
            </w:pPr>
            <w:r>
              <w:rPr/>
              <w:t> </w:t>
            </w:r>
          </w:p>
        </w:tc>
      </w:tr>
      <w:tr>
        <w:trPr/>
        <w:tc>
          <w:tcPr>
            <w:tcW w:w="2121" w:type="dxa"/>
            <w:tcBorders/>
            <w:vAlign w:val="bottom"/>
          </w:tcPr>
          <w:p>
            <w:pPr>
              <w:pStyle w:val="TableContents"/>
              <w:bidi w:val="0"/>
              <w:spacing w:before="0" w:after="0"/>
              <w:ind w:left="144" w:right="0" w:hanging="144"/>
              <w:jc w:val="left"/>
              <w:rPr>
                <w:color w:val="000000"/>
                <w:u w:val="single"/>
              </w:rPr>
            </w:pPr>
            <w:r>
              <w:rPr>
                <w:color w:val="000000"/>
                <w:u w:val="single"/>
              </w:rPr>
              <w:t>December 31, 2025</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277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7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right"/>
              <w:rPr/>
            </w:pPr>
            <w:r>
              <w:rPr/>
              <w:t> </w:t>
            </w:r>
          </w:p>
        </w:tc>
        <w:tc>
          <w:tcPr>
            <w:tcW w:w="1014" w:type="dxa"/>
            <w:tcBorders/>
            <w:vAlign w:val="bottom"/>
          </w:tcPr>
          <w:p>
            <w:pPr>
              <w:pStyle w:val="TableContents"/>
              <w:bidi w:val="0"/>
              <w:spacing w:before="0" w:after="283"/>
              <w:jc w:val="right"/>
              <w:rPr/>
            </w:pPr>
            <w:r>
              <w:rPr/>
              <w:t> </w:t>
            </w:r>
          </w:p>
        </w:tc>
      </w:tr>
      <w:tr>
        <w:trPr/>
        <w:tc>
          <w:tcPr>
            <w:tcW w:w="2121" w:type="dxa"/>
            <w:tcBorders/>
            <w:shd w:fill="CCEEFF" w:val="clear"/>
            <w:vAlign w:val="bottom"/>
          </w:tcPr>
          <w:p>
            <w:pPr>
              <w:pStyle w:val="TableContents"/>
              <w:bidi w:val="0"/>
              <w:spacing w:before="0" w:after="0"/>
              <w:ind w:left="144" w:right="0" w:hanging="144"/>
              <w:jc w:val="left"/>
              <w:rPr>
                <w:color w:val="000000"/>
              </w:rPr>
            </w:pPr>
            <w:r>
              <w:rPr>
                <w:color w:val="000000"/>
              </w:rPr>
              <w:t>Non-recurring:</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2772"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77"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right"/>
              <w:rPr/>
            </w:pPr>
            <w:r>
              <w:rPr/>
              <w:t> </w:t>
            </w:r>
          </w:p>
        </w:tc>
        <w:tc>
          <w:tcPr>
            <w:tcW w:w="1014" w:type="dxa"/>
            <w:tcBorders/>
            <w:shd w:fill="CCEEFF" w:val="clear"/>
            <w:vAlign w:val="bottom"/>
          </w:tcPr>
          <w:p>
            <w:pPr>
              <w:pStyle w:val="TableContents"/>
              <w:bidi w:val="0"/>
              <w:spacing w:before="0" w:after="283"/>
              <w:jc w:val="right"/>
              <w:rPr/>
            </w:pPr>
            <w:r>
              <w:rPr/>
              <w:t> </w:t>
            </w:r>
          </w:p>
        </w:tc>
      </w:tr>
      <w:tr>
        <w:trPr/>
        <w:tc>
          <w:tcPr>
            <w:tcW w:w="2121" w:type="dxa"/>
            <w:tcBorders/>
            <w:vAlign w:val="bottom"/>
          </w:tcPr>
          <w:p>
            <w:pPr>
              <w:pStyle w:val="TableContents"/>
              <w:bidi w:val="0"/>
              <w:spacing w:before="0" w:after="0"/>
              <w:ind w:left="144" w:right="0" w:hanging="144"/>
              <w:jc w:val="left"/>
              <w:rPr>
                <w:color w:val="000000"/>
              </w:rPr>
            </w:pPr>
            <w:r>
              <w:rPr>
                <w:color w:val="000000"/>
              </w:rPr>
              <w:t>Loans held for investment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710" w:type="dxa"/>
            <w:tcBorders/>
            <w:vAlign w:val="bottom"/>
          </w:tcPr>
          <w:p>
            <w:pPr>
              <w:pStyle w:val="TableContents"/>
              <w:bidi w:val="0"/>
              <w:spacing w:before="0" w:after="0"/>
              <w:jc w:val="right"/>
              <w:rPr>
                <w:color w:val="000000"/>
              </w:rPr>
            </w:pPr>
            <w:r>
              <w:rPr>
                <w:color w:val="000000"/>
              </w:rPr>
              <w:t>5,515</w:t>
            </w:r>
          </w:p>
        </w:tc>
        <w:tc>
          <w:tcPr>
            <w:tcW w:w="90" w:type="dxa"/>
            <w:tcBorders/>
            <w:vAlign w:val="bottom"/>
          </w:tcPr>
          <w:p>
            <w:pPr>
              <w:pStyle w:val="TableContents"/>
              <w:bidi w:val="0"/>
              <w:spacing w:before="0" w:after="283"/>
              <w:jc w:val="left"/>
              <w:rPr/>
            </w:pPr>
            <w:r>
              <w:rPr/>
              <w:t> </w:t>
            </w:r>
          </w:p>
        </w:tc>
        <w:tc>
          <w:tcPr>
            <w:tcW w:w="2772" w:type="dxa"/>
            <w:tcBorders/>
            <w:vAlign w:val="bottom"/>
          </w:tcPr>
          <w:p>
            <w:pPr>
              <w:pStyle w:val="TableContents"/>
              <w:bidi w:val="0"/>
              <w:spacing w:before="0" w:after="0"/>
              <w:ind w:left="144" w:right="0" w:hanging="144"/>
              <w:jc w:val="left"/>
              <w:rPr>
                <w:color w:val="000000"/>
              </w:rPr>
            </w:pPr>
            <w:r>
              <w:rPr>
                <w:color w:val="000000"/>
              </w:rPr>
              <w:t>Third party appraisals or inspections</w:t>
            </w:r>
          </w:p>
        </w:tc>
        <w:tc>
          <w:tcPr>
            <w:tcW w:w="90" w:type="dxa"/>
            <w:tcBorders/>
            <w:vAlign w:val="bottom"/>
          </w:tcPr>
          <w:p>
            <w:pPr>
              <w:pStyle w:val="TableContents"/>
              <w:bidi w:val="0"/>
              <w:spacing w:before="0" w:after="283"/>
              <w:jc w:val="left"/>
              <w:rPr/>
            </w:pPr>
            <w:r>
              <w:rPr/>
              <w:t> </w:t>
            </w:r>
          </w:p>
        </w:tc>
        <w:tc>
          <w:tcPr>
            <w:tcW w:w="2877" w:type="dxa"/>
            <w:tcBorders/>
            <w:vAlign w:val="bottom"/>
          </w:tcPr>
          <w:p>
            <w:pPr>
              <w:pStyle w:val="TableContents"/>
              <w:bidi w:val="0"/>
              <w:spacing w:before="0" w:after="0"/>
              <w:ind w:left="144" w:right="0" w:hanging="144"/>
              <w:jc w:val="left"/>
              <w:rPr>
                <w:color w:val="000000"/>
              </w:rPr>
            </w:pPr>
            <w:r>
              <w:rPr>
                <w:color w:val="000000"/>
              </w:rPr>
              <w:t>Collateral discounts and selling costs</w:t>
            </w:r>
          </w:p>
        </w:tc>
        <w:tc>
          <w:tcPr>
            <w:tcW w:w="90" w:type="dxa"/>
            <w:tcBorders/>
            <w:vAlign w:val="bottom"/>
          </w:tcPr>
          <w:p>
            <w:pPr>
              <w:pStyle w:val="TableContents"/>
              <w:bidi w:val="0"/>
              <w:spacing w:before="0" w:after="283"/>
              <w:jc w:val="left"/>
              <w:rPr/>
            </w:pPr>
            <w:r>
              <w:rPr/>
              <w:t> </w:t>
            </w:r>
          </w:p>
        </w:tc>
        <w:tc>
          <w:tcPr>
            <w:tcW w:w="1195" w:type="dxa"/>
            <w:gridSpan w:val="2"/>
            <w:tcBorders/>
            <w:vAlign w:val="bottom"/>
          </w:tcPr>
          <w:p>
            <w:pPr>
              <w:pStyle w:val="TableContents"/>
              <w:bidi w:val="0"/>
              <w:spacing w:before="0" w:after="0"/>
              <w:jc w:val="right"/>
              <w:rPr>
                <w:color w:val="000000"/>
              </w:rPr>
            </w:pPr>
            <w:r>
              <w:rPr>
                <w:color w:val="000000"/>
              </w:rPr>
              <w:t>20% to 60%</w:t>
            </w:r>
          </w:p>
        </w:tc>
      </w:tr>
      <w:tr>
        <w:trPr/>
        <w:tc>
          <w:tcPr>
            <w:tcW w:w="2121" w:type="dxa"/>
            <w:tcBorders/>
            <w:shd w:fill="CCEEFF" w:val="clear"/>
            <w:vAlign w:val="bottom"/>
          </w:tcPr>
          <w:p>
            <w:pPr>
              <w:pStyle w:val="TableContents"/>
              <w:bidi w:val="0"/>
              <w:spacing w:before="0" w:after="0"/>
              <w:ind w:left="144" w:right="0" w:hanging="144"/>
              <w:jc w:val="left"/>
              <w:rPr>
                <w:color w:val="000000"/>
              </w:rPr>
            </w:pPr>
            <w:r>
              <w:rPr>
                <w:color w:val="000000"/>
              </w:rPr>
              <w:t>Recurring:</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2772"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77"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right"/>
              <w:rPr/>
            </w:pPr>
            <w:r>
              <w:rPr/>
              <w:t> </w:t>
            </w:r>
          </w:p>
        </w:tc>
        <w:tc>
          <w:tcPr>
            <w:tcW w:w="1014" w:type="dxa"/>
            <w:tcBorders/>
            <w:shd w:fill="CCEEFF" w:val="clear"/>
            <w:vAlign w:val="bottom"/>
          </w:tcPr>
          <w:p>
            <w:pPr>
              <w:pStyle w:val="TableContents"/>
              <w:bidi w:val="0"/>
              <w:spacing w:before="0" w:after="283"/>
              <w:jc w:val="right"/>
              <w:rPr/>
            </w:pPr>
            <w:r>
              <w:rPr/>
              <w:t> </w:t>
            </w:r>
          </w:p>
        </w:tc>
      </w:tr>
      <w:tr>
        <w:trPr/>
        <w:tc>
          <w:tcPr>
            <w:tcW w:w="2121" w:type="dxa"/>
            <w:tcBorders/>
            <w:vAlign w:val="bottom"/>
          </w:tcPr>
          <w:p>
            <w:pPr>
              <w:pStyle w:val="TableContents"/>
              <w:bidi w:val="0"/>
              <w:spacing w:before="0" w:after="0"/>
              <w:ind w:left="144" w:right="0" w:hanging="144"/>
              <w:jc w:val="left"/>
              <w:rPr>
                <w:color w:val="000000"/>
              </w:rPr>
            </w:pPr>
            <w:r>
              <w:rPr>
                <w:color w:val="000000"/>
              </w:rPr>
              <w:t>Mortgage servicing rights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24,041</w:t>
            </w:r>
          </w:p>
        </w:tc>
        <w:tc>
          <w:tcPr>
            <w:tcW w:w="90" w:type="dxa"/>
            <w:tcBorders/>
            <w:vAlign w:val="bottom"/>
          </w:tcPr>
          <w:p>
            <w:pPr>
              <w:pStyle w:val="TableContents"/>
              <w:bidi w:val="0"/>
              <w:spacing w:before="0" w:after="283"/>
              <w:jc w:val="left"/>
              <w:rPr/>
            </w:pPr>
            <w:r>
              <w:rPr/>
              <w:t> </w:t>
            </w:r>
          </w:p>
        </w:tc>
        <w:tc>
          <w:tcPr>
            <w:tcW w:w="2772" w:type="dxa"/>
            <w:tcBorders/>
            <w:vAlign w:val="bottom"/>
          </w:tcPr>
          <w:p>
            <w:pPr>
              <w:pStyle w:val="TableContents"/>
              <w:bidi w:val="0"/>
              <w:spacing w:before="0" w:after="0"/>
              <w:ind w:left="144" w:right="0" w:hanging="144"/>
              <w:jc w:val="left"/>
              <w:rPr>
                <w:color w:val="000000"/>
              </w:rPr>
            </w:pPr>
            <w:r>
              <w:rPr>
                <w:color w:val="000000"/>
              </w:rPr>
              <w:t>Discounted cash flows</w:t>
            </w:r>
          </w:p>
        </w:tc>
        <w:tc>
          <w:tcPr>
            <w:tcW w:w="90" w:type="dxa"/>
            <w:tcBorders/>
            <w:vAlign w:val="bottom"/>
          </w:tcPr>
          <w:p>
            <w:pPr>
              <w:pStyle w:val="TableContents"/>
              <w:bidi w:val="0"/>
              <w:spacing w:before="0" w:after="283"/>
              <w:jc w:val="left"/>
              <w:rPr/>
            </w:pPr>
            <w:r>
              <w:rPr/>
              <w:t> </w:t>
            </w:r>
          </w:p>
        </w:tc>
        <w:tc>
          <w:tcPr>
            <w:tcW w:w="2877" w:type="dxa"/>
            <w:tcBorders/>
            <w:vAlign w:val="bottom"/>
          </w:tcPr>
          <w:p>
            <w:pPr>
              <w:pStyle w:val="TableContents"/>
              <w:bidi w:val="0"/>
              <w:spacing w:before="0" w:after="0"/>
              <w:ind w:left="144" w:right="0" w:hanging="144"/>
              <w:jc w:val="left"/>
              <w:rPr>
                <w:color w:val="000000"/>
              </w:rPr>
            </w:pPr>
            <w:r>
              <w:rPr>
                <w:color w:val="000000"/>
              </w:rPr>
              <w:t>Constant prepayment rate</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right"/>
              <w:rPr/>
            </w:pPr>
            <w:r>
              <w:rPr/>
              <w:t> </w:t>
            </w:r>
          </w:p>
        </w:tc>
        <w:tc>
          <w:tcPr>
            <w:tcW w:w="1014" w:type="dxa"/>
            <w:tcBorders/>
            <w:vAlign w:val="bottom"/>
          </w:tcPr>
          <w:p>
            <w:pPr>
              <w:pStyle w:val="TableContents"/>
              <w:bidi w:val="0"/>
              <w:spacing w:before="0" w:after="0"/>
              <w:jc w:val="right"/>
              <w:rPr>
                <w:color w:val="000000"/>
              </w:rPr>
            </w:pPr>
            <w:r>
              <w:rPr>
                <w:color w:val="000000"/>
              </w:rPr>
              <w:t>8.81%</w:t>
            </w:r>
          </w:p>
        </w:tc>
      </w:tr>
      <w:tr>
        <w:trPr/>
        <w:tc>
          <w:tcPr>
            <w:tcW w:w="21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2772"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77" w:type="dxa"/>
            <w:tcBorders/>
            <w:shd w:fill="CCEEFF" w:val="clear"/>
            <w:vAlign w:val="bottom"/>
          </w:tcPr>
          <w:p>
            <w:pPr>
              <w:pStyle w:val="TableContents"/>
              <w:bidi w:val="0"/>
              <w:spacing w:before="0" w:after="0"/>
              <w:ind w:left="144" w:right="0" w:hanging="144"/>
              <w:jc w:val="left"/>
              <w:rPr>
                <w:color w:val="000000"/>
              </w:rPr>
            </w:pPr>
            <w:r>
              <w:rPr>
                <w:color w:val="000000"/>
              </w:rPr>
              <w:t>Discount rate</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right"/>
              <w:rPr/>
            </w:pPr>
            <w:r>
              <w:rPr/>
              <w:t> </w:t>
            </w:r>
          </w:p>
        </w:tc>
        <w:tc>
          <w:tcPr>
            <w:tcW w:w="1014" w:type="dxa"/>
            <w:tcBorders/>
            <w:shd w:fill="CCEEFF" w:val="clear"/>
            <w:vAlign w:val="bottom"/>
          </w:tcPr>
          <w:p>
            <w:pPr>
              <w:pStyle w:val="TableContents"/>
              <w:bidi w:val="0"/>
              <w:spacing w:before="0" w:after="0"/>
              <w:jc w:val="right"/>
              <w:rPr>
                <w:color w:val="000000"/>
              </w:rPr>
            </w:pPr>
            <w:r>
              <w:rPr>
                <w:color w:val="000000"/>
              </w:rPr>
              <w:t>9.70%</w:t>
            </w:r>
          </w:p>
        </w:tc>
      </w:tr>
    </w:tbl>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24</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estimated fair values, and related carrying amounts, of the Company’s financial instruments that are not previously disclosed in the recurring fair values section are as follows (dollars in thousands):</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11" w:name="zf3ac4f58960847a3bc1a5640f41e8f97"/>
      <w:bookmarkStart w:id="112" w:name="zf3ac4f58960847a3bc1a5640f41e8f97"/>
      <w:bookmarkEnd w:id="112"/>
    </w:p>
    <w:tbl>
      <w:tblPr>
        <w:tblW w:w="10205" w:type="dxa"/>
        <w:jc w:val="center"/>
        <w:tblInd w:w="0" w:type="dxa"/>
        <w:tblLayout w:type="fixed"/>
        <w:tblCellMar>
          <w:top w:w="0" w:type="dxa"/>
          <w:left w:w="0" w:type="dxa"/>
          <w:bottom w:w="0" w:type="dxa"/>
          <w:right w:w="0" w:type="dxa"/>
        </w:tblCellMar>
      </w:tblPr>
      <w:tblGrid>
        <w:gridCol w:w="3540"/>
        <w:gridCol w:w="90"/>
        <w:gridCol w:w="170"/>
        <w:gridCol w:w="1010"/>
        <w:gridCol w:w="90"/>
        <w:gridCol w:w="90"/>
        <w:gridCol w:w="170"/>
        <w:gridCol w:w="830"/>
        <w:gridCol w:w="90"/>
        <w:gridCol w:w="90"/>
        <w:gridCol w:w="170"/>
        <w:gridCol w:w="1010"/>
        <w:gridCol w:w="90"/>
        <w:gridCol w:w="90"/>
        <w:gridCol w:w="170"/>
        <w:gridCol w:w="1010"/>
        <w:gridCol w:w="90"/>
        <w:gridCol w:w="90"/>
        <w:gridCol w:w="170"/>
        <w:gridCol w:w="1010"/>
        <w:gridCol w:w="135"/>
      </w:tblGrid>
      <w:tr>
        <w:trPr/>
        <w:tc>
          <w:tcPr>
            <w:tcW w:w="35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Carrying</w:t>
            </w:r>
          </w:p>
          <w:p>
            <w:pPr>
              <w:pStyle w:val="TableContents"/>
              <w:bidi w:val="0"/>
              <w:spacing w:before="0" w:after="0"/>
              <w:jc w:val="center"/>
              <w:rPr>
                <w:b/>
                <w:color w:val="000000"/>
              </w:rPr>
            </w:pPr>
            <w:r>
              <w:rPr>
                <w:b/>
                <w:color w:val="000000"/>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p>
            <w:pPr>
              <w:pStyle w:val="TableContents"/>
              <w:bidi w:val="0"/>
              <w:spacing w:before="0" w:after="0"/>
              <w:jc w:val="center"/>
              <w:rPr>
                <w:b/>
                <w:color w:val="000000"/>
              </w:rPr>
            </w:pPr>
            <w:r>
              <w:rPr>
                <w:b/>
                <w:color w:val="000000"/>
              </w:rPr>
              <w:t>Fair Value</w:t>
            </w:r>
          </w:p>
        </w:tc>
        <w:tc>
          <w:tcPr>
            <w:tcW w:w="135" w:type="dxa"/>
            <w:tcBorders/>
            <w:vAlign w:val="bottom"/>
          </w:tcPr>
          <w:p>
            <w:pPr>
              <w:pStyle w:val="TableContents"/>
              <w:bidi w:val="0"/>
              <w:spacing w:before="0" w:after="283"/>
              <w:jc w:val="left"/>
              <w:rPr/>
            </w:pPr>
            <w:r>
              <w:rPr/>
              <w:t> </w:t>
            </w:r>
          </w:p>
        </w:tc>
      </w:tr>
      <w:tr>
        <w:trPr/>
        <w:tc>
          <w:tcPr>
            <w:tcW w:w="35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3540" w:type="dxa"/>
            <w:tcBorders/>
            <w:vAlign w:val="bottom"/>
          </w:tcPr>
          <w:p>
            <w:pPr>
              <w:pStyle w:val="TableContents"/>
              <w:bidi w:val="0"/>
              <w:spacing w:before="0" w:after="0"/>
              <w:jc w:val="left"/>
              <w:rPr>
                <w:color w:val="000000"/>
                <w:u w:val="single"/>
              </w:rPr>
            </w:pPr>
            <w:r>
              <w:rPr>
                <w:color w:val="000000"/>
                <w:u w:val="single"/>
              </w:rPr>
              <w:t>March 31, 2026</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3540" w:type="dxa"/>
            <w:tcBorders/>
            <w:vAlign w:val="bottom"/>
          </w:tcPr>
          <w:p>
            <w:pPr>
              <w:pStyle w:val="TableContents"/>
              <w:bidi w:val="0"/>
              <w:spacing w:before="0" w:after="0"/>
              <w:jc w:val="left"/>
              <w:rPr>
                <w:color w:val="000000"/>
              </w:rPr>
            </w:pPr>
            <w:r>
              <w:rPr>
                <w:color w:val="000000"/>
              </w:rPr>
              <w:t>Financial assets:</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3540" w:type="dxa"/>
            <w:tcBorders/>
            <w:shd w:fill="CCEEFF" w:val="clear"/>
            <w:vAlign w:val="bottom"/>
          </w:tcPr>
          <w:p>
            <w:pPr>
              <w:pStyle w:val="TableContents"/>
              <w:bidi w:val="0"/>
              <w:spacing w:before="0" w:after="0"/>
              <w:ind w:left="288" w:right="0" w:hanging="144"/>
              <w:jc w:val="left"/>
              <w:rPr>
                <w:color w:val="000000"/>
              </w:rPr>
            </w:pPr>
            <w:r>
              <w:rPr>
                <w:color w:val="000000"/>
              </w:rPr>
              <w:t>Cash and cash equivalents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722,000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722,000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722,000</w:t>
            </w:r>
          </w:p>
        </w:tc>
        <w:tc>
          <w:tcPr>
            <w:tcW w:w="135" w:type="dxa"/>
            <w:tcBorders/>
            <w:shd w:fill="CCEEFF" w:val="clear"/>
            <w:vAlign w:val="bottom"/>
          </w:tcPr>
          <w:p>
            <w:pPr>
              <w:pStyle w:val="TableContents"/>
              <w:bidi w:val="0"/>
              <w:spacing w:before="0" w:after="283"/>
              <w:jc w:val="left"/>
              <w:rPr/>
            </w:pPr>
            <w:r>
              <w:rPr/>
              <w:t> </w:t>
            </w:r>
          </w:p>
        </w:tc>
      </w:tr>
      <w:tr>
        <w:trPr/>
        <w:tc>
          <w:tcPr>
            <w:tcW w:w="3540" w:type="dxa"/>
            <w:tcBorders/>
            <w:vAlign w:val="bottom"/>
          </w:tcPr>
          <w:p>
            <w:pPr>
              <w:pStyle w:val="TableContents"/>
              <w:bidi w:val="0"/>
              <w:spacing w:before="0" w:after="0"/>
              <w:ind w:left="288" w:right="0" w:hanging="144"/>
              <w:jc w:val="left"/>
              <w:rPr>
                <w:color w:val="000000"/>
              </w:rPr>
            </w:pPr>
            <w:r>
              <w:rPr>
                <w:color w:val="000000"/>
              </w:rPr>
              <w:t>Loans held for investment, net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3,058,707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3,040,850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3,040,850</w:t>
            </w:r>
          </w:p>
        </w:tc>
        <w:tc>
          <w:tcPr>
            <w:tcW w:w="135" w:type="dxa"/>
            <w:tcBorders/>
            <w:vAlign w:val="bottom"/>
          </w:tcPr>
          <w:p>
            <w:pPr>
              <w:pStyle w:val="TableContents"/>
              <w:bidi w:val="0"/>
              <w:spacing w:before="0" w:after="283"/>
              <w:jc w:val="left"/>
              <w:rPr/>
            </w:pPr>
            <w:r>
              <w:rPr/>
              <w:t> </w:t>
            </w:r>
          </w:p>
        </w:tc>
      </w:tr>
      <w:tr>
        <w:trPr/>
        <w:tc>
          <w:tcPr>
            <w:tcW w:w="3540" w:type="dxa"/>
            <w:tcBorders/>
            <w:shd w:fill="CCEEFF" w:val="clear"/>
            <w:vAlign w:val="bottom"/>
          </w:tcPr>
          <w:p>
            <w:pPr>
              <w:pStyle w:val="TableContents"/>
              <w:bidi w:val="0"/>
              <w:spacing w:before="0" w:after="0"/>
              <w:ind w:left="288" w:right="0" w:hanging="144"/>
              <w:jc w:val="left"/>
              <w:rPr>
                <w:color w:val="000000"/>
              </w:rPr>
            </w:pPr>
            <w:r>
              <w:rPr>
                <w:color w:val="000000"/>
              </w:rPr>
              <w:t>Loans held for sale (best efforts)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1,732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1,757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1,757</w:t>
            </w:r>
          </w:p>
        </w:tc>
        <w:tc>
          <w:tcPr>
            <w:tcW w:w="135" w:type="dxa"/>
            <w:tcBorders/>
            <w:shd w:fill="CCEEFF" w:val="clear"/>
            <w:vAlign w:val="bottom"/>
          </w:tcPr>
          <w:p>
            <w:pPr>
              <w:pStyle w:val="TableContents"/>
              <w:bidi w:val="0"/>
              <w:spacing w:before="0" w:after="283"/>
              <w:jc w:val="left"/>
              <w:rPr/>
            </w:pPr>
            <w:r>
              <w:rPr/>
              <w:t> </w:t>
            </w:r>
          </w:p>
        </w:tc>
      </w:tr>
      <w:tr>
        <w:trPr/>
        <w:tc>
          <w:tcPr>
            <w:tcW w:w="3540" w:type="dxa"/>
            <w:tcBorders/>
            <w:vAlign w:val="bottom"/>
          </w:tcPr>
          <w:p>
            <w:pPr>
              <w:pStyle w:val="TableContents"/>
              <w:bidi w:val="0"/>
              <w:spacing w:before="0" w:after="0"/>
              <w:ind w:left="288" w:right="0" w:hanging="144"/>
              <w:jc w:val="left"/>
              <w:rPr>
                <w:color w:val="000000"/>
              </w:rPr>
            </w:pPr>
            <w:r>
              <w:rPr>
                <w:color w:val="000000"/>
              </w:rPr>
              <w:t>Accrued interest receivable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17,009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17,009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17,009</w:t>
            </w:r>
          </w:p>
        </w:tc>
        <w:tc>
          <w:tcPr>
            <w:tcW w:w="135" w:type="dxa"/>
            <w:tcBorders/>
            <w:vAlign w:val="bottom"/>
          </w:tcPr>
          <w:p>
            <w:pPr>
              <w:pStyle w:val="TableContents"/>
              <w:bidi w:val="0"/>
              <w:spacing w:before="0" w:after="283"/>
              <w:jc w:val="left"/>
              <w:rPr/>
            </w:pPr>
            <w:r>
              <w:rPr/>
              <w:t> </w:t>
            </w:r>
          </w:p>
        </w:tc>
      </w:tr>
      <w:tr>
        <w:trPr/>
        <w:tc>
          <w:tcPr>
            <w:tcW w:w="3540" w:type="dxa"/>
            <w:tcBorders/>
            <w:shd w:fill="CCEEFF" w:val="clear"/>
            <w:vAlign w:val="bottom"/>
          </w:tcPr>
          <w:p>
            <w:pPr>
              <w:pStyle w:val="TableContents"/>
              <w:bidi w:val="0"/>
              <w:spacing w:before="0" w:after="0"/>
              <w:ind w:left="144" w:right="0" w:hanging="144"/>
              <w:jc w:val="left"/>
              <w:rPr>
                <w:color w:val="000000"/>
              </w:rPr>
            </w:pPr>
            <w:r>
              <w:rPr>
                <w:color w:val="000000"/>
              </w:rPr>
              <w:t>Financial liabilities: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3540" w:type="dxa"/>
            <w:tcBorders/>
            <w:vAlign w:val="bottom"/>
          </w:tcPr>
          <w:p>
            <w:pPr>
              <w:pStyle w:val="TableContents"/>
              <w:bidi w:val="0"/>
              <w:spacing w:before="0" w:after="0"/>
              <w:ind w:left="288" w:right="0" w:hanging="144"/>
              <w:jc w:val="left"/>
              <w:rPr>
                <w:color w:val="000000"/>
              </w:rPr>
            </w:pPr>
            <w:r>
              <w:rPr>
                <w:color w:val="000000"/>
              </w:rPr>
              <w:t>Deposits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4,027,586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4,027,579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4,027,579</w:t>
            </w:r>
          </w:p>
        </w:tc>
        <w:tc>
          <w:tcPr>
            <w:tcW w:w="135" w:type="dxa"/>
            <w:tcBorders/>
            <w:vAlign w:val="bottom"/>
          </w:tcPr>
          <w:p>
            <w:pPr>
              <w:pStyle w:val="TableContents"/>
              <w:bidi w:val="0"/>
              <w:spacing w:before="0" w:after="283"/>
              <w:jc w:val="left"/>
              <w:rPr/>
            </w:pPr>
            <w:r>
              <w:rPr/>
              <w:t> </w:t>
            </w:r>
          </w:p>
        </w:tc>
      </w:tr>
      <w:tr>
        <w:trPr/>
        <w:tc>
          <w:tcPr>
            <w:tcW w:w="3540" w:type="dxa"/>
            <w:tcBorders/>
            <w:shd w:fill="CCEEFF" w:val="clear"/>
            <w:vAlign w:val="bottom"/>
          </w:tcPr>
          <w:p>
            <w:pPr>
              <w:pStyle w:val="TableContents"/>
              <w:bidi w:val="0"/>
              <w:spacing w:before="0" w:after="0"/>
              <w:ind w:left="288" w:right="0" w:hanging="144"/>
              <w:jc w:val="left"/>
              <w:rPr>
                <w:color w:val="000000"/>
              </w:rPr>
            </w:pPr>
            <w:r>
              <w:rPr>
                <w:color w:val="000000"/>
              </w:rPr>
              <w:t>Accrued interest payable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4,578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4,578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4,578</w:t>
            </w:r>
          </w:p>
        </w:tc>
        <w:tc>
          <w:tcPr>
            <w:tcW w:w="135" w:type="dxa"/>
            <w:tcBorders/>
            <w:shd w:fill="CCEEFF" w:val="clear"/>
            <w:vAlign w:val="bottom"/>
          </w:tcPr>
          <w:p>
            <w:pPr>
              <w:pStyle w:val="TableContents"/>
              <w:bidi w:val="0"/>
              <w:spacing w:before="0" w:after="283"/>
              <w:jc w:val="left"/>
              <w:rPr/>
            </w:pPr>
            <w:r>
              <w:rPr/>
              <w:t> </w:t>
            </w:r>
          </w:p>
        </w:tc>
      </w:tr>
      <w:tr>
        <w:trPr/>
        <w:tc>
          <w:tcPr>
            <w:tcW w:w="3540" w:type="dxa"/>
            <w:tcBorders/>
            <w:vAlign w:val="bottom"/>
          </w:tcPr>
          <w:p>
            <w:pPr>
              <w:pStyle w:val="TableContents"/>
              <w:bidi w:val="0"/>
              <w:spacing w:before="0" w:after="0"/>
              <w:ind w:left="288" w:right="0" w:hanging="144"/>
              <w:jc w:val="left"/>
              <w:rPr>
                <w:color w:val="000000"/>
              </w:rPr>
            </w:pPr>
            <w:r>
              <w:rPr>
                <w:color w:val="000000"/>
              </w:rPr>
              <w:t>Junior subordinated deferrable interest debentures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46,393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35,169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35,169</w:t>
            </w:r>
          </w:p>
        </w:tc>
        <w:tc>
          <w:tcPr>
            <w:tcW w:w="135" w:type="dxa"/>
            <w:tcBorders/>
            <w:vAlign w:val="bottom"/>
          </w:tcPr>
          <w:p>
            <w:pPr>
              <w:pStyle w:val="TableContents"/>
              <w:bidi w:val="0"/>
              <w:spacing w:before="0" w:after="283"/>
              <w:jc w:val="left"/>
              <w:rPr/>
            </w:pPr>
            <w:r>
              <w:rPr/>
              <w:t> </w:t>
            </w:r>
          </w:p>
        </w:tc>
      </w:tr>
      <w:tr>
        <w:trPr/>
        <w:tc>
          <w:tcPr>
            <w:tcW w:w="3540" w:type="dxa"/>
            <w:tcBorders/>
            <w:shd w:fill="CCEEFF" w:val="clear"/>
            <w:vAlign w:val="bottom"/>
          </w:tcPr>
          <w:p>
            <w:pPr>
              <w:pStyle w:val="TableContents"/>
              <w:bidi w:val="0"/>
              <w:spacing w:before="0" w:after="0"/>
              <w:ind w:left="288" w:right="0" w:hanging="144"/>
              <w:jc w:val="left"/>
              <w:rPr>
                <w:color w:val="000000"/>
              </w:rPr>
            </w:pPr>
            <w:r>
              <w:rPr>
                <w:color w:val="000000"/>
              </w:rPr>
              <w:t>Subordinated debt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14,100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13,246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13,246</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13" w:name="zb687091c8d3f4120bd05d76c0a8cfd04"/>
      <w:bookmarkStart w:id="114" w:name="zb687091c8d3f4120bd05d76c0a8cfd04"/>
      <w:bookmarkEnd w:id="114"/>
    </w:p>
    <w:tbl>
      <w:tblPr>
        <w:tblW w:w="10205" w:type="dxa"/>
        <w:jc w:val="center"/>
        <w:tblInd w:w="0" w:type="dxa"/>
        <w:tblLayout w:type="fixed"/>
        <w:tblCellMar>
          <w:top w:w="0" w:type="dxa"/>
          <w:left w:w="0" w:type="dxa"/>
          <w:bottom w:w="0" w:type="dxa"/>
          <w:right w:w="0" w:type="dxa"/>
        </w:tblCellMar>
      </w:tblPr>
      <w:tblGrid>
        <w:gridCol w:w="3540"/>
        <w:gridCol w:w="90"/>
        <w:gridCol w:w="170"/>
        <w:gridCol w:w="1010"/>
        <w:gridCol w:w="90"/>
        <w:gridCol w:w="90"/>
        <w:gridCol w:w="170"/>
        <w:gridCol w:w="830"/>
        <w:gridCol w:w="90"/>
        <w:gridCol w:w="90"/>
        <w:gridCol w:w="170"/>
        <w:gridCol w:w="1010"/>
        <w:gridCol w:w="90"/>
        <w:gridCol w:w="90"/>
        <w:gridCol w:w="170"/>
        <w:gridCol w:w="1010"/>
        <w:gridCol w:w="90"/>
        <w:gridCol w:w="90"/>
        <w:gridCol w:w="170"/>
        <w:gridCol w:w="1010"/>
        <w:gridCol w:w="135"/>
      </w:tblGrid>
      <w:tr>
        <w:trPr/>
        <w:tc>
          <w:tcPr>
            <w:tcW w:w="35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3540" w:type="dxa"/>
            <w:tcBorders/>
            <w:vAlign w:val="bottom"/>
          </w:tcPr>
          <w:p>
            <w:pPr>
              <w:pStyle w:val="TableContents"/>
              <w:bidi w:val="0"/>
              <w:spacing w:before="0" w:after="0"/>
              <w:jc w:val="left"/>
              <w:rPr>
                <w:color w:val="000000"/>
                <w:u w:val="single"/>
              </w:rPr>
            </w:pPr>
            <w:r>
              <w:rPr>
                <w:color w:val="000000"/>
                <w:u w:val="single"/>
              </w:rPr>
              <w:t>December 31, 2025</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3540" w:type="dxa"/>
            <w:tcBorders/>
            <w:vAlign w:val="bottom"/>
          </w:tcPr>
          <w:p>
            <w:pPr>
              <w:pStyle w:val="TableContents"/>
              <w:bidi w:val="0"/>
              <w:spacing w:before="0" w:after="0"/>
              <w:jc w:val="left"/>
              <w:rPr>
                <w:color w:val="000000"/>
              </w:rPr>
            </w:pPr>
            <w:r>
              <w:rPr>
                <w:color w:val="000000"/>
              </w:rPr>
              <w:t>Financial assets:</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3540" w:type="dxa"/>
            <w:tcBorders/>
            <w:shd w:fill="CCEEFF" w:val="clear"/>
            <w:vAlign w:val="bottom"/>
          </w:tcPr>
          <w:p>
            <w:pPr>
              <w:pStyle w:val="TableContents"/>
              <w:bidi w:val="0"/>
              <w:spacing w:before="0" w:after="0"/>
              <w:ind w:left="288" w:right="0" w:hanging="144"/>
              <w:jc w:val="left"/>
              <w:rPr>
                <w:color w:val="000000"/>
              </w:rPr>
            </w:pPr>
            <w:r>
              <w:rPr>
                <w:color w:val="000000"/>
              </w:rPr>
              <w:t>Cash and cash equivalents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552,439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552,439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552,439</w:t>
            </w:r>
          </w:p>
        </w:tc>
        <w:tc>
          <w:tcPr>
            <w:tcW w:w="135" w:type="dxa"/>
            <w:tcBorders/>
            <w:shd w:fill="CCEEFF" w:val="clear"/>
            <w:vAlign w:val="bottom"/>
          </w:tcPr>
          <w:p>
            <w:pPr>
              <w:pStyle w:val="TableContents"/>
              <w:bidi w:val="0"/>
              <w:spacing w:before="0" w:after="283"/>
              <w:jc w:val="left"/>
              <w:rPr/>
            </w:pPr>
            <w:r>
              <w:rPr/>
              <w:t> </w:t>
            </w:r>
          </w:p>
        </w:tc>
      </w:tr>
      <w:tr>
        <w:trPr/>
        <w:tc>
          <w:tcPr>
            <w:tcW w:w="3540" w:type="dxa"/>
            <w:tcBorders/>
            <w:vAlign w:val="bottom"/>
          </w:tcPr>
          <w:p>
            <w:pPr>
              <w:pStyle w:val="TableContents"/>
              <w:bidi w:val="0"/>
              <w:spacing w:before="0" w:after="0"/>
              <w:ind w:left="288" w:right="0" w:hanging="144"/>
              <w:jc w:val="left"/>
              <w:rPr>
                <w:color w:val="000000"/>
              </w:rPr>
            </w:pPr>
            <w:r>
              <w:rPr>
                <w:color w:val="000000"/>
              </w:rPr>
              <w:t>Loans held for investment, net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3,099,371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3,082,072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3,082,072</w:t>
            </w:r>
          </w:p>
        </w:tc>
        <w:tc>
          <w:tcPr>
            <w:tcW w:w="135" w:type="dxa"/>
            <w:tcBorders/>
            <w:vAlign w:val="bottom"/>
          </w:tcPr>
          <w:p>
            <w:pPr>
              <w:pStyle w:val="TableContents"/>
              <w:bidi w:val="0"/>
              <w:spacing w:before="0" w:after="283"/>
              <w:jc w:val="left"/>
              <w:rPr/>
            </w:pPr>
            <w:r>
              <w:rPr/>
              <w:t> </w:t>
            </w:r>
          </w:p>
        </w:tc>
      </w:tr>
      <w:tr>
        <w:trPr/>
        <w:tc>
          <w:tcPr>
            <w:tcW w:w="3540" w:type="dxa"/>
            <w:tcBorders/>
            <w:shd w:fill="CCEEFF" w:val="clear"/>
            <w:vAlign w:val="bottom"/>
          </w:tcPr>
          <w:p>
            <w:pPr>
              <w:pStyle w:val="TableContents"/>
              <w:bidi w:val="0"/>
              <w:spacing w:before="0" w:after="0"/>
              <w:ind w:left="288" w:right="0" w:hanging="144"/>
              <w:jc w:val="left"/>
              <w:rPr>
                <w:color w:val="000000"/>
              </w:rPr>
            </w:pPr>
            <w:r>
              <w:rPr>
                <w:color w:val="000000"/>
              </w:rPr>
              <w:t>Loans held for sale (best efforts)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2,197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2,237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2,237</w:t>
            </w:r>
          </w:p>
        </w:tc>
        <w:tc>
          <w:tcPr>
            <w:tcW w:w="135" w:type="dxa"/>
            <w:tcBorders/>
            <w:shd w:fill="CCEEFF" w:val="clear"/>
            <w:vAlign w:val="bottom"/>
          </w:tcPr>
          <w:p>
            <w:pPr>
              <w:pStyle w:val="TableContents"/>
              <w:bidi w:val="0"/>
              <w:spacing w:before="0" w:after="283"/>
              <w:jc w:val="left"/>
              <w:rPr/>
            </w:pPr>
            <w:r>
              <w:rPr/>
              <w:t> </w:t>
            </w:r>
          </w:p>
        </w:tc>
      </w:tr>
      <w:tr>
        <w:trPr/>
        <w:tc>
          <w:tcPr>
            <w:tcW w:w="3540" w:type="dxa"/>
            <w:tcBorders/>
            <w:vAlign w:val="bottom"/>
          </w:tcPr>
          <w:p>
            <w:pPr>
              <w:pStyle w:val="TableContents"/>
              <w:bidi w:val="0"/>
              <w:spacing w:before="0" w:after="0"/>
              <w:ind w:left="288" w:right="0" w:hanging="144"/>
              <w:jc w:val="left"/>
              <w:rPr>
                <w:color w:val="000000"/>
              </w:rPr>
            </w:pPr>
            <w:r>
              <w:rPr>
                <w:color w:val="000000"/>
              </w:rPr>
              <w:t>Accrued interest receivable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20,931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20,931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20,931</w:t>
            </w:r>
          </w:p>
        </w:tc>
        <w:tc>
          <w:tcPr>
            <w:tcW w:w="135" w:type="dxa"/>
            <w:tcBorders/>
            <w:vAlign w:val="bottom"/>
          </w:tcPr>
          <w:p>
            <w:pPr>
              <w:pStyle w:val="TableContents"/>
              <w:bidi w:val="0"/>
              <w:spacing w:before="0" w:after="283"/>
              <w:jc w:val="left"/>
              <w:rPr/>
            </w:pPr>
            <w:r>
              <w:rPr/>
              <w:t> </w:t>
            </w:r>
          </w:p>
        </w:tc>
      </w:tr>
      <w:tr>
        <w:trPr/>
        <w:tc>
          <w:tcPr>
            <w:tcW w:w="3540" w:type="dxa"/>
            <w:tcBorders/>
            <w:shd w:fill="CCEEFF" w:val="clear"/>
            <w:vAlign w:val="bottom"/>
          </w:tcPr>
          <w:p>
            <w:pPr>
              <w:pStyle w:val="TableContents"/>
              <w:bidi w:val="0"/>
              <w:spacing w:before="0" w:after="0"/>
              <w:ind w:left="144" w:right="0" w:hanging="144"/>
              <w:jc w:val="left"/>
              <w:rPr>
                <w:color w:val="000000"/>
              </w:rPr>
            </w:pPr>
            <w:r>
              <w:rPr>
                <w:color w:val="000000"/>
              </w:rPr>
              <w:t>Financial liabilities: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3540" w:type="dxa"/>
            <w:tcBorders/>
            <w:vAlign w:val="bottom"/>
          </w:tcPr>
          <w:p>
            <w:pPr>
              <w:pStyle w:val="TableContents"/>
              <w:bidi w:val="0"/>
              <w:spacing w:before="0" w:after="0"/>
              <w:ind w:left="288" w:right="0" w:hanging="144"/>
              <w:jc w:val="left"/>
              <w:rPr>
                <w:color w:val="000000"/>
              </w:rPr>
            </w:pPr>
            <w:r>
              <w:rPr>
                <w:color w:val="000000"/>
              </w:rPr>
              <w:t>Deposits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3,874,077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3,873,806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3,873,806</w:t>
            </w:r>
          </w:p>
        </w:tc>
        <w:tc>
          <w:tcPr>
            <w:tcW w:w="135" w:type="dxa"/>
            <w:tcBorders/>
            <w:vAlign w:val="bottom"/>
          </w:tcPr>
          <w:p>
            <w:pPr>
              <w:pStyle w:val="TableContents"/>
              <w:bidi w:val="0"/>
              <w:spacing w:before="0" w:after="283"/>
              <w:jc w:val="left"/>
              <w:rPr/>
            </w:pPr>
            <w:r>
              <w:rPr/>
              <w:t> </w:t>
            </w:r>
          </w:p>
        </w:tc>
      </w:tr>
      <w:tr>
        <w:trPr/>
        <w:tc>
          <w:tcPr>
            <w:tcW w:w="3540" w:type="dxa"/>
            <w:tcBorders/>
            <w:shd w:fill="CCEEFF" w:val="clear"/>
            <w:vAlign w:val="bottom"/>
          </w:tcPr>
          <w:p>
            <w:pPr>
              <w:pStyle w:val="TableContents"/>
              <w:bidi w:val="0"/>
              <w:spacing w:before="0" w:after="0"/>
              <w:ind w:left="288" w:right="0" w:hanging="144"/>
              <w:jc w:val="left"/>
              <w:rPr>
                <w:color w:val="000000"/>
              </w:rPr>
            </w:pPr>
            <w:r>
              <w:rPr>
                <w:color w:val="000000"/>
              </w:rPr>
              <w:t>Accrued interest payable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5,014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5,014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5,014</w:t>
            </w:r>
          </w:p>
        </w:tc>
        <w:tc>
          <w:tcPr>
            <w:tcW w:w="135" w:type="dxa"/>
            <w:tcBorders/>
            <w:shd w:fill="CCEEFF" w:val="clear"/>
            <w:vAlign w:val="bottom"/>
          </w:tcPr>
          <w:p>
            <w:pPr>
              <w:pStyle w:val="TableContents"/>
              <w:bidi w:val="0"/>
              <w:spacing w:before="0" w:after="283"/>
              <w:jc w:val="left"/>
              <w:rPr/>
            </w:pPr>
            <w:r>
              <w:rPr/>
              <w:t> </w:t>
            </w:r>
          </w:p>
        </w:tc>
      </w:tr>
      <w:tr>
        <w:trPr/>
        <w:tc>
          <w:tcPr>
            <w:tcW w:w="3540" w:type="dxa"/>
            <w:tcBorders/>
            <w:vAlign w:val="bottom"/>
          </w:tcPr>
          <w:p>
            <w:pPr>
              <w:pStyle w:val="TableContents"/>
              <w:bidi w:val="0"/>
              <w:spacing w:before="0" w:after="0"/>
              <w:ind w:left="288" w:right="0" w:hanging="144"/>
              <w:jc w:val="left"/>
              <w:rPr>
                <w:color w:val="000000"/>
              </w:rPr>
            </w:pPr>
            <w:r>
              <w:rPr>
                <w:color w:val="000000"/>
              </w:rPr>
              <w:t>Junior subordinated deferrable interest debentures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46,393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35,213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35,213</w:t>
            </w:r>
          </w:p>
        </w:tc>
        <w:tc>
          <w:tcPr>
            <w:tcW w:w="135" w:type="dxa"/>
            <w:tcBorders/>
            <w:vAlign w:val="bottom"/>
          </w:tcPr>
          <w:p>
            <w:pPr>
              <w:pStyle w:val="TableContents"/>
              <w:bidi w:val="0"/>
              <w:spacing w:before="0" w:after="283"/>
              <w:jc w:val="left"/>
              <w:rPr/>
            </w:pPr>
            <w:r>
              <w:rPr/>
              <w:t> </w:t>
            </w:r>
          </w:p>
        </w:tc>
      </w:tr>
      <w:tr>
        <w:trPr/>
        <w:tc>
          <w:tcPr>
            <w:tcW w:w="3540" w:type="dxa"/>
            <w:tcBorders/>
            <w:shd w:fill="CCEEFF" w:val="clear"/>
            <w:vAlign w:val="bottom"/>
          </w:tcPr>
          <w:p>
            <w:pPr>
              <w:pStyle w:val="TableContents"/>
              <w:bidi w:val="0"/>
              <w:spacing w:before="0" w:after="0"/>
              <w:ind w:left="288" w:right="0" w:hanging="144"/>
              <w:jc w:val="left"/>
              <w:rPr>
                <w:color w:val="000000"/>
              </w:rPr>
            </w:pPr>
            <w:r>
              <w:rPr>
                <w:color w:val="000000"/>
              </w:rPr>
              <w:t>Subordinated debt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14,100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13,907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13,907</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15. SUBSEQUENT EVENTS</w:t>
      </w:r>
    </w:p>
    <w:p>
      <w:pPr>
        <w:pStyle w:val="TextBody"/>
        <w:bidi w:val="0"/>
        <w:spacing w:before="0" w:after="0"/>
        <w:jc w:val="center"/>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BOH Merger</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April 1, 2026, the Company acquired all of the outstanding common stock of BOH, a Texas corporation and the bank holding company for Bank of Houston, in a stock transaction. Pursuant to the Reorganization Agreement, shareholders of BOH received 0.1925 shares of the Company’s common stock in exchange for each share of BOH stock resulting in the Company issuing 2,803,535 shares of its common stock. In total, the purchase price for BOH was $118.1 million.</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Merger will be accounted for under ASC 805 as a business combination. The excess of the fair value of consideration transferred over total identifiable net assets will be recorded as goodwill. The initial accounting for the acquisition has not been completed because the information to measure the fair value of financial assets, financial liabilities and goodwill is not yet available. The Company expects to finalize the valuation and complete the purchase price allocation as soon as practicable, but no later than one year from the acquisition date. We will include the relevant disclosures as required in the second quarter of 2026. For more information see Note 2.</w:t>
      </w:r>
    </w:p>
    <w:p>
      <w:pPr>
        <w:pStyle w:val="TextBody"/>
        <w:bidi w:val="0"/>
        <w:spacing w:before="0" w:after="0"/>
        <w:jc w:val="both"/>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Dividend Declaration</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April 16, 2026, the Company declared a cash dividend of $0.17 per share of common stock to be paid on May 11, 2026 to all shareholders of record as of the close of business on April 27, 2026.</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25</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Normal"/>
        <w:bidi w:val="0"/>
        <w:spacing w:before="0" w:after="0"/>
        <w:jc w:val="center"/>
        <w:rPr>
          <w:sz w:val="4"/>
          <w:szCs w:val="4"/>
        </w:rPr>
      </w:pPr>
      <w:r>
        <w:rPr>
          <w:sz w:val="4"/>
          <w:szCs w:val="4"/>
        </w:rPr>
      </w:r>
      <w:bookmarkStart w:id="115" w:name="z10ad0dd6693340bc94f89eed506b1bf0"/>
      <w:bookmarkStart w:id="116" w:name="ManagementsDiscussionandA"/>
      <w:bookmarkStart w:id="117" w:name="z10ad0dd6693340bc94f89eed506b1bf0"/>
      <w:bookmarkStart w:id="118" w:name="ManagementsDiscussionandA"/>
      <w:bookmarkEnd w:id="117"/>
      <w:bookmarkEnd w:id="118"/>
    </w:p>
    <w:tbl>
      <w:tblPr>
        <w:tblW w:w="9880" w:type="dxa"/>
        <w:jc w:val="center"/>
        <w:tblInd w:w="0" w:type="dxa"/>
        <w:tblLayout w:type="fixed"/>
        <w:tblCellMar>
          <w:top w:w="0" w:type="dxa"/>
          <w:left w:w="0" w:type="dxa"/>
          <w:bottom w:w="0" w:type="dxa"/>
          <w:right w:w="0" w:type="dxa"/>
        </w:tblCellMar>
      </w:tblPr>
      <w:tblGrid>
        <w:gridCol w:w="770"/>
        <w:gridCol w:w="9110"/>
      </w:tblGrid>
      <w:tr>
        <w:trPr/>
        <w:tc>
          <w:tcPr>
            <w:tcW w:w="770" w:type="dxa"/>
            <w:tcBorders/>
            <w:vAlign w:val="center"/>
          </w:tcPr>
          <w:p>
            <w:pPr>
              <w:pStyle w:val="TableContents"/>
              <w:bidi w:val="0"/>
              <w:spacing w:before="0" w:after="283"/>
              <w:jc w:val="left"/>
              <w:rPr>
                <w:b/>
                <w:color w:val="000000"/>
              </w:rPr>
            </w:pPr>
            <w:r>
              <w:rPr>
                <w:b/>
                <w:color w:val="000000"/>
              </w:rPr>
              <w:t>Item 2.</w:t>
            </w:r>
          </w:p>
        </w:tc>
        <w:tc>
          <w:tcPr>
            <w:tcW w:w="9110" w:type="dxa"/>
            <w:tcBorders/>
            <w:vAlign w:val="center"/>
          </w:tcPr>
          <w:p>
            <w:pPr>
              <w:pStyle w:val="TableContents"/>
              <w:bidi w:val="0"/>
              <w:spacing w:before="0" w:after="0"/>
              <w:jc w:val="left"/>
              <w:rPr>
                <w:b/>
                <w:color w:val="000000"/>
              </w:rPr>
            </w:pPr>
            <w:r>
              <w:rPr>
                <w:b/>
                <w:color w:val="000000"/>
              </w:rPr>
              <w:t>Management’s Discussion and Analysis of Financial Condition and Results of Operations</w:t>
            </w:r>
          </w:p>
        </w:tc>
      </w:tr>
    </w:tbl>
    <w:p>
      <w:pPr>
        <w:pStyle w:val="TextBody"/>
        <w:bidi w:val="0"/>
        <w:spacing w:before="0" w:after="0"/>
        <w:jc w:val="center"/>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The following discussion and analysis of our financial condition and results of operations for the periods covered by this Quarterly Report on Form 10-Q (this “Form 10-Q”) and should be read in conjunction with our consolidated financial statements and the accompanying notes thereto included in this Form 10-Q and in our Annual Report on Form 10-K for the year ended December 31, 2025 (the “2025 Annual Report on Form 10-K”) filed with the U.S. Securities and Exchange Commission (the “SEC”) pursuant to Rule 424(b) of the Securities Act of 1933, as amended (the “Securities Act”), on March 5, 2026. Unless we state otherwise or the context otherwise requires, references in this Form 10-Q to “we,” “our,” “us” and “the Company” refer to South Plains Financial, Inc., a Texas corporation, our wholly-owned banking subsidiary, City Bank, a Texas banking association and our other consolidated subsidiaries. References in this Form 10-Q to the “Bank” refer to City Bank.</w:t>
      </w:r>
    </w:p>
    <w:p>
      <w:pPr>
        <w:pStyle w:val="TextBody"/>
        <w:bidi w:val="0"/>
        <w:spacing w:before="0" w:after="0"/>
        <w:jc w:val="center"/>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w:t>
      </w:r>
      <w:r>
        <w:rPr>
          <w:rFonts w:ascii="Times New Roman" w:hAnsi="Times New Roman"/>
          <w:b/>
          <w:color w:val="000000"/>
          <w:sz w:val="20"/>
          <w:shd w:fill="FFFFFF" w:val="clear"/>
        </w:rPr>
        <w:t>autionary Notice Regarding Forward-Looking Statements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This Form 10-Q contains statements that we believe are “forward-looking statements” within the meaning of Section 27A of the Securities Act and Section 21E of the Securities Exchange Act of 1934, as amended (the “Exchange Act”).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are or will be important factors that could cause our actual results to differ materially from those indicated in these forward-looking statements, including, but not limited to, the following:</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19" w:name="z4c386421158f4a9c81bc5ed5679565e6"/>
      <w:bookmarkStart w:id="120" w:name="z4c386421158f4a9c81bc5ed5679565e6"/>
      <w:bookmarkEnd w:id="120"/>
    </w:p>
    <w:tbl>
      <w:tblPr>
        <w:tblW w:w="10205" w:type="dxa"/>
        <w:jc w:val="center"/>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risks relating to the acquisition of BOH Holdings, Inc. (“BOH”) including, without limitation: the expected impact of the transaction and on the combined entities’ operations, financial condition, and financial results; the businesses of South Plains and BOH may not be combined successfully, or such combination may take longer to accomplish than expected; the cost savings from the transaction may not be fully realized or may take longer to realize than expected; operating costs, customer loss and business disruption following the transaction, including adverse effects on relationships with employees, may be greater than expected; the risk of deposit and customer attrition; and increased competitive pressures on solicitations of customers by competitors;</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21" w:name="zafb419b8d28447da84f14b9d3ec322a0"/>
      <w:bookmarkStart w:id="122" w:name="zafb419b8d28447da84f14b9d3ec322a0"/>
      <w:bookmarkEnd w:id="122"/>
    </w:p>
    <w:tbl>
      <w:tblPr>
        <w:tblW w:w="10205" w:type="dxa"/>
        <w:jc w:val="center"/>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risks related to the integration of any other acquired businesses, including exposure to potential asset quality and credit quality risks and unknown or contingent liabilities, risks related to entering a new geographic market, the time and costs associated with integrating systems, technology platforms, procedures and personnel, the ability to retain key employees and maintain relationships with significant customers, the need for additional capital to finance such transactions, and possible failures in realizing the anticipated benefits from acquisitions;</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23" w:name="zdd5845a2c826442a802448cdb5c9ac11"/>
      <w:bookmarkStart w:id="124" w:name="zdd5845a2c826442a802448cdb5c9ac11"/>
      <w:bookmarkEnd w:id="124"/>
    </w:p>
    <w:tbl>
      <w:tblPr>
        <w:tblW w:w="6093" w:type="dxa"/>
        <w:jc w:val="center"/>
        <w:tblInd w:w="0" w:type="dxa"/>
        <w:tblLayout w:type="fixed"/>
        <w:tblCellMar>
          <w:top w:w="0" w:type="dxa"/>
          <w:left w:w="0" w:type="dxa"/>
          <w:bottom w:w="0" w:type="dxa"/>
          <w:right w:w="0" w:type="dxa"/>
        </w:tblCellMar>
      </w:tblPr>
      <w:tblGrid>
        <w:gridCol w:w="68"/>
        <w:gridCol w:w="200"/>
        <w:gridCol w:w="5825"/>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5825" w:type="dxa"/>
            <w:tcBorders/>
            <w:vAlign w:val="center"/>
          </w:tcPr>
          <w:p>
            <w:pPr>
              <w:pStyle w:val="TableContents"/>
              <w:bidi w:val="0"/>
              <w:spacing w:before="0" w:after="0"/>
              <w:jc w:val="both"/>
              <w:rPr>
                <w:color w:val="000000"/>
              </w:rPr>
            </w:pPr>
            <w:r>
              <w:rPr>
                <w:color w:val="000000"/>
              </w:rPr>
              <w:t>potential recession in the United States and our market areas;</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25" w:name="zd1ffc2d2ccd44cb6afc2e8fd6c85ec2f"/>
      <w:bookmarkStart w:id="126" w:name="zd1ffc2d2ccd44cb6afc2e8fd6c85ec2f"/>
      <w:bookmarkEnd w:id="126"/>
    </w:p>
    <w:tbl>
      <w:tblPr>
        <w:tblW w:w="6978" w:type="dxa"/>
        <w:jc w:val="center"/>
        <w:tblInd w:w="0" w:type="dxa"/>
        <w:tblLayout w:type="fixed"/>
        <w:tblCellMar>
          <w:top w:w="0" w:type="dxa"/>
          <w:left w:w="0" w:type="dxa"/>
          <w:bottom w:w="0" w:type="dxa"/>
          <w:right w:w="0" w:type="dxa"/>
        </w:tblCellMar>
      </w:tblPr>
      <w:tblGrid>
        <w:gridCol w:w="68"/>
        <w:gridCol w:w="200"/>
        <w:gridCol w:w="6710"/>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6710" w:type="dxa"/>
            <w:tcBorders/>
            <w:vAlign w:val="center"/>
          </w:tcPr>
          <w:p>
            <w:pPr>
              <w:pStyle w:val="TableContents"/>
              <w:bidi w:val="0"/>
              <w:spacing w:before="0" w:after="0"/>
              <w:jc w:val="both"/>
              <w:rPr>
                <w:color w:val="000000"/>
              </w:rPr>
            </w:pPr>
            <w:r>
              <w:rPr>
                <w:color w:val="000000"/>
              </w:rPr>
              <w:t>uncertainty or perceived instability in the banking industry as a whole;</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27" w:name="z11781d90869c463e9aa7acbf9a4378f0"/>
      <w:bookmarkStart w:id="128" w:name="z11781d90869c463e9aa7acbf9a4378f0"/>
      <w:bookmarkEnd w:id="128"/>
    </w:p>
    <w:tbl>
      <w:tblPr>
        <w:tblW w:w="8328" w:type="dxa"/>
        <w:jc w:val="center"/>
        <w:tblInd w:w="0" w:type="dxa"/>
        <w:tblLayout w:type="fixed"/>
        <w:tblCellMar>
          <w:top w:w="0" w:type="dxa"/>
          <w:left w:w="0" w:type="dxa"/>
          <w:bottom w:w="0" w:type="dxa"/>
          <w:right w:w="0" w:type="dxa"/>
        </w:tblCellMar>
      </w:tblPr>
      <w:tblGrid>
        <w:gridCol w:w="68"/>
        <w:gridCol w:w="200"/>
        <w:gridCol w:w="8060"/>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8060" w:type="dxa"/>
            <w:tcBorders/>
            <w:vAlign w:val="center"/>
          </w:tcPr>
          <w:p>
            <w:pPr>
              <w:pStyle w:val="TableContents"/>
              <w:bidi w:val="0"/>
              <w:spacing w:before="0" w:after="0"/>
              <w:jc w:val="both"/>
              <w:rPr>
                <w:color w:val="000000"/>
              </w:rPr>
            </w:pPr>
            <w:r>
              <w:rPr>
                <w:color w:val="000000"/>
              </w:rPr>
              <w:t>increased competition for deposits and related changes in deposit customer behavior;</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29" w:name="z387815d77cfb42f3a23179953420e67b"/>
      <w:bookmarkStart w:id="130" w:name="z387815d77cfb42f3a23179953420e67b"/>
      <w:bookmarkEnd w:id="130"/>
    </w:p>
    <w:tbl>
      <w:tblPr>
        <w:tblW w:w="10205" w:type="dxa"/>
        <w:jc w:val="center"/>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the lingering inflationary pressures, and the risk of the resurgence of elevated levels of inflation, in the United States and our market areas, and its impact on market interest rates, the economy and credit quality;</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31" w:name="zd90c896acffc4ee6945ab7ab6ce725a1"/>
      <w:bookmarkStart w:id="132" w:name="zd90c896acffc4ee6945ab7ab6ce725a1"/>
      <w:bookmarkEnd w:id="132"/>
    </w:p>
    <w:tbl>
      <w:tblPr>
        <w:tblW w:w="10205" w:type="dxa"/>
        <w:jc w:val="center"/>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business and economic conditions, particularly those affecting our market areas, as well as the concentration of our business in such market areas;</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33" w:name="z529e2d64f54c452bae50a0f4a75d20f2"/>
      <w:bookmarkStart w:id="134" w:name="z529e2d64f54c452bae50a0f4a75d20f2"/>
      <w:bookmarkEnd w:id="134"/>
    </w:p>
    <w:tbl>
      <w:tblPr>
        <w:tblW w:w="6918" w:type="dxa"/>
        <w:jc w:val="center"/>
        <w:tblInd w:w="0" w:type="dxa"/>
        <w:tblLayout w:type="fixed"/>
        <w:tblCellMar>
          <w:top w:w="0" w:type="dxa"/>
          <w:left w:w="0" w:type="dxa"/>
          <w:bottom w:w="0" w:type="dxa"/>
          <w:right w:w="0" w:type="dxa"/>
        </w:tblCellMar>
      </w:tblPr>
      <w:tblGrid>
        <w:gridCol w:w="68"/>
        <w:gridCol w:w="200"/>
        <w:gridCol w:w="6650"/>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6650" w:type="dxa"/>
            <w:tcBorders/>
            <w:vAlign w:val="center"/>
          </w:tcPr>
          <w:p>
            <w:pPr>
              <w:pStyle w:val="TableContents"/>
              <w:bidi w:val="0"/>
              <w:spacing w:before="0" w:after="0"/>
              <w:jc w:val="both"/>
              <w:rPr>
                <w:color w:val="000000"/>
              </w:rPr>
            </w:pPr>
            <w:r>
              <w:rPr>
                <w:color w:val="000000"/>
              </w:rPr>
              <w:t>the impact of pandemics, epidemics, or any other health-related crisis;</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35" w:name="z78057875f7074cbc9fa6a2209988467c"/>
      <w:bookmarkStart w:id="136" w:name="z78057875f7074cbc9fa6a2209988467c"/>
      <w:bookmarkEnd w:id="136"/>
    </w:p>
    <w:tbl>
      <w:tblPr>
        <w:tblW w:w="7743" w:type="dxa"/>
        <w:jc w:val="center"/>
        <w:tblInd w:w="0" w:type="dxa"/>
        <w:tblLayout w:type="fixed"/>
        <w:tblCellMar>
          <w:top w:w="0" w:type="dxa"/>
          <w:left w:w="0" w:type="dxa"/>
          <w:bottom w:w="0" w:type="dxa"/>
          <w:right w:w="0" w:type="dxa"/>
        </w:tblCellMar>
      </w:tblPr>
      <w:tblGrid>
        <w:gridCol w:w="68"/>
        <w:gridCol w:w="200"/>
        <w:gridCol w:w="7475"/>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7475" w:type="dxa"/>
            <w:tcBorders/>
            <w:vAlign w:val="center"/>
          </w:tcPr>
          <w:p>
            <w:pPr>
              <w:pStyle w:val="TableContents"/>
              <w:bidi w:val="0"/>
              <w:spacing w:before="0" w:after="0"/>
              <w:jc w:val="both"/>
              <w:rPr>
                <w:color w:val="000000"/>
              </w:rPr>
            </w:pPr>
            <w:r>
              <w:rPr>
                <w:color w:val="000000"/>
              </w:rPr>
              <w:t>high concentrations of loans secured by real estate located in our market areas;</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37" w:name="z791f4e9034de42aebcd5cc67adabec07"/>
      <w:bookmarkStart w:id="138" w:name="z791f4e9034de42aebcd5cc67adabec07"/>
      <w:bookmarkEnd w:id="138"/>
    </w:p>
    <w:tbl>
      <w:tblPr>
        <w:tblW w:w="7413" w:type="dxa"/>
        <w:jc w:val="center"/>
        <w:tblInd w:w="0" w:type="dxa"/>
        <w:tblLayout w:type="fixed"/>
        <w:tblCellMar>
          <w:top w:w="0" w:type="dxa"/>
          <w:left w:w="0" w:type="dxa"/>
          <w:bottom w:w="0" w:type="dxa"/>
          <w:right w:w="0" w:type="dxa"/>
        </w:tblCellMar>
      </w:tblPr>
      <w:tblGrid>
        <w:gridCol w:w="68"/>
        <w:gridCol w:w="200"/>
        <w:gridCol w:w="7145"/>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7145" w:type="dxa"/>
            <w:tcBorders/>
            <w:vAlign w:val="center"/>
          </w:tcPr>
          <w:p>
            <w:pPr>
              <w:pStyle w:val="TableContents"/>
              <w:bidi w:val="0"/>
              <w:spacing w:before="0" w:after="0"/>
              <w:jc w:val="both"/>
              <w:rPr>
                <w:color w:val="000000"/>
              </w:rPr>
            </w:pPr>
            <w:r>
              <w:rPr>
                <w:color w:val="000000"/>
              </w:rPr>
              <w:t>increases in unemployment rates in the United States and our market areas;</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39" w:name="zf194f3e6acd44869bce29912bcfc71e9"/>
      <w:bookmarkStart w:id="140" w:name="zf194f3e6acd44869bce29912bcfc71e9"/>
      <w:bookmarkEnd w:id="140"/>
    </w:p>
    <w:tbl>
      <w:tblPr>
        <w:tblW w:w="10205" w:type="dxa"/>
        <w:jc w:val="center"/>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risks associated with our commercial loan portfolio, including the risk for deterioration in value of the general business assets that secure such loans;</w:t>
            </w:r>
          </w:p>
        </w:tc>
      </w:tr>
    </w:tbl>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26</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Normal"/>
        <w:bidi w:val="0"/>
        <w:spacing w:before="0" w:after="0"/>
        <w:jc w:val="center"/>
        <w:rPr>
          <w:sz w:val="4"/>
          <w:szCs w:val="4"/>
        </w:rPr>
      </w:pPr>
      <w:r>
        <w:rPr>
          <w:sz w:val="4"/>
          <w:szCs w:val="4"/>
        </w:rPr>
      </w:r>
      <w:bookmarkStart w:id="141" w:name="z7a353b063bd24b27bb8a46fff83f0f58"/>
      <w:bookmarkStart w:id="142" w:name="z7a353b063bd24b27bb8a46fff83f0f58"/>
      <w:bookmarkEnd w:id="142"/>
    </w:p>
    <w:tbl>
      <w:tblPr>
        <w:tblW w:w="10205" w:type="dxa"/>
        <w:jc w:val="center"/>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potential changes in the prices, values and sales volumes of commercial and residential real estate securing our real estate loans;</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43" w:name="z850dfbcccb354e3d918e92d3a52e8d40"/>
      <w:bookmarkStart w:id="144" w:name="z850dfbcccb354e3d918e92d3a52e8d40"/>
      <w:bookmarkEnd w:id="144"/>
    </w:p>
    <w:tbl>
      <w:tblPr>
        <w:tblW w:w="10205" w:type="dxa"/>
        <w:jc w:val="center"/>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risks associated with our agricultural loan portfolio, including the heightened sensitivity to weather conditions, commodity prices, and other factors generally outside the borrowers and our control;</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45" w:name="z94fa055ed1ab417986ead92a174fc3b5"/>
      <w:bookmarkStart w:id="146" w:name="z94fa055ed1ab417986ead92a174fc3b5"/>
      <w:bookmarkEnd w:id="146"/>
    </w:p>
    <w:tbl>
      <w:tblPr>
        <w:tblW w:w="10205" w:type="dxa"/>
        <w:jc w:val="center"/>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risks related to the significant amount of credit that we have extended to a limited number of borrowers and in a limited geographic area;</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47" w:name="zc7b9b44ea5f4469d851d828a5b937c2b"/>
      <w:bookmarkStart w:id="148" w:name="zc7b9b44ea5f4469d851d828a5b937c2b"/>
      <w:bookmarkEnd w:id="148"/>
    </w:p>
    <w:tbl>
      <w:tblPr>
        <w:tblW w:w="7638" w:type="dxa"/>
        <w:jc w:val="center"/>
        <w:tblInd w:w="0" w:type="dxa"/>
        <w:tblLayout w:type="fixed"/>
        <w:tblCellMar>
          <w:top w:w="0" w:type="dxa"/>
          <w:left w:w="0" w:type="dxa"/>
          <w:bottom w:w="0" w:type="dxa"/>
          <w:right w:w="0" w:type="dxa"/>
        </w:tblCellMar>
      </w:tblPr>
      <w:tblGrid>
        <w:gridCol w:w="68"/>
        <w:gridCol w:w="200"/>
        <w:gridCol w:w="7370"/>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7370" w:type="dxa"/>
            <w:tcBorders/>
            <w:vAlign w:val="center"/>
          </w:tcPr>
          <w:p>
            <w:pPr>
              <w:pStyle w:val="TableContents"/>
              <w:bidi w:val="0"/>
              <w:spacing w:before="0" w:after="0"/>
              <w:jc w:val="both"/>
              <w:rPr>
                <w:color w:val="000000"/>
              </w:rPr>
            </w:pPr>
            <w:r>
              <w:rPr>
                <w:color w:val="000000"/>
              </w:rPr>
              <w:t>public funds deposits comprising a relatively high percentage of our deposits;</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49" w:name="z67412427628740d1a6d041cc1494c534"/>
      <w:bookmarkStart w:id="150" w:name="z67412427628740d1a6d041cc1494c534"/>
      <w:bookmarkEnd w:id="150"/>
    </w:p>
    <w:tbl>
      <w:tblPr>
        <w:tblW w:w="10205" w:type="dxa"/>
        <w:jc w:val="center"/>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potential impairment on the goodwill we have recorded or may record in connection with business acquisitions;</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51" w:name="z4355fdad16954ef7a268f889ab8fae9f"/>
      <w:bookmarkStart w:id="152" w:name="z4355fdad16954ef7a268f889ab8fae9f"/>
      <w:bookmarkEnd w:id="152"/>
    </w:p>
    <w:tbl>
      <w:tblPr>
        <w:tblW w:w="3873" w:type="dxa"/>
        <w:jc w:val="center"/>
        <w:tblInd w:w="0" w:type="dxa"/>
        <w:tblLayout w:type="fixed"/>
        <w:tblCellMar>
          <w:top w:w="0" w:type="dxa"/>
          <w:left w:w="0" w:type="dxa"/>
          <w:bottom w:w="0" w:type="dxa"/>
          <w:right w:w="0" w:type="dxa"/>
        </w:tblCellMar>
      </w:tblPr>
      <w:tblGrid>
        <w:gridCol w:w="68"/>
        <w:gridCol w:w="200"/>
        <w:gridCol w:w="3605"/>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3605" w:type="dxa"/>
            <w:tcBorders/>
            <w:vAlign w:val="center"/>
          </w:tcPr>
          <w:p>
            <w:pPr>
              <w:pStyle w:val="TableContents"/>
              <w:bidi w:val="0"/>
              <w:spacing w:before="0" w:after="0"/>
              <w:jc w:val="both"/>
              <w:rPr>
                <w:color w:val="000000"/>
              </w:rPr>
            </w:pPr>
            <w:r>
              <w:rPr>
                <w:color w:val="000000"/>
              </w:rPr>
              <w:t>our ability to maintain our reputation;</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53" w:name="z7c540df7b7264973a0f21fe15ef853fe"/>
      <w:bookmarkStart w:id="154" w:name="z7c540df7b7264973a0f21fe15ef853fe"/>
      <w:bookmarkEnd w:id="154"/>
    </w:p>
    <w:tbl>
      <w:tblPr>
        <w:tblW w:w="10008" w:type="dxa"/>
        <w:jc w:val="center"/>
        <w:tblInd w:w="0" w:type="dxa"/>
        <w:tblLayout w:type="fixed"/>
        <w:tblCellMar>
          <w:top w:w="0" w:type="dxa"/>
          <w:left w:w="0" w:type="dxa"/>
          <w:bottom w:w="0" w:type="dxa"/>
          <w:right w:w="0" w:type="dxa"/>
        </w:tblCellMar>
      </w:tblPr>
      <w:tblGrid>
        <w:gridCol w:w="68"/>
        <w:gridCol w:w="200"/>
        <w:gridCol w:w="9740"/>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740" w:type="dxa"/>
            <w:tcBorders/>
            <w:vAlign w:val="center"/>
          </w:tcPr>
          <w:p>
            <w:pPr>
              <w:pStyle w:val="TableContents"/>
              <w:bidi w:val="0"/>
              <w:spacing w:before="0" w:after="0"/>
              <w:jc w:val="both"/>
              <w:rPr>
                <w:color w:val="000000"/>
              </w:rPr>
            </w:pPr>
            <w:r>
              <w:rPr>
                <w:color w:val="000000"/>
              </w:rPr>
              <w:t>our ability to successfully manage our credit risk and the sufficiency of our allowance for credit losses;</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55" w:name="z6325972648de406f965d4d8485281a6c"/>
      <w:bookmarkStart w:id="156" w:name="z6325972648de406f965d4d8485281a6c"/>
      <w:bookmarkEnd w:id="156"/>
    </w:p>
    <w:tbl>
      <w:tblPr>
        <w:tblW w:w="6843" w:type="dxa"/>
        <w:jc w:val="center"/>
        <w:tblInd w:w="0" w:type="dxa"/>
        <w:tblLayout w:type="fixed"/>
        <w:tblCellMar>
          <w:top w:w="0" w:type="dxa"/>
          <w:left w:w="0" w:type="dxa"/>
          <w:bottom w:w="0" w:type="dxa"/>
          <w:right w:w="0" w:type="dxa"/>
        </w:tblCellMar>
      </w:tblPr>
      <w:tblGrid>
        <w:gridCol w:w="68"/>
        <w:gridCol w:w="200"/>
        <w:gridCol w:w="6575"/>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6575" w:type="dxa"/>
            <w:tcBorders/>
            <w:vAlign w:val="center"/>
          </w:tcPr>
          <w:p>
            <w:pPr>
              <w:pStyle w:val="TableContents"/>
              <w:bidi w:val="0"/>
              <w:spacing w:before="0" w:after="0"/>
              <w:jc w:val="both"/>
              <w:rPr>
                <w:color w:val="000000"/>
              </w:rPr>
            </w:pPr>
            <w:r>
              <w:rPr>
                <w:color w:val="000000"/>
              </w:rPr>
              <w:t>our ability to attract, hire and retain qualified management personnel;</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57" w:name="z89c1c8b807e94c44a1ffe464d870fdcc"/>
      <w:bookmarkStart w:id="158" w:name="z89c1c8b807e94c44a1ffe464d870fdcc"/>
      <w:bookmarkEnd w:id="158"/>
    </w:p>
    <w:tbl>
      <w:tblPr>
        <w:tblW w:w="10205" w:type="dxa"/>
        <w:jc w:val="center"/>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our dependence on our management team, including our ability to retain executive officers and key employees and their customer and community relationships;</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59" w:name="z4c80a13f13f74d109c81fa7187a82145"/>
      <w:bookmarkStart w:id="160" w:name="z4c80a13f13f74d109c81fa7187a82145"/>
      <w:bookmarkEnd w:id="160"/>
    </w:p>
    <w:tbl>
      <w:tblPr>
        <w:tblW w:w="7938" w:type="dxa"/>
        <w:jc w:val="center"/>
        <w:tblInd w:w="0" w:type="dxa"/>
        <w:tblLayout w:type="fixed"/>
        <w:tblCellMar>
          <w:top w:w="0" w:type="dxa"/>
          <w:left w:w="0" w:type="dxa"/>
          <w:bottom w:w="0" w:type="dxa"/>
          <w:right w:w="0" w:type="dxa"/>
        </w:tblCellMar>
      </w:tblPr>
      <w:tblGrid>
        <w:gridCol w:w="68"/>
        <w:gridCol w:w="200"/>
        <w:gridCol w:w="7670"/>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7670" w:type="dxa"/>
            <w:tcBorders/>
            <w:vAlign w:val="center"/>
          </w:tcPr>
          <w:p>
            <w:pPr>
              <w:pStyle w:val="TableContents"/>
              <w:bidi w:val="0"/>
              <w:spacing w:before="0" w:after="0"/>
              <w:jc w:val="both"/>
              <w:rPr>
                <w:color w:val="000000"/>
              </w:rPr>
            </w:pPr>
            <w:r>
              <w:rPr>
                <w:color w:val="000000"/>
              </w:rPr>
              <w:t>interest rate fluctuations, which could have an adverse effect on our profitability;</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61" w:name="zdbc4d3118c104ac18b607bc157107efb"/>
      <w:bookmarkStart w:id="162" w:name="zdbc4d3118c104ac18b607bc157107efb"/>
      <w:bookmarkEnd w:id="162"/>
    </w:p>
    <w:tbl>
      <w:tblPr>
        <w:tblW w:w="7563" w:type="dxa"/>
        <w:jc w:val="center"/>
        <w:tblInd w:w="0" w:type="dxa"/>
        <w:tblLayout w:type="fixed"/>
        <w:tblCellMar>
          <w:top w:w="0" w:type="dxa"/>
          <w:left w:w="0" w:type="dxa"/>
          <w:bottom w:w="0" w:type="dxa"/>
          <w:right w:w="0" w:type="dxa"/>
        </w:tblCellMar>
      </w:tblPr>
      <w:tblGrid>
        <w:gridCol w:w="68"/>
        <w:gridCol w:w="200"/>
        <w:gridCol w:w="7295"/>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both"/>
              <w:rPr>
                <w:color w:val="000000"/>
              </w:rPr>
            </w:pPr>
            <w:r>
              <w:rPr>
                <w:color w:val="000000"/>
              </w:rPr>
              <w:t>competition from banks, credit unions and other financial services providers;</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63" w:name="zec5e9163fcd44816826114c071c737af"/>
      <w:bookmarkStart w:id="164" w:name="zec5e9163fcd44816826114c071c737af"/>
      <w:bookmarkEnd w:id="164"/>
    </w:p>
    <w:tbl>
      <w:tblPr>
        <w:tblW w:w="10205" w:type="dxa"/>
        <w:jc w:val="center"/>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our ability to keep pace with technological change or difficulties we may experience when implementing new technologies;</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65" w:name="zc1a911d03ca04b91af6e9798d991ff30"/>
      <w:bookmarkStart w:id="166" w:name="zc1a911d03ca04b91af6e9798d991ff30"/>
      <w:bookmarkEnd w:id="166"/>
    </w:p>
    <w:tbl>
      <w:tblPr>
        <w:tblW w:w="10205" w:type="dxa"/>
        <w:jc w:val="center"/>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cybersecurity risk, including cyber incidents or other failures, disruptions or breaches of our operational or security systems or infrastructure, or those of our third-party vendors or other service providers, including as a result of a cyber attack, could impact the Company’s reputation, increase regulatory oversight, and impact the financial results of the Company;</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67" w:name="z53f7726ba12f472ea474cf1ae382f2b2"/>
      <w:bookmarkStart w:id="168" w:name="z53f7726ba12f472ea474cf1ae382f2b2"/>
      <w:bookmarkEnd w:id="168"/>
    </w:p>
    <w:tbl>
      <w:tblPr>
        <w:tblW w:w="7113" w:type="dxa"/>
        <w:jc w:val="center"/>
        <w:tblInd w:w="0" w:type="dxa"/>
        <w:tblLayout w:type="fixed"/>
        <w:tblCellMar>
          <w:top w:w="0" w:type="dxa"/>
          <w:left w:w="0" w:type="dxa"/>
          <w:bottom w:w="0" w:type="dxa"/>
          <w:right w:w="0" w:type="dxa"/>
        </w:tblCellMar>
      </w:tblPr>
      <w:tblGrid>
        <w:gridCol w:w="68"/>
        <w:gridCol w:w="200"/>
        <w:gridCol w:w="6845"/>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6845" w:type="dxa"/>
            <w:tcBorders/>
            <w:vAlign w:val="center"/>
          </w:tcPr>
          <w:p>
            <w:pPr>
              <w:pStyle w:val="TableContents"/>
              <w:bidi w:val="0"/>
              <w:spacing w:before="0" w:after="0"/>
              <w:jc w:val="both"/>
              <w:rPr>
                <w:color w:val="000000"/>
              </w:rPr>
            </w:pPr>
            <w:r>
              <w:rPr>
                <w:color w:val="000000"/>
              </w:rPr>
              <w:t>our ability to maintain effective internal control over financial reporting;</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69" w:name="zae6b90dfa4a94058bdee57d28c1ccdf8"/>
      <w:bookmarkStart w:id="170" w:name="zae6b90dfa4a94058bdee57d28c1ccdf8"/>
      <w:bookmarkEnd w:id="170"/>
    </w:p>
    <w:tbl>
      <w:tblPr>
        <w:tblW w:w="10205" w:type="dxa"/>
        <w:jc w:val="center"/>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employee error, fraudulent activity by employees or customers and inaccurate or incomplete information about our customers and counterparties;</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71" w:name="zef510988c7884c41add3087fde56314b"/>
      <w:bookmarkStart w:id="172" w:name="zef510988c7884c41add3087fde56314b"/>
      <w:bookmarkEnd w:id="172"/>
    </w:p>
    <w:tbl>
      <w:tblPr>
        <w:tblW w:w="10205" w:type="dxa"/>
        <w:jc w:val="center"/>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increased capital requirements imposed by banking regulators, which may require us to raise capital at a time when capital is not available on favorable terms or at all;</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73" w:name="z74284bc86a7348c9a66d0063814f408a"/>
      <w:bookmarkStart w:id="174" w:name="z74284bc86a7348c9a66d0063814f408a"/>
      <w:bookmarkEnd w:id="174"/>
    </w:p>
    <w:tbl>
      <w:tblPr>
        <w:tblW w:w="10205" w:type="dxa"/>
        <w:jc w:val="center"/>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our ability to maintain adequate liquidity and to raise necessary capital to fund our acquisition strategy and operations or to meet increased minimum regulatory capital levels;</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75" w:name="zdfe6a308c8cc447daeaef957f8fde2b2"/>
      <w:bookmarkStart w:id="176" w:name="zdfe6a308c8cc447daeaef957f8fde2b2"/>
      <w:bookmarkEnd w:id="176"/>
    </w:p>
    <w:tbl>
      <w:tblPr>
        <w:tblW w:w="10205" w:type="dxa"/>
        <w:jc w:val="center"/>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costs and effects of litigation, investigations or similar matters to which we may be subject, including any effect on our reputation;</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77" w:name="z8088d67f21e7440985c829aff3c71158"/>
      <w:bookmarkStart w:id="178" w:name="z8088d67f21e7440985c829aff3c71158"/>
      <w:bookmarkEnd w:id="178"/>
    </w:p>
    <w:tbl>
      <w:tblPr>
        <w:tblW w:w="10205" w:type="dxa"/>
        <w:jc w:val="center"/>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severe weather, natural disasters, military conflicts (including the conflicts in the Middle East, the possible expansion of such conflicts and potential geopolitical and economic consequences), acts of terrorism, geopolitical instability, domestic civil unrest or other external events, including as a result of the impact of the policies of the current U.S. presidential administration or Congress;</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79" w:name="zf769bf64e8f449b7aa44a4f5f89247f2"/>
      <w:bookmarkStart w:id="180" w:name="zf769bf64e8f449b7aa44a4f5f89247f2"/>
      <w:bookmarkEnd w:id="180"/>
    </w:p>
    <w:tbl>
      <w:tblPr>
        <w:tblW w:w="7323" w:type="dxa"/>
        <w:jc w:val="center"/>
        <w:tblInd w:w="0" w:type="dxa"/>
        <w:tblLayout w:type="fixed"/>
        <w:tblCellMar>
          <w:top w:w="0" w:type="dxa"/>
          <w:left w:w="0" w:type="dxa"/>
          <w:bottom w:w="0" w:type="dxa"/>
          <w:right w:w="0" w:type="dxa"/>
        </w:tblCellMar>
      </w:tblPr>
      <w:tblGrid>
        <w:gridCol w:w="68"/>
        <w:gridCol w:w="200"/>
        <w:gridCol w:w="7055"/>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7055" w:type="dxa"/>
            <w:tcBorders/>
            <w:vAlign w:val="center"/>
          </w:tcPr>
          <w:p>
            <w:pPr>
              <w:pStyle w:val="TableContents"/>
              <w:bidi w:val="0"/>
              <w:spacing w:before="0" w:after="0"/>
              <w:jc w:val="both"/>
              <w:rPr>
                <w:color w:val="000000"/>
              </w:rPr>
            </w:pPr>
            <w:r>
              <w:rPr>
                <w:color w:val="000000"/>
              </w:rPr>
              <w:t>uncertainty regarding United States fiscal debt, deficit and budget matters;</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81" w:name="zfa380feec3ae401694abb980e9ab38a2"/>
      <w:bookmarkStart w:id="182" w:name="zfa380feec3ae401694abb980e9ab38a2"/>
      <w:bookmarkEnd w:id="182"/>
    </w:p>
    <w:tbl>
      <w:tblPr>
        <w:tblW w:w="10205" w:type="dxa"/>
        <w:jc w:val="center"/>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the impacts of tariffs, sanctions, and other trade policies of the United States and its global trading counterparts and the resulting impact on the Company and its customers;</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83" w:name="ze618af1e891247448040f76ca8551f13"/>
      <w:bookmarkStart w:id="184" w:name="ze618af1e891247448040f76ca8551f13"/>
      <w:bookmarkEnd w:id="184"/>
    </w:p>
    <w:tbl>
      <w:tblPr>
        <w:tblW w:w="10205" w:type="dxa"/>
        <w:jc w:val="center"/>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the risks related to the development, implementation use and management of emerging technologies, including artificial intelligence and machine learning;</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85" w:name="z6115ae254e934ad9a03eef9dfa1cfd1e"/>
      <w:bookmarkStart w:id="186" w:name="z6115ae254e934ad9a03eef9dfa1cfd1e"/>
      <w:bookmarkEnd w:id="186"/>
    </w:p>
    <w:tbl>
      <w:tblPr>
        <w:tblW w:w="10205" w:type="dxa"/>
        <w:jc w:val="center"/>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compliance with governmental and regulatory requirements, including the Dodd-Frank Act Wall Street Reform and Consumer Protection Act (“Dodd-Frank Act”), Economic Growth, Regulatory Relief, and Consumer Protection Act of 2018 (“EGRRCPA”), and others relating to banking, consumer protection, securities and tax matters;</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87" w:name="z3d59b85a068342aaa6b68580371a12fa"/>
      <w:bookmarkStart w:id="188" w:name="z3d59b85a068342aaa6b68580371a12fa"/>
      <w:bookmarkEnd w:id="188"/>
    </w:p>
    <w:tbl>
      <w:tblPr>
        <w:tblW w:w="10205" w:type="dxa"/>
        <w:jc w:val="center"/>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changes in accounting principles and standards, including those related to loan loss recognition under the current expected credit loss, or CECL, methodology;</w:t>
            </w:r>
          </w:p>
        </w:tc>
      </w:tr>
    </w:tbl>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27</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Normal"/>
        <w:bidi w:val="0"/>
        <w:spacing w:before="0" w:after="0"/>
        <w:jc w:val="center"/>
        <w:rPr>
          <w:sz w:val="4"/>
          <w:szCs w:val="4"/>
        </w:rPr>
      </w:pPr>
      <w:r>
        <w:rPr>
          <w:sz w:val="4"/>
          <w:szCs w:val="4"/>
        </w:rPr>
      </w:r>
      <w:bookmarkStart w:id="189" w:name="z0a86ec0a5d68465fbfcd5e57d49330a3"/>
      <w:bookmarkStart w:id="190" w:name="z0a86ec0a5d68465fbfcd5e57d49330a3"/>
      <w:bookmarkEnd w:id="190"/>
    </w:p>
    <w:tbl>
      <w:tblPr>
        <w:tblW w:w="10205" w:type="dxa"/>
        <w:jc w:val="center"/>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changes in the laws, rules, regulations, interpretations or policies that apply to the Company’s business and operations, and any additional regulations, or repeals that may be forthcoming as a result thereof, which could cause the Company to incur additional costs and adversely affect the Company’s business environment, operations and financial results; and</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91" w:name="z3b34ae610de44f65866d8bfddd5faaea"/>
      <w:bookmarkStart w:id="192" w:name="z3b34ae610de44f65866d8bfddd5faaea"/>
      <w:bookmarkEnd w:id="192"/>
    </w:p>
    <w:tbl>
      <w:tblPr>
        <w:tblW w:w="10205" w:type="dxa"/>
        <w:jc w:val="center"/>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our ability to navigate the uncertain impacts of current and future governmental monetary and fiscal policies, including the current and future policies of the Board of Governors of the Federal Reserve System (“Federal Reserve”) and as a result of initiatives of the Trump administration.</w:t>
            </w:r>
          </w:p>
        </w:tc>
      </w:tr>
    </w:tbl>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foregoing factors should not be construed as exhaustive and should be read together with the other cautionary statements included in this Form 10-Q and the risk factors set forth in our 2025 Annual Report on Form 10-K. Because of these risks and other uncertainties, our actual future results, performance or achievements, or industry results, may be materially different from the results indicated by the forward-looking statements in this Form 10-Q. In addition, our past results of operations are not necessarily indicative of our future results. Accordingly, you should not rely on any forward-looking statements,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applicable law.</w:t>
      </w:r>
    </w:p>
    <w:p>
      <w:pPr>
        <w:pStyle w:val="TextBody"/>
        <w:bidi w:val="0"/>
        <w:spacing w:before="0" w:after="0"/>
        <w:jc w:val="center"/>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Available Information</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Company maintains an Internet web site at </w:t>
      </w:r>
      <w:r>
        <w:rPr>
          <w:rFonts w:ascii="Times New Roman" w:hAnsi="Times New Roman"/>
          <w:i/>
          <w:color w:val="000000"/>
          <w:sz w:val="20"/>
          <w:u w:val="single"/>
          <w:shd w:fill="FFFFFF" w:val="clear"/>
        </w:rPr>
        <w:t>www.spfi.bank</w:t>
      </w:r>
      <w:r>
        <w:rPr>
          <w:rFonts w:ascii="Times New Roman" w:hAnsi="Times New Roman"/>
          <w:color w:val="000000"/>
          <w:sz w:val="20"/>
          <w:shd w:fill="FFFFFF" w:val="clear"/>
        </w:rPr>
        <w:t xml:space="preserve">. The Company makes available, free of charge, on its web site (under </w:t>
      </w:r>
      <w:r>
        <w:rPr>
          <w:rFonts w:ascii="Times New Roman" w:hAnsi="Times New Roman"/>
          <w:i/>
          <w:color w:val="000000"/>
          <w:sz w:val="20"/>
          <w:u w:val="single"/>
          <w:shd w:fill="FFFFFF" w:val="clear"/>
        </w:rPr>
        <w:t>www.spfi.bank/financials-filings/sec-filings</w:t>
      </w:r>
      <w:r>
        <w:rPr>
          <w:rFonts w:ascii="Times New Roman" w:hAnsi="Times New Roman"/>
          <w:color w:val="000000"/>
          <w:sz w:val="20"/>
          <w:shd w:fill="FFFFFF" w:val="clear"/>
        </w:rPr>
        <w:t xml:space="preserve"> ) the Company’s annual reports on Form 10-K, quarterly reports on Form 10-Q, current reports on Form 8-K, and amendments to those reports filed or furnished pursuant to Section 13(a) or Section 15(d) of the Exchange Act as soon as reasonably practicable after the Company files such material with, or furnishes it to, the SEC. The Company also makes available, free of charge, through its web site (under </w:t>
      </w:r>
      <w:r>
        <w:rPr>
          <w:rFonts w:ascii="Times New Roman" w:hAnsi="Times New Roman"/>
          <w:i/>
          <w:color w:val="000000"/>
          <w:sz w:val="20"/>
          <w:u w:val="single"/>
          <w:shd w:fill="FFFFFF" w:val="clear"/>
        </w:rPr>
        <w:t>www.spfi.bank/corporate-governance/documents-charters</w:t>
      </w:r>
      <w:r>
        <w:rPr>
          <w:rFonts w:ascii="Times New Roman" w:hAnsi="Times New Roman"/>
          <w:color w:val="000000"/>
          <w:sz w:val="20"/>
          <w:shd w:fill="FFFFFF" w:val="clear"/>
        </w:rPr>
        <w:t xml:space="preserve"> ) links to the Company’s Code of Conduct and the charters for its board committees. In addition, the SEC maintains an Internet site (at </w:t>
      </w:r>
      <w:r>
        <w:rPr>
          <w:rFonts w:ascii="Times New Roman" w:hAnsi="Times New Roman"/>
          <w:i/>
          <w:color w:val="000000"/>
          <w:sz w:val="20"/>
          <w:u w:val="single"/>
          <w:shd w:fill="FFFFFF" w:val="clear"/>
        </w:rPr>
        <w:t>www.sec.gov</w:t>
      </w:r>
      <w:r>
        <w:rPr>
          <w:rFonts w:ascii="Times New Roman" w:hAnsi="Times New Roman"/>
          <w:color w:val="000000"/>
          <w:sz w:val="20"/>
          <w:shd w:fill="FFFFFF" w:val="clear"/>
        </w:rPr>
        <w:t xml:space="preserve"> ) that contains reports, proxy and information statements, and other information regarding issuers that file electronically with the SEC.</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Company routinely posts important information for investors on its web site (under </w:t>
      </w:r>
      <w:r>
        <w:rPr>
          <w:rFonts w:ascii="Times New Roman" w:hAnsi="Times New Roman"/>
          <w:i/>
          <w:color w:val="000000"/>
          <w:sz w:val="20"/>
          <w:u w:val="single"/>
          <w:shd w:fill="FFFFFF" w:val="clear"/>
        </w:rPr>
        <w:t>www.spfi.bank</w:t>
      </w:r>
      <w:r>
        <w:rPr>
          <w:rFonts w:ascii="Times New Roman" w:hAnsi="Times New Roman"/>
          <w:color w:val="000000"/>
          <w:sz w:val="20"/>
          <w:shd w:fill="FFFFFF" w:val="clear"/>
        </w:rPr>
        <w:t xml:space="preserve"> and, more specifically, under the News &amp; Events tab at </w:t>
      </w:r>
      <w:r>
        <w:rPr>
          <w:rFonts w:ascii="Times New Roman" w:hAnsi="Times New Roman"/>
          <w:i/>
          <w:color w:val="000000"/>
          <w:sz w:val="20"/>
          <w:u w:val="single"/>
          <w:shd w:fill="FFFFFF" w:val="clear"/>
        </w:rPr>
        <w:t>www.spfi.bank/news-events/press-releases</w:t>
      </w:r>
      <w:r>
        <w:rPr>
          <w:rFonts w:ascii="Times New Roman" w:hAnsi="Times New Roman"/>
          <w:color w:val="000000"/>
          <w:sz w:val="20"/>
          <w:shd w:fill="FFFFFF" w:val="clear"/>
        </w:rPr>
        <w:t xml:space="preserve"> ). The Company intends to use its web site as a means of disclosing material non-public information and for complying with its disclosure obligations under SEC Regulation FD (Fair Disclosure). Accordingly, investors should monitor the Company’s web site, in addition to following the Company’s press releases, SEC filings, public conference calls, presentations and webcasts.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information contained on, or that may be accessed through, the Company’s web site is not incorporated by reference into, and is not a part of, this Form 10-Q.</w:t>
      </w:r>
    </w:p>
    <w:p>
      <w:pPr>
        <w:pStyle w:val="TextBody"/>
        <w:bidi w:val="0"/>
        <w:spacing w:before="0" w:after="0"/>
        <w:jc w:val="center"/>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Overview</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a bank holding company headquartered in Lubbock, Texas, and our wholly-owned subsidiary, City Bank, is one of the largest independent banks in West Texas and has additional banking operations in the Dallas, El Paso, Greater Houston, the Permian Basin, and College Station, Texas markets, and the Ruidoso, New Mexico market. Through City Bank, we provide a wide range of commercial and consumer financial services to small and medium-sized businesses and individuals in our market areas. Our principal business activities include commercial and retail banking, along with investment, trust and mortgage services.</w:t>
      </w:r>
    </w:p>
    <w:p>
      <w:pPr>
        <w:pStyle w:val="TextBody"/>
        <w:bidi w:val="0"/>
        <w:spacing w:before="0" w:after="0"/>
        <w:jc w:val="center"/>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Recent Developments</w:t>
      </w:r>
    </w:p>
    <w:p>
      <w:pPr>
        <w:pStyle w:val="TextBody"/>
        <w:bidi w:val="0"/>
        <w:spacing w:before="0" w:after="0"/>
        <w:jc w:val="center"/>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Mergers and Acquisitions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April 1, 2026, SPFI acquired BOH Holdings, Inc., a Texas corporation (“BOH”), the bank holding company for Bank of Houston, in an all-stock transaction through the merger of BOH with and into SPFI, with SPFI surviving the merger (the “Merger”). Immediately after the Merger, Bank of Houston, a Texas state banking association and wholly-owned subsidiary of BOH, merged with and into City Bank, with City Bank surviving the merger. Pursuant to the terms of the Agreement and Plan of Reorganization, dated December 1, 2025 (the “Reorganization Agreement”), each share of BOH common stock held immediately prior to the effective time of the Merger was converted into the right to receive, without interest, 0.1925 shares of SPFI common stock, as adjusted pursuant to the Reorganization Agreement, plus cash, without interest, in lieu of any fractional shares (collectively, the “Per Share Merger Consideration”).</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total aggregate consideration delivered to holders of BOH common stock was approximately 2.8 million shares of SPFI common stock. The issuance of shares of SPFI common stock in connection with the Merger was registered under the Securities Act of 1933, as amended (the “Securities Act”), pursuant to a Registration Statement on Form S-4 (File No. 333-293068) initially filed by SPFI with the U.S. Securities and Exchange Commission (the “SEC”) on January 30, 2026 and declared effective by the SEC on February 18, 2026. At March 31, 2026, BOH had $685.0 million in assets, $631.9 million in total gross loans, and $595.6 million in deposits.</w:t>
      </w:r>
    </w:p>
    <w:p>
      <w:pPr>
        <w:pStyle w:val="TextBody"/>
        <w:bidi w:val="0"/>
        <w:spacing w:before="0" w:after="0"/>
        <w:jc w:val="center"/>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Results of Operations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had net income of $14.5 million, or $0.85 per diluted common share, for the three months ended March 31, 2026, compared to net income of $12.3 million, or $0.72 per diluted common share, for the three months ended March 31, 2025. Return on average equity (annualized) was 11.81% and return on average assets (annualized) was 1.31% for the three months ended March 31, 2026, compared to 11.30% and 1.16%, respectively, for the three months ended March 31, 2025. The increase in net income of $2.3 million was primarily the result of an increase of $4.3 million in net interest income and $670 thousand in noninterest income, partially offset by an increase of $2.5 million in noninterest expense.</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28</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Net Interest Income</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interest income is the principal source of the Company’s net income and represents the difference between interest income (interest and fees earned on assets, primarily loans and investment securities) and interest expense (interest paid on deposits and borrowed funds). We generate interest income from interest-earning assets that we own, including loans and investment securities. We incur interest expense from interest-bearing liabilities, including interest-bearing deposits and other borrowings, notably Federal Home Loan Bank of Dallas (“FHLB”) advances and subordinated notes. To evaluate net interest income, we measure and monitor (i) yields on our loans and other interest-earning assets, (ii) the costs of our deposits and other funding sources, (iii) our net interest spread and (iv) our net interest margin. Net interest spread is the difference between rates earned on interest-earning assets and rates paid on interest-bearing liabilities. Net interest margin is calculated as the annualized net interest income on a fully tax-equivalent basis divided by average interest-earning assets.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presents, for the periods indicated, information about: (i) weighted average balances, the total dollar amount of interest income from interest-earning assets and the resultant average yields; (ii) average balances, the total dollar amount of interest expense on interest-bearing liabilities and the resultant average rates; (iii) net interest income; (iv) the interest rate spread; and (v) the net interest margin. For purposes of this table, interest income, net interest margin and net interest spread are shown on a fully tax-equivalent basis.</w:t>
      </w:r>
    </w:p>
    <w:p>
      <w:pPr>
        <w:pStyle w:val="TextBody"/>
        <w:bidi w:val="0"/>
        <w:spacing w:before="0" w:after="0"/>
        <w:jc w:val="center"/>
        <w:rPr/>
      </w:pPr>
      <w:r>
        <w:rPr/>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93" w:name="z5726e20f1c4a45b1afa46318c76cde7d"/>
      <w:bookmarkStart w:id="194" w:name="z5726e20f1c4a45b1afa46318c76cde7d"/>
      <w:bookmarkEnd w:id="194"/>
    </w:p>
    <w:tbl>
      <w:tblPr>
        <w:tblW w:w="10205" w:type="dxa"/>
        <w:jc w:val="center"/>
        <w:tblInd w:w="0" w:type="dxa"/>
        <w:tblLayout w:type="fixed"/>
        <w:tblCellMar>
          <w:top w:w="0" w:type="dxa"/>
          <w:left w:w="0" w:type="dxa"/>
          <w:bottom w:w="0" w:type="dxa"/>
          <w:right w:w="0" w:type="dxa"/>
        </w:tblCellMar>
      </w:tblPr>
      <w:tblGrid>
        <w:gridCol w:w="3405"/>
        <w:gridCol w:w="90"/>
        <w:gridCol w:w="170"/>
        <w:gridCol w:w="1010"/>
        <w:gridCol w:w="90"/>
        <w:gridCol w:w="90"/>
        <w:gridCol w:w="170"/>
        <w:gridCol w:w="710"/>
        <w:gridCol w:w="90"/>
        <w:gridCol w:w="90"/>
        <w:gridCol w:w="98"/>
        <w:gridCol w:w="523"/>
        <w:gridCol w:w="245"/>
        <w:gridCol w:w="90"/>
        <w:gridCol w:w="170"/>
        <w:gridCol w:w="1010"/>
        <w:gridCol w:w="90"/>
        <w:gridCol w:w="90"/>
        <w:gridCol w:w="170"/>
        <w:gridCol w:w="710"/>
        <w:gridCol w:w="90"/>
        <w:gridCol w:w="90"/>
        <w:gridCol w:w="98"/>
        <w:gridCol w:w="523"/>
        <w:gridCol w:w="293"/>
      </w:tblGrid>
      <w:tr>
        <w:trPr/>
        <w:tc>
          <w:tcPr>
            <w:tcW w:w="340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417" w:type="dxa"/>
            <w:gridSpan w:val="22"/>
            <w:tcBorders>
              <w:bottom w:val="single" w:sz="12" w:space="0" w:color="000000"/>
            </w:tcBorders>
            <w:tcMar>
              <w:bottom w:w="28" w:type="dxa"/>
            </w:tcMar>
            <w:vAlign w:val="bottom"/>
          </w:tcPr>
          <w:p>
            <w:pPr>
              <w:pStyle w:val="TableContents"/>
              <w:bidi w:val="0"/>
              <w:spacing w:before="0" w:after="0"/>
              <w:jc w:val="center"/>
              <w:rPr>
                <w:b/>
              </w:rPr>
            </w:pPr>
            <w:r>
              <w:rPr>
                <w:b/>
              </w:rPr>
              <w:t>Three Months Ended March 31,</w:t>
            </w:r>
          </w:p>
        </w:tc>
        <w:tc>
          <w:tcPr>
            <w:tcW w:w="293" w:type="dxa"/>
            <w:tcBorders/>
            <w:vAlign w:val="bottom"/>
          </w:tcPr>
          <w:p>
            <w:pPr>
              <w:pStyle w:val="TableContents"/>
              <w:bidi w:val="0"/>
              <w:spacing w:before="0" w:after="283"/>
              <w:jc w:val="left"/>
              <w:rPr/>
            </w:pPr>
            <w:r>
              <w:rPr/>
              <w:t> </w:t>
            </w:r>
          </w:p>
        </w:tc>
      </w:tr>
      <w:tr>
        <w:trPr/>
        <w:tc>
          <w:tcPr>
            <w:tcW w:w="340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41" w:type="dxa"/>
            <w:gridSpan w:val="10"/>
            <w:tcBorders>
              <w:bottom w:val="single" w:sz="12" w:space="0" w:color="000000"/>
            </w:tcBorders>
            <w:tcMar>
              <w:bottom w:w="28" w:type="dxa"/>
            </w:tcMar>
            <w:vAlign w:val="bottom"/>
          </w:tcPr>
          <w:p>
            <w:pPr>
              <w:pStyle w:val="TableContents"/>
              <w:bidi w:val="0"/>
              <w:spacing w:before="0" w:after="0"/>
              <w:jc w:val="center"/>
              <w:rPr>
                <w:b/>
              </w:rPr>
            </w:pPr>
            <w:r>
              <w:rPr>
                <w:b/>
              </w:rPr>
              <w:t>2026</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41" w:type="dxa"/>
            <w:gridSpan w:val="10"/>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293" w:type="dxa"/>
            <w:tcBorders/>
            <w:vAlign w:val="bottom"/>
          </w:tcPr>
          <w:p>
            <w:pPr>
              <w:pStyle w:val="TableContents"/>
              <w:bidi w:val="0"/>
              <w:spacing w:before="0" w:after="283"/>
              <w:jc w:val="left"/>
              <w:rPr/>
            </w:pPr>
            <w:r>
              <w:rPr/>
              <w:t> </w:t>
            </w:r>
          </w:p>
        </w:tc>
      </w:tr>
      <w:tr>
        <w:trPr/>
        <w:tc>
          <w:tcPr>
            <w:tcW w:w="340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Balance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Interest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2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Yield/</w:t>
            </w:r>
          </w:p>
          <w:p>
            <w:pPr>
              <w:pStyle w:val="TableContents"/>
              <w:bidi w:val="0"/>
              <w:spacing w:before="0" w:after="0"/>
              <w:jc w:val="center"/>
              <w:rPr>
                <w:b/>
                <w:color w:val="000000"/>
              </w:rPr>
            </w:pPr>
            <w:r>
              <w:rPr>
                <w:b/>
                <w:color w:val="000000"/>
              </w:rPr>
              <w:t>Rate</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Balance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Interest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2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Yield/</w:t>
            </w:r>
          </w:p>
          <w:p>
            <w:pPr>
              <w:pStyle w:val="TableContents"/>
              <w:bidi w:val="0"/>
              <w:spacing w:before="0" w:after="0"/>
              <w:jc w:val="center"/>
              <w:rPr>
                <w:b/>
                <w:color w:val="000000"/>
              </w:rPr>
            </w:pPr>
            <w:r>
              <w:rPr>
                <w:b/>
                <w:color w:val="000000"/>
              </w:rPr>
              <w:t>Rate</w:t>
            </w:r>
          </w:p>
        </w:tc>
        <w:tc>
          <w:tcPr>
            <w:tcW w:w="293" w:type="dxa"/>
            <w:tcBorders/>
            <w:vAlign w:val="bottom"/>
          </w:tcPr>
          <w:p>
            <w:pPr>
              <w:pStyle w:val="TableContents"/>
              <w:bidi w:val="0"/>
              <w:spacing w:before="0" w:after="283"/>
              <w:jc w:val="left"/>
              <w:rPr/>
            </w:pPr>
            <w:r>
              <w:rPr/>
              <w:t> </w:t>
            </w:r>
          </w:p>
        </w:tc>
      </w:tr>
      <w:tr>
        <w:trPr/>
        <w:tc>
          <w:tcPr>
            <w:tcW w:w="340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417" w:type="dxa"/>
            <w:gridSpan w:val="22"/>
            <w:tcBorders/>
            <w:vAlign w:val="bottom"/>
          </w:tcPr>
          <w:p>
            <w:pPr>
              <w:pStyle w:val="TableContents"/>
              <w:bidi w:val="0"/>
              <w:spacing w:before="0" w:after="0"/>
              <w:jc w:val="center"/>
              <w:rPr>
                <w:b/>
                <w:color w:val="000000"/>
              </w:rPr>
            </w:pPr>
            <w:r>
              <w:rPr>
                <w:b/>
                <w:color w:val="000000"/>
              </w:rPr>
              <w:t>(Dollars in thousands)</w:t>
            </w:r>
          </w:p>
        </w:tc>
        <w:tc>
          <w:tcPr>
            <w:tcW w:w="293" w:type="dxa"/>
            <w:tcBorders/>
            <w:vAlign w:val="bottom"/>
          </w:tcPr>
          <w:p>
            <w:pPr>
              <w:pStyle w:val="TableContents"/>
              <w:bidi w:val="0"/>
              <w:spacing w:before="0" w:after="283"/>
              <w:jc w:val="left"/>
              <w:rPr/>
            </w:pPr>
            <w:r>
              <w:rPr/>
              <w:t> </w:t>
            </w:r>
          </w:p>
        </w:tc>
      </w:tr>
      <w:tr>
        <w:trPr/>
        <w:tc>
          <w:tcPr>
            <w:tcW w:w="3405" w:type="dxa"/>
            <w:tcBorders/>
            <w:vAlign w:val="bottom"/>
          </w:tcPr>
          <w:p>
            <w:pPr>
              <w:pStyle w:val="TableContents"/>
              <w:bidi w:val="0"/>
              <w:spacing w:before="0" w:after="0"/>
              <w:ind w:left="144" w:right="0" w:hanging="144"/>
              <w:jc w:val="left"/>
              <w:rPr>
                <w:b/>
                <w:color w:val="000000"/>
              </w:rPr>
            </w:pPr>
            <w:r>
              <w:rPr>
                <w:b/>
                <w:color w:val="000000"/>
              </w:rPr>
              <w:t>Assets:</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21"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21" w:type="dxa"/>
            <w:gridSpan w:val="2"/>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r>
      <w:tr>
        <w:trPr/>
        <w:tc>
          <w:tcPr>
            <w:tcW w:w="3405" w:type="dxa"/>
            <w:tcBorders/>
            <w:vAlign w:val="bottom"/>
          </w:tcPr>
          <w:p>
            <w:pPr>
              <w:pStyle w:val="TableContents"/>
              <w:bidi w:val="0"/>
              <w:spacing w:before="0" w:after="0"/>
              <w:ind w:left="144" w:right="0" w:hanging="144"/>
              <w:jc w:val="left"/>
              <w:rPr>
                <w:color w:val="000000"/>
              </w:rPr>
            </w:pPr>
            <w:r>
              <w:rPr>
                <w:color w:val="000000"/>
              </w:rPr>
              <w:t>Interest-earning assets:</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21"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21" w:type="dxa"/>
            <w:gridSpan w:val="2"/>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r>
      <w:tr>
        <w:trPr/>
        <w:tc>
          <w:tcPr>
            <w:tcW w:w="3405" w:type="dxa"/>
            <w:tcBorders/>
            <w:shd w:fill="CCEEFF" w:val="clear"/>
            <w:vAlign w:val="bottom"/>
          </w:tcPr>
          <w:p>
            <w:pPr>
              <w:pStyle w:val="TableContents"/>
              <w:bidi w:val="0"/>
              <w:spacing w:lineRule="auto" w:line="240" w:before="0" w:after="0"/>
              <w:ind w:left="288" w:right="0" w:hanging="144"/>
              <w:jc w:val="left"/>
              <w:rPr>
                <w:color w:val="000000"/>
              </w:rPr>
            </w:pPr>
            <w:r>
              <w:rPr>
                <w:color w:val="000000"/>
              </w:rPr>
              <w:t>Loans (1)</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010" w:type="dxa"/>
            <w:tcBorders/>
            <w:shd w:fill="CCEEFF" w:val="clear"/>
            <w:vAlign w:val="bottom"/>
          </w:tcPr>
          <w:p>
            <w:pPr>
              <w:pStyle w:val="TableContents"/>
              <w:bidi w:val="0"/>
              <w:spacing w:before="0" w:after="0"/>
              <w:jc w:val="right"/>
              <w:rPr/>
            </w:pPr>
            <w:r>
              <w:rPr/>
              <w:t>3,130,166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52,684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0"/>
              <w:jc w:val="right"/>
              <w:rPr/>
            </w:pPr>
            <w:r>
              <w:rPr/>
              <w:t>6.83</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010" w:type="dxa"/>
            <w:tcBorders/>
            <w:shd w:fill="CCEEFF" w:val="clear"/>
            <w:vAlign w:val="bottom"/>
          </w:tcPr>
          <w:p>
            <w:pPr>
              <w:pStyle w:val="TableContents"/>
              <w:bidi w:val="0"/>
              <w:spacing w:before="0" w:after="0"/>
              <w:jc w:val="right"/>
              <w:rPr/>
            </w:pPr>
            <w:r>
              <w:rPr/>
              <w:t>3,074,568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50,577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0"/>
              <w:jc w:val="right"/>
              <w:rPr/>
            </w:pPr>
            <w:r>
              <w:rPr/>
              <w:t>6.67</w:t>
            </w:r>
          </w:p>
        </w:tc>
        <w:tc>
          <w:tcPr>
            <w:tcW w:w="293" w:type="dxa"/>
            <w:tcBorders/>
            <w:shd w:fill="CCEEFF" w:val="clear"/>
            <w:vAlign w:val="bottom"/>
          </w:tcPr>
          <w:p>
            <w:pPr>
              <w:pStyle w:val="TableContents"/>
              <w:bidi w:val="0"/>
              <w:spacing w:before="0" w:after="0"/>
              <w:jc w:val="left"/>
              <w:rPr/>
            </w:pPr>
            <w:r>
              <w:rPr/>
              <w:t>%</w:t>
            </w:r>
          </w:p>
        </w:tc>
      </w:tr>
      <w:tr>
        <w:trPr/>
        <w:tc>
          <w:tcPr>
            <w:tcW w:w="3405" w:type="dxa"/>
            <w:tcBorders/>
            <w:vAlign w:val="bottom"/>
          </w:tcPr>
          <w:p>
            <w:pPr>
              <w:pStyle w:val="TableContents"/>
              <w:bidi w:val="0"/>
              <w:spacing w:before="0" w:after="0"/>
              <w:ind w:left="288" w:right="0" w:hanging="144"/>
              <w:jc w:val="left"/>
              <w:rPr>
                <w:color w:val="000000"/>
              </w:rPr>
            </w:pPr>
            <w:r>
              <w:rPr>
                <w:color w:val="000000"/>
              </w:rPr>
              <w:t>Investment securities – taxable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490,111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4,285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0"/>
              <w:jc w:val="right"/>
              <w:rPr/>
            </w:pPr>
            <w:r>
              <w:rPr/>
              <w:t>3.55</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510,354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4,692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0"/>
              <w:jc w:val="right"/>
              <w:rPr/>
            </w:pPr>
            <w:r>
              <w:rPr/>
              <w:t>3.73</w:t>
            </w:r>
          </w:p>
        </w:tc>
        <w:tc>
          <w:tcPr>
            <w:tcW w:w="293" w:type="dxa"/>
            <w:tcBorders/>
            <w:vAlign w:val="bottom"/>
          </w:tcPr>
          <w:p>
            <w:pPr>
              <w:pStyle w:val="TableContents"/>
              <w:bidi w:val="0"/>
              <w:spacing w:before="0" w:after="0"/>
              <w:jc w:val="left"/>
              <w:rPr/>
            </w:pPr>
            <w:r>
              <w:rPr/>
              <w:t>%</w:t>
            </w:r>
          </w:p>
        </w:tc>
      </w:tr>
      <w:tr>
        <w:trPr/>
        <w:tc>
          <w:tcPr>
            <w:tcW w:w="3405" w:type="dxa"/>
            <w:tcBorders/>
            <w:shd w:fill="CCEEFF" w:val="clear"/>
            <w:vAlign w:val="bottom"/>
          </w:tcPr>
          <w:p>
            <w:pPr>
              <w:pStyle w:val="TableContents"/>
              <w:bidi w:val="0"/>
              <w:spacing w:before="0" w:after="0"/>
              <w:ind w:left="288" w:right="0" w:hanging="144"/>
              <w:jc w:val="left"/>
              <w:rPr>
                <w:color w:val="000000"/>
              </w:rPr>
            </w:pPr>
            <w:r>
              <w:rPr>
                <w:color w:val="000000"/>
              </w:rPr>
              <w:t>Investment securities – non-taxable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153,265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1,080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0"/>
              <w:jc w:val="right"/>
              <w:rPr/>
            </w:pPr>
            <w:r>
              <w:rPr/>
              <w:t>2.86</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153,229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1,014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0"/>
              <w:jc w:val="right"/>
              <w:rPr/>
            </w:pPr>
            <w:r>
              <w:rPr/>
              <w:t>2.68</w:t>
            </w:r>
          </w:p>
        </w:tc>
        <w:tc>
          <w:tcPr>
            <w:tcW w:w="293" w:type="dxa"/>
            <w:tcBorders/>
            <w:shd w:fill="CCEEFF" w:val="clear"/>
            <w:vAlign w:val="bottom"/>
          </w:tcPr>
          <w:p>
            <w:pPr>
              <w:pStyle w:val="TableContents"/>
              <w:bidi w:val="0"/>
              <w:spacing w:before="0" w:after="0"/>
              <w:jc w:val="left"/>
              <w:rPr/>
            </w:pPr>
            <w:r>
              <w:rPr/>
              <w:t>%</w:t>
            </w:r>
          </w:p>
        </w:tc>
      </w:tr>
      <w:tr>
        <w:trPr/>
        <w:tc>
          <w:tcPr>
            <w:tcW w:w="3405" w:type="dxa"/>
            <w:tcBorders/>
            <w:vAlign w:val="bottom"/>
          </w:tcPr>
          <w:p>
            <w:pPr>
              <w:pStyle w:val="TableContents"/>
              <w:bidi w:val="0"/>
              <w:spacing w:lineRule="auto" w:line="240" w:before="0" w:after="0"/>
              <w:ind w:left="288" w:right="0" w:hanging="144"/>
              <w:jc w:val="left"/>
              <w:rPr>
                <w:color w:val="000000"/>
              </w:rPr>
            </w:pPr>
            <w:r>
              <w:rPr>
                <w:color w:val="000000"/>
              </w:rPr>
              <w:t>Other interest-earning assets (2)</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556,539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4,817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 w:type="dxa"/>
            <w:tcBorders>
              <w:bottom w:val="single" w:sz="12" w:space="0" w:color="000000"/>
            </w:tcBorders>
            <w:tcMar>
              <w:bottom w:w="28" w:type="dxa"/>
            </w:tcMar>
            <w:vAlign w:val="bottom"/>
          </w:tcPr>
          <w:p>
            <w:pPr>
              <w:pStyle w:val="TableContents"/>
              <w:bidi w:val="0"/>
              <w:spacing w:before="0" w:after="283"/>
              <w:jc w:val="left"/>
              <w:rPr/>
            </w:pPr>
            <w:r>
              <w:rPr/>
              <w:t> </w:t>
            </w:r>
          </w:p>
        </w:tc>
        <w:tc>
          <w:tcPr>
            <w:tcW w:w="523" w:type="dxa"/>
            <w:tcBorders>
              <w:bottom w:val="single" w:sz="12" w:space="0" w:color="000000"/>
            </w:tcBorders>
            <w:tcMar>
              <w:bottom w:w="28" w:type="dxa"/>
            </w:tcMar>
            <w:vAlign w:val="bottom"/>
          </w:tcPr>
          <w:p>
            <w:pPr>
              <w:pStyle w:val="TableContents"/>
              <w:bidi w:val="0"/>
              <w:spacing w:before="0" w:after="0"/>
              <w:jc w:val="right"/>
              <w:rPr/>
            </w:pPr>
            <w:r>
              <w:rPr/>
              <w:t>3.51</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386,979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3,859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 w:type="dxa"/>
            <w:tcBorders>
              <w:bottom w:val="single" w:sz="12" w:space="0" w:color="000000"/>
            </w:tcBorders>
            <w:tcMar>
              <w:bottom w:w="28" w:type="dxa"/>
            </w:tcMar>
            <w:vAlign w:val="bottom"/>
          </w:tcPr>
          <w:p>
            <w:pPr>
              <w:pStyle w:val="TableContents"/>
              <w:bidi w:val="0"/>
              <w:spacing w:before="0" w:after="283"/>
              <w:jc w:val="left"/>
              <w:rPr/>
            </w:pPr>
            <w:r>
              <w:rPr/>
              <w:t> </w:t>
            </w:r>
          </w:p>
        </w:tc>
        <w:tc>
          <w:tcPr>
            <w:tcW w:w="523" w:type="dxa"/>
            <w:tcBorders>
              <w:bottom w:val="single" w:sz="12" w:space="0" w:color="000000"/>
            </w:tcBorders>
            <w:tcMar>
              <w:bottom w:w="28" w:type="dxa"/>
            </w:tcMar>
            <w:vAlign w:val="bottom"/>
          </w:tcPr>
          <w:p>
            <w:pPr>
              <w:pStyle w:val="TableContents"/>
              <w:bidi w:val="0"/>
              <w:spacing w:before="0" w:after="0"/>
              <w:jc w:val="right"/>
              <w:rPr/>
            </w:pPr>
            <w:r>
              <w:rPr/>
              <w:t>4.04</w:t>
            </w:r>
          </w:p>
        </w:tc>
        <w:tc>
          <w:tcPr>
            <w:tcW w:w="293" w:type="dxa"/>
            <w:tcBorders/>
            <w:vAlign w:val="bottom"/>
          </w:tcPr>
          <w:p>
            <w:pPr>
              <w:pStyle w:val="TableContents"/>
              <w:bidi w:val="0"/>
              <w:spacing w:before="0" w:after="0"/>
              <w:jc w:val="left"/>
              <w:rPr/>
            </w:pPr>
            <w:r>
              <w:rPr/>
              <w:t>%</w:t>
            </w:r>
          </w:p>
        </w:tc>
      </w:tr>
      <w:tr>
        <w:trPr/>
        <w:tc>
          <w:tcPr>
            <w:tcW w:w="3405" w:type="dxa"/>
            <w:tcBorders/>
            <w:shd w:fill="CCEEFF" w:val="clear"/>
            <w:vAlign w:val="bottom"/>
          </w:tcPr>
          <w:p>
            <w:pPr>
              <w:pStyle w:val="TableContents"/>
              <w:bidi w:val="0"/>
              <w:spacing w:before="0" w:after="0"/>
              <w:ind w:left="180" w:right="0" w:hanging="0"/>
              <w:jc w:val="left"/>
              <w:rPr>
                <w:color w:val="000000"/>
              </w:rPr>
            </w:pPr>
            <w:r>
              <w:rPr>
                <w:color w:val="000000"/>
              </w:rPr>
              <w:t>Total interest-earning assets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4,330,081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62,866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0"/>
              <w:jc w:val="right"/>
              <w:rPr/>
            </w:pPr>
            <w:r>
              <w:rPr/>
              <w:t>5.89</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4,125,130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60,142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0"/>
              <w:jc w:val="right"/>
              <w:rPr/>
            </w:pPr>
            <w:r>
              <w:rPr/>
              <w:t>5.91</w:t>
            </w:r>
          </w:p>
        </w:tc>
        <w:tc>
          <w:tcPr>
            <w:tcW w:w="293" w:type="dxa"/>
            <w:tcBorders/>
            <w:shd w:fill="CCEEFF" w:val="clear"/>
            <w:vAlign w:val="bottom"/>
          </w:tcPr>
          <w:p>
            <w:pPr>
              <w:pStyle w:val="TableContents"/>
              <w:bidi w:val="0"/>
              <w:spacing w:before="0" w:after="0"/>
              <w:jc w:val="left"/>
              <w:rPr/>
            </w:pPr>
            <w:r>
              <w:rPr/>
              <w:t>%</w:t>
            </w:r>
          </w:p>
        </w:tc>
      </w:tr>
      <w:tr>
        <w:trPr/>
        <w:tc>
          <w:tcPr>
            <w:tcW w:w="3405" w:type="dxa"/>
            <w:tcBorders/>
            <w:vAlign w:val="bottom"/>
          </w:tcPr>
          <w:p>
            <w:pPr>
              <w:pStyle w:val="TableContents"/>
              <w:bidi w:val="0"/>
              <w:spacing w:before="0" w:after="0"/>
              <w:ind w:left="144" w:right="0" w:hanging="144"/>
              <w:jc w:val="left"/>
              <w:rPr>
                <w:color w:val="000000"/>
              </w:rPr>
            </w:pPr>
            <w:r>
              <w:rPr>
                <w:color w:val="000000"/>
              </w:rPr>
              <w:t>Noninterest-earning assets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180,943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171,683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 </w:t>
            </w:r>
          </w:p>
        </w:tc>
        <w:tc>
          <w:tcPr>
            <w:tcW w:w="293" w:type="dxa"/>
            <w:tcBorders/>
            <w:vAlign w:val="bottom"/>
          </w:tcPr>
          <w:p>
            <w:pPr>
              <w:pStyle w:val="TableContents"/>
              <w:bidi w:val="0"/>
              <w:spacing w:before="0" w:after="283"/>
              <w:jc w:val="left"/>
              <w:rPr/>
            </w:pPr>
            <w:r>
              <w:rPr/>
              <w:t> </w:t>
            </w:r>
          </w:p>
        </w:tc>
      </w:tr>
      <w:tr>
        <w:trPr/>
        <w:tc>
          <w:tcPr>
            <w:tcW w:w="3405" w:type="dxa"/>
            <w:tcBorders/>
            <w:shd w:fill="CCEEFF" w:val="clear"/>
            <w:vAlign w:val="bottom"/>
          </w:tcPr>
          <w:p>
            <w:pPr>
              <w:pStyle w:val="TableContents"/>
              <w:bidi w:val="0"/>
              <w:spacing w:before="0" w:after="0"/>
              <w:ind w:left="504" w:right="0" w:hanging="144"/>
              <w:jc w:val="left"/>
              <w:rPr>
                <w:color w:val="000000"/>
              </w:rPr>
            </w:pPr>
            <w:r>
              <w:rPr>
                <w:color w:val="000000"/>
              </w:rPr>
              <w:t>Total assets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pPr>
            <w:r>
              <w:rPr/>
              <w:t>4,511,024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pPr>
            <w:r>
              <w:rPr/>
              <w:t>4,296,813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right"/>
              <w:rPr/>
            </w:pPr>
            <w:r>
              <w:rPr/>
              <w:t> </w:t>
            </w:r>
          </w:p>
        </w:tc>
        <w:tc>
          <w:tcPr>
            <w:tcW w:w="293" w:type="dxa"/>
            <w:tcBorders/>
            <w:shd w:fill="CCEEFF" w:val="clear"/>
            <w:vAlign w:val="bottom"/>
          </w:tcPr>
          <w:p>
            <w:pPr>
              <w:pStyle w:val="TableContents"/>
              <w:bidi w:val="0"/>
              <w:spacing w:before="0" w:after="283"/>
              <w:jc w:val="left"/>
              <w:rPr/>
            </w:pPr>
            <w:r>
              <w:rPr/>
              <w:t> </w:t>
            </w:r>
          </w:p>
        </w:tc>
      </w:tr>
      <w:tr>
        <w:trPr/>
        <w:tc>
          <w:tcPr>
            <w:tcW w:w="340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 </w:t>
            </w:r>
          </w:p>
        </w:tc>
        <w:tc>
          <w:tcPr>
            <w:tcW w:w="293" w:type="dxa"/>
            <w:tcBorders/>
            <w:vAlign w:val="bottom"/>
          </w:tcPr>
          <w:p>
            <w:pPr>
              <w:pStyle w:val="TableContents"/>
              <w:bidi w:val="0"/>
              <w:spacing w:before="0" w:after="283"/>
              <w:jc w:val="left"/>
              <w:rPr/>
            </w:pPr>
            <w:r>
              <w:rPr/>
              <w:t> </w:t>
            </w:r>
          </w:p>
        </w:tc>
      </w:tr>
      <w:tr>
        <w:trPr/>
        <w:tc>
          <w:tcPr>
            <w:tcW w:w="3405" w:type="dxa"/>
            <w:tcBorders/>
            <w:shd w:fill="CCEEFF" w:val="clear"/>
            <w:vAlign w:val="bottom"/>
          </w:tcPr>
          <w:p>
            <w:pPr>
              <w:pStyle w:val="TableContents"/>
              <w:bidi w:val="0"/>
              <w:spacing w:before="0" w:after="0"/>
              <w:ind w:left="144" w:right="0" w:hanging="144"/>
              <w:jc w:val="left"/>
              <w:rPr>
                <w:b/>
                <w:color w:val="000000"/>
              </w:rPr>
            </w:pPr>
            <w:r>
              <w:rPr>
                <w:b/>
                <w:color w:val="000000"/>
              </w:rPr>
              <w:t>Liabilities and Stockholders’ Equity:</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right"/>
              <w:rPr/>
            </w:pPr>
            <w:r>
              <w:rPr/>
              <w:t> </w:t>
            </w:r>
          </w:p>
        </w:tc>
        <w:tc>
          <w:tcPr>
            <w:tcW w:w="293" w:type="dxa"/>
            <w:tcBorders/>
            <w:shd w:fill="CCEEFF" w:val="clear"/>
            <w:vAlign w:val="bottom"/>
          </w:tcPr>
          <w:p>
            <w:pPr>
              <w:pStyle w:val="TableContents"/>
              <w:bidi w:val="0"/>
              <w:spacing w:before="0" w:after="283"/>
              <w:jc w:val="left"/>
              <w:rPr/>
            </w:pPr>
            <w:r>
              <w:rPr/>
              <w:t> </w:t>
            </w:r>
          </w:p>
        </w:tc>
      </w:tr>
      <w:tr>
        <w:trPr/>
        <w:tc>
          <w:tcPr>
            <w:tcW w:w="3405" w:type="dxa"/>
            <w:tcBorders/>
            <w:vAlign w:val="bottom"/>
          </w:tcPr>
          <w:p>
            <w:pPr>
              <w:pStyle w:val="TableContents"/>
              <w:bidi w:val="0"/>
              <w:spacing w:before="0" w:after="0"/>
              <w:ind w:left="144" w:right="0" w:hanging="144"/>
              <w:jc w:val="left"/>
              <w:rPr>
                <w:color w:val="000000"/>
              </w:rPr>
            </w:pPr>
            <w:r>
              <w:rPr>
                <w:color w:val="000000"/>
              </w:rPr>
              <w:t>Interest-bearing liabilities: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 </w:t>
            </w:r>
          </w:p>
        </w:tc>
        <w:tc>
          <w:tcPr>
            <w:tcW w:w="293" w:type="dxa"/>
            <w:tcBorders/>
            <w:vAlign w:val="bottom"/>
          </w:tcPr>
          <w:p>
            <w:pPr>
              <w:pStyle w:val="TableContents"/>
              <w:bidi w:val="0"/>
              <w:spacing w:before="0" w:after="283"/>
              <w:jc w:val="left"/>
              <w:rPr/>
            </w:pPr>
            <w:r>
              <w:rPr/>
              <w:t> </w:t>
            </w:r>
          </w:p>
        </w:tc>
      </w:tr>
      <w:tr>
        <w:trPr/>
        <w:tc>
          <w:tcPr>
            <w:tcW w:w="3405" w:type="dxa"/>
            <w:tcBorders/>
            <w:shd w:fill="CCEEFF" w:val="clear"/>
            <w:vAlign w:val="bottom"/>
          </w:tcPr>
          <w:p>
            <w:pPr>
              <w:pStyle w:val="TableContents"/>
              <w:bidi w:val="0"/>
              <w:spacing w:before="0" w:after="0"/>
              <w:ind w:left="288" w:right="0" w:hanging="144"/>
              <w:jc w:val="left"/>
              <w:rPr>
                <w:color w:val="000000"/>
              </w:rPr>
            </w:pPr>
            <w:r>
              <w:rPr>
                <w:color w:val="000000"/>
              </w:rPr>
              <w:t>NOW, savings and money market deposits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010" w:type="dxa"/>
            <w:tcBorders/>
            <w:shd w:fill="CCEEFF" w:val="clear"/>
            <w:vAlign w:val="bottom"/>
          </w:tcPr>
          <w:p>
            <w:pPr>
              <w:pStyle w:val="TableContents"/>
              <w:bidi w:val="0"/>
              <w:spacing w:before="0" w:after="0"/>
              <w:jc w:val="right"/>
              <w:rPr/>
            </w:pPr>
            <w:r>
              <w:rPr/>
              <w:t>2,467,478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15,054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0"/>
              <w:jc w:val="right"/>
              <w:rPr/>
            </w:pPr>
            <w:r>
              <w:rPr/>
              <w:t>2.47</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010" w:type="dxa"/>
            <w:tcBorders/>
            <w:shd w:fill="CCEEFF" w:val="clear"/>
            <w:vAlign w:val="bottom"/>
          </w:tcPr>
          <w:p>
            <w:pPr>
              <w:pStyle w:val="TableContents"/>
              <w:bidi w:val="0"/>
              <w:spacing w:before="0" w:after="0"/>
              <w:jc w:val="right"/>
              <w:rPr/>
            </w:pPr>
            <w:r>
              <w:rPr/>
              <w:t>2,302,344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15,511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0"/>
              <w:jc w:val="right"/>
              <w:rPr/>
            </w:pPr>
            <w:r>
              <w:rPr/>
              <w:t>2.73</w:t>
            </w:r>
          </w:p>
        </w:tc>
        <w:tc>
          <w:tcPr>
            <w:tcW w:w="293" w:type="dxa"/>
            <w:tcBorders/>
            <w:shd w:fill="CCEEFF" w:val="clear"/>
            <w:vAlign w:val="bottom"/>
          </w:tcPr>
          <w:p>
            <w:pPr>
              <w:pStyle w:val="TableContents"/>
              <w:bidi w:val="0"/>
              <w:spacing w:before="0" w:after="0"/>
              <w:jc w:val="left"/>
              <w:rPr/>
            </w:pPr>
            <w:r>
              <w:rPr/>
              <w:t>%</w:t>
            </w:r>
          </w:p>
        </w:tc>
      </w:tr>
      <w:tr>
        <w:trPr/>
        <w:tc>
          <w:tcPr>
            <w:tcW w:w="3405" w:type="dxa"/>
            <w:tcBorders/>
            <w:vAlign w:val="bottom"/>
          </w:tcPr>
          <w:p>
            <w:pPr>
              <w:pStyle w:val="TableContents"/>
              <w:bidi w:val="0"/>
              <w:spacing w:before="0" w:after="0"/>
              <w:ind w:left="288" w:right="0" w:hanging="144"/>
              <w:jc w:val="left"/>
              <w:rPr>
                <w:color w:val="000000"/>
              </w:rPr>
            </w:pPr>
            <w:r>
              <w:rPr>
                <w:color w:val="000000"/>
              </w:rPr>
              <w:t>Time deposits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436,649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3,824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0"/>
              <w:jc w:val="right"/>
              <w:rPr/>
            </w:pPr>
            <w:r>
              <w:rPr/>
              <w:t>3.55</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441,895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4,316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0"/>
              <w:jc w:val="right"/>
              <w:rPr/>
            </w:pPr>
            <w:r>
              <w:rPr/>
              <w:t>3.96</w:t>
            </w:r>
          </w:p>
        </w:tc>
        <w:tc>
          <w:tcPr>
            <w:tcW w:w="293" w:type="dxa"/>
            <w:tcBorders/>
            <w:vAlign w:val="bottom"/>
          </w:tcPr>
          <w:p>
            <w:pPr>
              <w:pStyle w:val="TableContents"/>
              <w:bidi w:val="0"/>
              <w:spacing w:before="0" w:after="0"/>
              <w:jc w:val="left"/>
              <w:rPr/>
            </w:pPr>
            <w:r>
              <w:rPr/>
              <w:t>%</w:t>
            </w:r>
          </w:p>
        </w:tc>
      </w:tr>
      <w:tr>
        <w:trPr/>
        <w:tc>
          <w:tcPr>
            <w:tcW w:w="3405" w:type="dxa"/>
            <w:tcBorders/>
            <w:shd w:fill="CCEEFF" w:val="clear"/>
            <w:vAlign w:val="bottom"/>
          </w:tcPr>
          <w:p>
            <w:pPr>
              <w:pStyle w:val="TableContents"/>
              <w:bidi w:val="0"/>
              <w:spacing w:before="0" w:after="0"/>
              <w:ind w:left="288" w:right="0" w:hanging="144"/>
              <w:jc w:val="left"/>
              <w:rPr>
                <w:color w:val="000000"/>
              </w:rPr>
            </w:pPr>
            <w:r>
              <w:rPr>
                <w:color w:val="000000"/>
              </w:rPr>
              <w:t>Short-term borrowings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0"/>
              <w:jc w:val="right"/>
              <w:rPr/>
            </w:pPr>
            <w:r>
              <w:rPr/>
              <w:t>—</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0"/>
              <w:jc w:val="right"/>
              <w:rPr/>
            </w:pPr>
            <w:r>
              <w:rPr/>
              <w:t>—</w:t>
            </w:r>
          </w:p>
        </w:tc>
        <w:tc>
          <w:tcPr>
            <w:tcW w:w="293" w:type="dxa"/>
            <w:tcBorders/>
            <w:shd w:fill="CCEEFF" w:val="clear"/>
            <w:vAlign w:val="bottom"/>
          </w:tcPr>
          <w:p>
            <w:pPr>
              <w:pStyle w:val="TableContents"/>
              <w:bidi w:val="0"/>
              <w:spacing w:before="0" w:after="0"/>
              <w:jc w:val="left"/>
              <w:rPr/>
            </w:pPr>
            <w:r>
              <w:rPr/>
              <w:t>%</w:t>
            </w:r>
          </w:p>
        </w:tc>
      </w:tr>
      <w:tr>
        <w:trPr/>
        <w:tc>
          <w:tcPr>
            <w:tcW w:w="3405" w:type="dxa"/>
            <w:tcBorders/>
            <w:vAlign w:val="bottom"/>
          </w:tcPr>
          <w:p>
            <w:pPr>
              <w:pStyle w:val="TableContents"/>
              <w:bidi w:val="0"/>
              <w:spacing w:before="0" w:after="0"/>
              <w:ind w:left="288" w:right="0" w:hanging="144"/>
              <w:jc w:val="left"/>
              <w:rPr>
                <w:color w:val="000000"/>
              </w:rPr>
            </w:pPr>
            <w:r>
              <w:rPr>
                <w:color w:val="000000"/>
              </w:rPr>
              <w:t>Subordinated debt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14,100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243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0"/>
              <w:jc w:val="right"/>
              <w:rPr/>
            </w:pPr>
            <w:r>
              <w:rPr/>
              <w:t>6.99</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63,984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835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0"/>
              <w:jc w:val="right"/>
              <w:rPr/>
            </w:pPr>
            <w:r>
              <w:rPr/>
              <w:t>5.29</w:t>
            </w:r>
          </w:p>
        </w:tc>
        <w:tc>
          <w:tcPr>
            <w:tcW w:w="293" w:type="dxa"/>
            <w:tcBorders/>
            <w:vAlign w:val="bottom"/>
          </w:tcPr>
          <w:p>
            <w:pPr>
              <w:pStyle w:val="TableContents"/>
              <w:bidi w:val="0"/>
              <w:spacing w:before="0" w:after="0"/>
              <w:jc w:val="left"/>
              <w:rPr/>
            </w:pPr>
            <w:r>
              <w:rPr/>
              <w:t>%</w:t>
            </w:r>
          </w:p>
        </w:tc>
      </w:tr>
      <w:tr>
        <w:trPr/>
        <w:tc>
          <w:tcPr>
            <w:tcW w:w="3405" w:type="dxa"/>
            <w:tcBorders/>
            <w:shd w:fill="CCEEFF" w:val="clear"/>
            <w:vAlign w:val="bottom"/>
          </w:tcPr>
          <w:p>
            <w:pPr>
              <w:pStyle w:val="TableContents"/>
              <w:bidi w:val="0"/>
              <w:spacing w:before="0" w:after="0"/>
              <w:ind w:left="288" w:right="0" w:hanging="144"/>
              <w:jc w:val="left"/>
              <w:rPr>
                <w:color w:val="000000"/>
              </w:rPr>
            </w:pPr>
            <w:r>
              <w:rPr>
                <w:color w:val="000000"/>
              </w:rPr>
              <w:t>Junior subordinated deferrable interest debentures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46,393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659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23" w:type="dxa"/>
            <w:tcBorders>
              <w:bottom w:val="single" w:sz="12" w:space="0" w:color="000000"/>
            </w:tcBorders>
            <w:shd w:fill="CCEEFF" w:val="clear"/>
            <w:tcMar>
              <w:bottom w:w="28" w:type="dxa"/>
            </w:tcMar>
            <w:vAlign w:val="bottom"/>
          </w:tcPr>
          <w:p>
            <w:pPr>
              <w:pStyle w:val="TableContents"/>
              <w:bidi w:val="0"/>
              <w:spacing w:before="0" w:after="0"/>
              <w:jc w:val="right"/>
              <w:rPr/>
            </w:pPr>
            <w:r>
              <w:rPr/>
              <w:t>5.76</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46,393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733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23" w:type="dxa"/>
            <w:tcBorders>
              <w:bottom w:val="single" w:sz="12" w:space="0" w:color="000000"/>
            </w:tcBorders>
            <w:shd w:fill="CCEEFF" w:val="clear"/>
            <w:tcMar>
              <w:bottom w:w="28" w:type="dxa"/>
            </w:tcMar>
            <w:vAlign w:val="bottom"/>
          </w:tcPr>
          <w:p>
            <w:pPr>
              <w:pStyle w:val="TableContents"/>
              <w:bidi w:val="0"/>
              <w:spacing w:before="0" w:after="0"/>
              <w:jc w:val="right"/>
              <w:rPr/>
            </w:pPr>
            <w:r>
              <w:rPr/>
              <w:t>6.41</w:t>
            </w:r>
          </w:p>
        </w:tc>
        <w:tc>
          <w:tcPr>
            <w:tcW w:w="293" w:type="dxa"/>
            <w:tcBorders/>
            <w:shd w:fill="CCEEFF" w:val="clear"/>
            <w:vAlign w:val="bottom"/>
          </w:tcPr>
          <w:p>
            <w:pPr>
              <w:pStyle w:val="TableContents"/>
              <w:bidi w:val="0"/>
              <w:spacing w:before="0" w:after="0"/>
              <w:jc w:val="left"/>
              <w:rPr/>
            </w:pPr>
            <w:r>
              <w:rPr/>
              <w:t>%</w:t>
            </w:r>
          </w:p>
        </w:tc>
      </w:tr>
      <w:tr>
        <w:trPr/>
        <w:tc>
          <w:tcPr>
            <w:tcW w:w="3405" w:type="dxa"/>
            <w:tcBorders/>
            <w:vAlign w:val="bottom"/>
          </w:tcPr>
          <w:p>
            <w:pPr>
              <w:pStyle w:val="TableContents"/>
              <w:bidi w:val="0"/>
              <w:spacing w:before="0" w:after="0"/>
              <w:ind w:left="504" w:right="0" w:hanging="144"/>
              <w:jc w:val="left"/>
              <w:rPr>
                <w:color w:val="000000"/>
              </w:rPr>
            </w:pPr>
            <w:r>
              <w:rPr>
                <w:color w:val="000000"/>
              </w:rPr>
              <w:t>Total interest-bearing liabilities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1010" w:type="dxa"/>
            <w:tcBorders>
              <w:bottom w:val="single" w:sz="12" w:space="0" w:color="000000"/>
            </w:tcBorders>
            <w:tcMar>
              <w:bottom w:w="28" w:type="dxa"/>
            </w:tcMar>
            <w:vAlign w:val="bottom"/>
          </w:tcPr>
          <w:p>
            <w:pPr>
              <w:pStyle w:val="TableContents"/>
              <w:bidi w:val="0"/>
              <w:spacing w:before="0" w:after="0"/>
              <w:jc w:val="right"/>
              <w:rPr/>
            </w:pPr>
            <w:r>
              <w:rPr/>
              <w:t>2,964,623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710" w:type="dxa"/>
            <w:tcBorders>
              <w:bottom w:val="single" w:sz="12" w:space="0" w:color="000000"/>
            </w:tcBorders>
            <w:tcMar>
              <w:bottom w:w="28" w:type="dxa"/>
            </w:tcMar>
            <w:vAlign w:val="bottom"/>
          </w:tcPr>
          <w:p>
            <w:pPr>
              <w:pStyle w:val="TableContents"/>
              <w:bidi w:val="0"/>
              <w:spacing w:before="0" w:after="0"/>
              <w:jc w:val="right"/>
              <w:rPr/>
            </w:pPr>
            <w:r>
              <w:rPr/>
              <w:t>19,780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 w:type="dxa"/>
            <w:tcBorders>
              <w:bottom w:val="single" w:sz="12" w:space="0" w:color="000000"/>
            </w:tcBorders>
            <w:tcMar>
              <w:bottom w:w="28" w:type="dxa"/>
            </w:tcMar>
            <w:vAlign w:val="bottom"/>
          </w:tcPr>
          <w:p>
            <w:pPr>
              <w:pStyle w:val="TableContents"/>
              <w:bidi w:val="0"/>
              <w:spacing w:before="0" w:after="283"/>
              <w:jc w:val="left"/>
              <w:rPr/>
            </w:pPr>
            <w:r>
              <w:rPr/>
              <w:t> </w:t>
            </w:r>
          </w:p>
        </w:tc>
        <w:tc>
          <w:tcPr>
            <w:tcW w:w="523" w:type="dxa"/>
            <w:tcBorders>
              <w:bottom w:val="single" w:sz="12" w:space="0" w:color="000000"/>
            </w:tcBorders>
            <w:tcMar>
              <w:bottom w:w="28" w:type="dxa"/>
            </w:tcMar>
            <w:vAlign w:val="bottom"/>
          </w:tcPr>
          <w:p>
            <w:pPr>
              <w:pStyle w:val="TableContents"/>
              <w:bidi w:val="0"/>
              <w:spacing w:before="0" w:after="0"/>
              <w:jc w:val="right"/>
              <w:rPr/>
            </w:pPr>
            <w:r>
              <w:rPr/>
              <w:t>2.71</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1010" w:type="dxa"/>
            <w:tcBorders>
              <w:bottom w:val="single" w:sz="12" w:space="0" w:color="000000"/>
            </w:tcBorders>
            <w:tcMar>
              <w:bottom w:w="28" w:type="dxa"/>
            </w:tcMar>
            <w:vAlign w:val="bottom"/>
          </w:tcPr>
          <w:p>
            <w:pPr>
              <w:pStyle w:val="TableContents"/>
              <w:bidi w:val="0"/>
              <w:spacing w:before="0" w:after="0"/>
              <w:jc w:val="right"/>
              <w:rPr/>
            </w:pPr>
            <w:r>
              <w:rPr/>
              <w:t>2,854,619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710" w:type="dxa"/>
            <w:tcBorders>
              <w:bottom w:val="single" w:sz="12" w:space="0" w:color="000000"/>
            </w:tcBorders>
            <w:tcMar>
              <w:bottom w:w="28" w:type="dxa"/>
            </w:tcMar>
            <w:vAlign w:val="bottom"/>
          </w:tcPr>
          <w:p>
            <w:pPr>
              <w:pStyle w:val="TableContents"/>
              <w:bidi w:val="0"/>
              <w:spacing w:before="0" w:after="0"/>
              <w:jc w:val="right"/>
              <w:rPr/>
            </w:pPr>
            <w:r>
              <w:rPr/>
              <w:t>21,395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 w:type="dxa"/>
            <w:tcBorders>
              <w:bottom w:val="single" w:sz="12" w:space="0" w:color="000000"/>
            </w:tcBorders>
            <w:tcMar>
              <w:bottom w:w="28" w:type="dxa"/>
            </w:tcMar>
            <w:vAlign w:val="bottom"/>
          </w:tcPr>
          <w:p>
            <w:pPr>
              <w:pStyle w:val="TableContents"/>
              <w:bidi w:val="0"/>
              <w:spacing w:before="0" w:after="283"/>
              <w:jc w:val="left"/>
              <w:rPr/>
            </w:pPr>
            <w:r>
              <w:rPr/>
              <w:t> </w:t>
            </w:r>
          </w:p>
        </w:tc>
        <w:tc>
          <w:tcPr>
            <w:tcW w:w="523" w:type="dxa"/>
            <w:tcBorders>
              <w:bottom w:val="single" w:sz="12" w:space="0" w:color="000000"/>
            </w:tcBorders>
            <w:tcMar>
              <w:bottom w:w="28" w:type="dxa"/>
            </w:tcMar>
            <w:vAlign w:val="bottom"/>
          </w:tcPr>
          <w:p>
            <w:pPr>
              <w:pStyle w:val="TableContents"/>
              <w:bidi w:val="0"/>
              <w:spacing w:before="0" w:after="0"/>
              <w:jc w:val="right"/>
              <w:rPr/>
            </w:pPr>
            <w:r>
              <w:rPr/>
              <w:t>3.04</w:t>
            </w:r>
          </w:p>
        </w:tc>
        <w:tc>
          <w:tcPr>
            <w:tcW w:w="293" w:type="dxa"/>
            <w:tcBorders/>
            <w:vAlign w:val="bottom"/>
          </w:tcPr>
          <w:p>
            <w:pPr>
              <w:pStyle w:val="TableContents"/>
              <w:bidi w:val="0"/>
              <w:spacing w:before="0" w:after="0"/>
              <w:jc w:val="left"/>
              <w:rPr/>
            </w:pPr>
            <w:r>
              <w:rPr/>
              <w:t>%</w:t>
            </w:r>
          </w:p>
        </w:tc>
      </w:tr>
      <w:tr>
        <w:trPr/>
        <w:tc>
          <w:tcPr>
            <w:tcW w:w="340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right"/>
              <w:rPr/>
            </w:pPr>
            <w:r>
              <w:rPr/>
              <w:t> </w:t>
            </w:r>
          </w:p>
        </w:tc>
        <w:tc>
          <w:tcPr>
            <w:tcW w:w="293" w:type="dxa"/>
            <w:tcBorders/>
            <w:shd w:fill="CCEEFF" w:val="clear"/>
            <w:vAlign w:val="bottom"/>
          </w:tcPr>
          <w:p>
            <w:pPr>
              <w:pStyle w:val="TableContents"/>
              <w:bidi w:val="0"/>
              <w:spacing w:before="0" w:after="283"/>
              <w:jc w:val="left"/>
              <w:rPr/>
            </w:pPr>
            <w:r>
              <w:rPr/>
              <w:t> </w:t>
            </w:r>
          </w:p>
        </w:tc>
      </w:tr>
      <w:tr>
        <w:trPr/>
        <w:tc>
          <w:tcPr>
            <w:tcW w:w="3405" w:type="dxa"/>
            <w:tcBorders/>
            <w:vAlign w:val="bottom"/>
          </w:tcPr>
          <w:p>
            <w:pPr>
              <w:pStyle w:val="TableContents"/>
              <w:bidi w:val="0"/>
              <w:spacing w:before="0" w:after="0"/>
              <w:ind w:left="144" w:right="0" w:hanging="144"/>
              <w:jc w:val="left"/>
              <w:rPr>
                <w:color w:val="000000"/>
              </w:rPr>
            </w:pPr>
            <w:r>
              <w:rPr>
                <w:color w:val="000000"/>
              </w:rPr>
              <w:t>Noninterest-bearing liabilities: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 </w:t>
            </w:r>
          </w:p>
        </w:tc>
        <w:tc>
          <w:tcPr>
            <w:tcW w:w="293" w:type="dxa"/>
            <w:tcBorders/>
            <w:vAlign w:val="bottom"/>
          </w:tcPr>
          <w:p>
            <w:pPr>
              <w:pStyle w:val="TableContents"/>
              <w:bidi w:val="0"/>
              <w:spacing w:before="0" w:after="283"/>
              <w:jc w:val="left"/>
              <w:rPr/>
            </w:pPr>
            <w:r>
              <w:rPr/>
              <w:t> </w:t>
            </w:r>
          </w:p>
        </w:tc>
      </w:tr>
      <w:tr>
        <w:trPr/>
        <w:tc>
          <w:tcPr>
            <w:tcW w:w="3405" w:type="dxa"/>
            <w:tcBorders/>
            <w:shd w:fill="CCEEFF" w:val="clear"/>
            <w:vAlign w:val="bottom"/>
          </w:tcPr>
          <w:p>
            <w:pPr>
              <w:pStyle w:val="TableContents"/>
              <w:bidi w:val="0"/>
              <w:spacing w:before="0" w:after="0"/>
              <w:ind w:left="288" w:right="0" w:hanging="144"/>
              <w:jc w:val="left"/>
              <w:rPr>
                <w:color w:val="000000"/>
              </w:rPr>
            </w:pPr>
            <w:r>
              <w:rPr>
                <w:color w:val="000000"/>
              </w:rPr>
              <w:t>Noninterest-bearing deposits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010" w:type="dxa"/>
            <w:tcBorders/>
            <w:shd w:fill="CCEEFF" w:val="clear"/>
            <w:vAlign w:val="bottom"/>
          </w:tcPr>
          <w:p>
            <w:pPr>
              <w:pStyle w:val="TableContents"/>
              <w:bidi w:val="0"/>
              <w:spacing w:before="0" w:after="0"/>
              <w:jc w:val="right"/>
              <w:rPr/>
            </w:pPr>
            <w:r>
              <w:rPr/>
              <w:t>989,518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010" w:type="dxa"/>
            <w:tcBorders/>
            <w:shd w:fill="CCEEFF" w:val="clear"/>
            <w:vAlign w:val="bottom"/>
          </w:tcPr>
          <w:p>
            <w:pPr>
              <w:pStyle w:val="TableContents"/>
              <w:bidi w:val="0"/>
              <w:spacing w:before="0" w:after="0"/>
              <w:jc w:val="right"/>
              <w:rPr/>
            </w:pPr>
            <w:r>
              <w:rPr/>
              <w:t>934,775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right"/>
              <w:rPr/>
            </w:pPr>
            <w:r>
              <w:rPr/>
              <w:t> </w:t>
            </w:r>
          </w:p>
        </w:tc>
        <w:tc>
          <w:tcPr>
            <w:tcW w:w="293" w:type="dxa"/>
            <w:tcBorders/>
            <w:shd w:fill="CCEEFF" w:val="clear"/>
            <w:vAlign w:val="bottom"/>
          </w:tcPr>
          <w:p>
            <w:pPr>
              <w:pStyle w:val="TableContents"/>
              <w:bidi w:val="0"/>
              <w:spacing w:before="0" w:after="283"/>
              <w:jc w:val="left"/>
              <w:rPr/>
            </w:pPr>
            <w:r>
              <w:rPr/>
              <w:t> </w:t>
            </w:r>
          </w:p>
        </w:tc>
      </w:tr>
      <w:tr>
        <w:trPr/>
        <w:tc>
          <w:tcPr>
            <w:tcW w:w="3405" w:type="dxa"/>
            <w:tcBorders/>
            <w:vAlign w:val="bottom"/>
          </w:tcPr>
          <w:p>
            <w:pPr>
              <w:pStyle w:val="TableContents"/>
              <w:bidi w:val="0"/>
              <w:spacing w:before="0" w:after="0"/>
              <w:ind w:left="288" w:right="0" w:hanging="144"/>
              <w:jc w:val="left"/>
              <w:rPr>
                <w:color w:val="000000"/>
              </w:rPr>
            </w:pPr>
            <w:r>
              <w:rPr>
                <w:color w:val="000000"/>
              </w:rPr>
              <w:t>Other liabilities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57,355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66,073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 </w:t>
            </w:r>
          </w:p>
        </w:tc>
        <w:tc>
          <w:tcPr>
            <w:tcW w:w="293" w:type="dxa"/>
            <w:tcBorders/>
            <w:vAlign w:val="bottom"/>
          </w:tcPr>
          <w:p>
            <w:pPr>
              <w:pStyle w:val="TableContents"/>
              <w:bidi w:val="0"/>
              <w:spacing w:before="0" w:after="283"/>
              <w:jc w:val="left"/>
              <w:rPr/>
            </w:pPr>
            <w:r>
              <w:rPr/>
              <w:t> </w:t>
            </w:r>
          </w:p>
        </w:tc>
      </w:tr>
      <w:tr>
        <w:trPr/>
        <w:tc>
          <w:tcPr>
            <w:tcW w:w="3405" w:type="dxa"/>
            <w:tcBorders/>
            <w:shd w:fill="CCEEFF" w:val="clear"/>
            <w:vAlign w:val="bottom"/>
          </w:tcPr>
          <w:p>
            <w:pPr>
              <w:pStyle w:val="TableContents"/>
              <w:bidi w:val="0"/>
              <w:spacing w:before="0" w:after="0"/>
              <w:ind w:left="504" w:right="0" w:hanging="144"/>
              <w:jc w:val="left"/>
              <w:rPr>
                <w:color w:val="000000"/>
              </w:rPr>
            </w:pPr>
            <w:r>
              <w:rPr>
                <w:color w:val="000000"/>
              </w:rPr>
              <w:t>Total noninterest-bearing liabilities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1,046,873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1,000,848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right"/>
              <w:rPr/>
            </w:pPr>
            <w:r>
              <w:rPr/>
              <w:t> </w:t>
            </w:r>
          </w:p>
        </w:tc>
        <w:tc>
          <w:tcPr>
            <w:tcW w:w="293" w:type="dxa"/>
            <w:tcBorders/>
            <w:shd w:fill="CCEEFF" w:val="clear"/>
            <w:vAlign w:val="bottom"/>
          </w:tcPr>
          <w:p>
            <w:pPr>
              <w:pStyle w:val="TableContents"/>
              <w:bidi w:val="0"/>
              <w:spacing w:before="0" w:after="283"/>
              <w:jc w:val="left"/>
              <w:rPr/>
            </w:pPr>
            <w:r>
              <w:rPr/>
              <w:t> </w:t>
            </w:r>
          </w:p>
        </w:tc>
      </w:tr>
      <w:tr>
        <w:trPr/>
        <w:tc>
          <w:tcPr>
            <w:tcW w:w="3405" w:type="dxa"/>
            <w:tcBorders/>
            <w:vAlign w:val="bottom"/>
          </w:tcPr>
          <w:p>
            <w:pPr>
              <w:pStyle w:val="TableContents"/>
              <w:bidi w:val="0"/>
              <w:spacing w:before="0" w:after="0"/>
              <w:ind w:left="504" w:right="0" w:hanging="144"/>
              <w:jc w:val="left"/>
              <w:rPr>
                <w:color w:val="000000"/>
              </w:rPr>
            </w:pPr>
            <w:r>
              <w:rPr>
                <w:color w:val="000000"/>
              </w:rPr>
              <w:t>Stockholders’ equity</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499,528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441,346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 </w:t>
            </w:r>
          </w:p>
        </w:tc>
        <w:tc>
          <w:tcPr>
            <w:tcW w:w="293" w:type="dxa"/>
            <w:tcBorders/>
            <w:vAlign w:val="bottom"/>
          </w:tcPr>
          <w:p>
            <w:pPr>
              <w:pStyle w:val="TableContents"/>
              <w:bidi w:val="0"/>
              <w:spacing w:before="0" w:after="283"/>
              <w:jc w:val="left"/>
              <w:rPr/>
            </w:pPr>
            <w:r>
              <w:rPr/>
              <w:t> </w:t>
            </w:r>
          </w:p>
        </w:tc>
      </w:tr>
      <w:tr>
        <w:trPr/>
        <w:tc>
          <w:tcPr>
            <w:tcW w:w="3405" w:type="dxa"/>
            <w:tcBorders/>
            <w:shd w:fill="CCEEFF" w:val="clear"/>
            <w:vAlign w:val="bottom"/>
          </w:tcPr>
          <w:p>
            <w:pPr>
              <w:pStyle w:val="TableContents"/>
              <w:bidi w:val="0"/>
              <w:spacing w:before="0" w:after="0"/>
              <w:ind w:left="677" w:right="0" w:hanging="144"/>
              <w:jc w:val="left"/>
              <w:rPr>
                <w:color w:val="000000"/>
              </w:rPr>
            </w:pPr>
            <w:r>
              <w:rPr>
                <w:color w:val="000000"/>
              </w:rPr>
              <w:t>Total liabilities and stockholders’ equity</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pPr>
            <w:r>
              <w:rPr/>
              <w:t>4,511,024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pPr>
            <w:r>
              <w:rPr/>
              <w:t>4,296,813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right"/>
              <w:rPr/>
            </w:pPr>
            <w:r>
              <w:rPr/>
              <w:t> </w:t>
            </w:r>
          </w:p>
        </w:tc>
        <w:tc>
          <w:tcPr>
            <w:tcW w:w="293" w:type="dxa"/>
            <w:tcBorders/>
            <w:shd w:fill="CCEEFF" w:val="clear"/>
            <w:vAlign w:val="bottom"/>
          </w:tcPr>
          <w:p>
            <w:pPr>
              <w:pStyle w:val="TableContents"/>
              <w:bidi w:val="0"/>
              <w:spacing w:before="0" w:after="283"/>
              <w:jc w:val="left"/>
              <w:rPr/>
            </w:pPr>
            <w:r>
              <w:rPr/>
              <w:t> </w:t>
            </w:r>
          </w:p>
        </w:tc>
      </w:tr>
      <w:tr>
        <w:trPr/>
        <w:tc>
          <w:tcPr>
            <w:tcW w:w="340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 </w:t>
            </w:r>
          </w:p>
        </w:tc>
        <w:tc>
          <w:tcPr>
            <w:tcW w:w="293" w:type="dxa"/>
            <w:tcBorders/>
            <w:vAlign w:val="bottom"/>
          </w:tcPr>
          <w:p>
            <w:pPr>
              <w:pStyle w:val="TableContents"/>
              <w:bidi w:val="0"/>
              <w:spacing w:before="0" w:after="283"/>
              <w:jc w:val="left"/>
              <w:rPr/>
            </w:pPr>
            <w:r>
              <w:rPr/>
              <w:t> </w:t>
            </w:r>
          </w:p>
        </w:tc>
      </w:tr>
      <w:tr>
        <w:trPr/>
        <w:tc>
          <w:tcPr>
            <w:tcW w:w="3405" w:type="dxa"/>
            <w:tcBorders/>
            <w:shd w:fill="CCEEFF" w:val="clear"/>
            <w:vAlign w:val="bottom"/>
          </w:tcPr>
          <w:p>
            <w:pPr>
              <w:pStyle w:val="TableContents"/>
              <w:bidi w:val="0"/>
              <w:spacing w:before="0" w:after="0"/>
              <w:ind w:left="144" w:right="0" w:hanging="144"/>
              <w:jc w:val="left"/>
              <w:rPr>
                <w:color w:val="000000"/>
              </w:rPr>
            </w:pPr>
            <w:r>
              <w:rPr>
                <w:color w:val="000000"/>
              </w:rPr>
              <w:t>Net interest income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pPr>
            <w:r>
              <w:rPr/>
              <w:t>43,086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pPr>
            <w:r>
              <w:rPr/>
              <w:t>38,747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right"/>
              <w:rPr/>
            </w:pPr>
            <w:r>
              <w:rPr/>
              <w:t> </w:t>
            </w:r>
          </w:p>
        </w:tc>
        <w:tc>
          <w:tcPr>
            <w:tcW w:w="293" w:type="dxa"/>
            <w:tcBorders/>
            <w:shd w:fill="CCEEFF" w:val="clear"/>
            <w:vAlign w:val="bottom"/>
          </w:tcPr>
          <w:p>
            <w:pPr>
              <w:pStyle w:val="TableContents"/>
              <w:bidi w:val="0"/>
              <w:spacing w:before="0" w:after="283"/>
              <w:jc w:val="left"/>
              <w:rPr/>
            </w:pPr>
            <w:r>
              <w:rPr/>
              <w:t> </w:t>
            </w:r>
          </w:p>
        </w:tc>
      </w:tr>
      <w:tr>
        <w:trPr/>
        <w:tc>
          <w:tcPr>
            <w:tcW w:w="3405" w:type="dxa"/>
            <w:tcBorders/>
            <w:vAlign w:val="bottom"/>
          </w:tcPr>
          <w:p>
            <w:pPr>
              <w:pStyle w:val="TableContents"/>
              <w:bidi w:val="0"/>
              <w:spacing w:before="0" w:after="0"/>
              <w:ind w:left="144" w:right="0" w:hanging="144"/>
              <w:jc w:val="left"/>
              <w:rPr>
                <w:color w:val="000000"/>
              </w:rPr>
            </w:pPr>
            <w:r>
              <w:rPr>
                <w:color w:val="000000"/>
              </w:rPr>
              <w:t>Net interest spread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 w:type="dxa"/>
            <w:tcBorders>
              <w:bottom w:val="double" w:sz="8" w:space="0" w:color="000000"/>
            </w:tcBorders>
            <w:tcMar>
              <w:bottom w:w="28" w:type="dxa"/>
            </w:tcMar>
            <w:vAlign w:val="bottom"/>
          </w:tcPr>
          <w:p>
            <w:pPr>
              <w:pStyle w:val="TableContents"/>
              <w:bidi w:val="0"/>
              <w:spacing w:before="0" w:after="283"/>
              <w:jc w:val="left"/>
              <w:rPr/>
            </w:pPr>
            <w:r>
              <w:rPr/>
              <w:t> </w:t>
            </w:r>
          </w:p>
        </w:tc>
        <w:tc>
          <w:tcPr>
            <w:tcW w:w="523" w:type="dxa"/>
            <w:tcBorders>
              <w:bottom w:val="double" w:sz="8" w:space="0" w:color="000000"/>
            </w:tcBorders>
            <w:tcMar>
              <w:bottom w:w="28" w:type="dxa"/>
            </w:tcMar>
            <w:vAlign w:val="bottom"/>
          </w:tcPr>
          <w:p>
            <w:pPr>
              <w:pStyle w:val="TableContents"/>
              <w:bidi w:val="0"/>
              <w:spacing w:before="0" w:after="0"/>
              <w:jc w:val="right"/>
              <w:rPr/>
            </w:pPr>
            <w:r>
              <w:rPr/>
              <w:t>3.18</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 w:type="dxa"/>
            <w:tcBorders>
              <w:bottom w:val="double" w:sz="8" w:space="0" w:color="000000"/>
            </w:tcBorders>
            <w:tcMar>
              <w:bottom w:w="28" w:type="dxa"/>
            </w:tcMar>
            <w:vAlign w:val="bottom"/>
          </w:tcPr>
          <w:p>
            <w:pPr>
              <w:pStyle w:val="TableContents"/>
              <w:bidi w:val="0"/>
              <w:spacing w:before="0" w:after="283"/>
              <w:jc w:val="left"/>
              <w:rPr/>
            </w:pPr>
            <w:r>
              <w:rPr/>
              <w:t> </w:t>
            </w:r>
          </w:p>
        </w:tc>
        <w:tc>
          <w:tcPr>
            <w:tcW w:w="523" w:type="dxa"/>
            <w:tcBorders>
              <w:bottom w:val="double" w:sz="8" w:space="0" w:color="000000"/>
            </w:tcBorders>
            <w:tcMar>
              <w:bottom w:w="28" w:type="dxa"/>
            </w:tcMar>
            <w:vAlign w:val="bottom"/>
          </w:tcPr>
          <w:p>
            <w:pPr>
              <w:pStyle w:val="TableContents"/>
              <w:bidi w:val="0"/>
              <w:spacing w:before="0" w:after="0"/>
              <w:jc w:val="right"/>
              <w:rPr/>
            </w:pPr>
            <w:r>
              <w:rPr/>
              <w:t>2.87</w:t>
            </w:r>
          </w:p>
        </w:tc>
        <w:tc>
          <w:tcPr>
            <w:tcW w:w="293" w:type="dxa"/>
            <w:tcBorders/>
            <w:vAlign w:val="bottom"/>
          </w:tcPr>
          <w:p>
            <w:pPr>
              <w:pStyle w:val="TableContents"/>
              <w:bidi w:val="0"/>
              <w:spacing w:before="0" w:after="0"/>
              <w:jc w:val="left"/>
              <w:rPr/>
            </w:pPr>
            <w:r>
              <w:rPr/>
              <w:t>%</w:t>
            </w:r>
          </w:p>
        </w:tc>
      </w:tr>
      <w:tr>
        <w:trPr/>
        <w:tc>
          <w:tcPr>
            <w:tcW w:w="3405" w:type="dxa"/>
            <w:tcBorders/>
            <w:shd w:fill="CCEEFF" w:val="clear"/>
            <w:vAlign w:val="bottom"/>
          </w:tcPr>
          <w:p>
            <w:pPr>
              <w:pStyle w:val="TableContents"/>
              <w:bidi w:val="0"/>
              <w:spacing w:lineRule="auto" w:line="240" w:before="0" w:after="0"/>
              <w:ind w:left="144" w:right="0" w:hanging="144"/>
              <w:jc w:val="left"/>
              <w:rPr>
                <w:color w:val="000000"/>
              </w:rPr>
            </w:pPr>
            <w:r>
              <w:rPr>
                <w:color w:val="000000"/>
              </w:rPr>
              <w:t>Net interest margin (3)</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23" w:type="dxa"/>
            <w:tcBorders>
              <w:bottom w:val="double" w:sz="8" w:space="0" w:color="000000"/>
            </w:tcBorders>
            <w:shd w:fill="CCEEFF" w:val="clear"/>
            <w:tcMar>
              <w:bottom w:w="28" w:type="dxa"/>
            </w:tcMar>
            <w:vAlign w:val="bottom"/>
          </w:tcPr>
          <w:p>
            <w:pPr>
              <w:pStyle w:val="TableContents"/>
              <w:bidi w:val="0"/>
              <w:spacing w:before="0" w:after="0"/>
              <w:jc w:val="right"/>
              <w:rPr/>
            </w:pPr>
            <w:r>
              <w:rPr/>
              <w:t>4.04</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23" w:type="dxa"/>
            <w:tcBorders>
              <w:bottom w:val="double" w:sz="8" w:space="0" w:color="000000"/>
            </w:tcBorders>
            <w:shd w:fill="CCEEFF" w:val="clear"/>
            <w:tcMar>
              <w:bottom w:w="28" w:type="dxa"/>
            </w:tcMar>
            <w:vAlign w:val="bottom"/>
          </w:tcPr>
          <w:p>
            <w:pPr>
              <w:pStyle w:val="TableContents"/>
              <w:bidi w:val="0"/>
              <w:spacing w:before="0" w:after="0"/>
              <w:jc w:val="right"/>
              <w:rPr/>
            </w:pPr>
            <w:r>
              <w:rPr/>
              <w:t>3.81</w:t>
            </w:r>
          </w:p>
        </w:tc>
        <w:tc>
          <w:tcPr>
            <w:tcW w:w="293" w:type="dxa"/>
            <w:tcBorders/>
            <w:shd w:fill="CCEEFF" w:val="clear"/>
            <w:vAlign w:val="bottom"/>
          </w:tcPr>
          <w:p>
            <w:pPr>
              <w:pStyle w:val="TableContents"/>
              <w:bidi w:val="0"/>
              <w:spacing w:before="0" w:after="0"/>
              <w:jc w:val="left"/>
              <w:rPr/>
            </w:pPr>
            <w:r>
              <w:rPr/>
              <w:t>%</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95" w:name="z13b0fc8128f64e95b1fbf43a75c8c08d"/>
      <w:bookmarkStart w:id="196" w:name="z13b0fc8128f64e95b1fbf43a75c8c08d"/>
      <w:bookmarkEnd w:id="196"/>
    </w:p>
    <w:tbl>
      <w:tblPr>
        <w:tblW w:w="7210" w:type="dxa"/>
        <w:jc w:val="center"/>
        <w:tblInd w:w="0" w:type="dxa"/>
        <w:tblLayout w:type="fixed"/>
        <w:tblCellMar>
          <w:top w:w="0" w:type="dxa"/>
          <w:left w:w="0" w:type="dxa"/>
          <w:bottom w:w="0" w:type="dxa"/>
          <w:right w:w="0" w:type="dxa"/>
        </w:tblCellMar>
      </w:tblPr>
      <w:tblGrid>
        <w:gridCol w:w="335"/>
        <w:gridCol w:w="6875"/>
      </w:tblGrid>
      <w:tr>
        <w:trPr/>
        <w:tc>
          <w:tcPr>
            <w:tcW w:w="335" w:type="dxa"/>
            <w:tcBorders/>
            <w:vAlign w:val="center"/>
          </w:tcPr>
          <w:p>
            <w:pPr>
              <w:pStyle w:val="TableContents"/>
              <w:bidi w:val="0"/>
              <w:spacing w:lineRule="auto" w:line="240" w:before="0" w:after="283"/>
              <w:jc w:val="left"/>
              <w:rPr>
                <w:color w:val="000000"/>
              </w:rPr>
            </w:pPr>
            <w:r>
              <w:rPr>
                <w:color w:val="000000"/>
              </w:rPr>
              <w:t>(1)</w:t>
            </w:r>
          </w:p>
        </w:tc>
        <w:tc>
          <w:tcPr>
            <w:tcW w:w="6875" w:type="dxa"/>
            <w:tcBorders/>
            <w:vAlign w:val="center"/>
          </w:tcPr>
          <w:p>
            <w:pPr>
              <w:pStyle w:val="TableContents"/>
              <w:bidi w:val="0"/>
              <w:spacing w:before="0" w:after="0"/>
              <w:jc w:val="both"/>
              <w:rPr>
                <w:color w:val="000000"/>
              </w:rPr>
            </w:pPr>
            <w:r>
              <w:rPr>
                <w:color w:val="000000"/>
              </w:rPr>
              <w:t>Average loan balances include nonaccrual loans and loans held for sale.</w:t>
            </w:r>
          </w:p>
        </w:tc>
      </w:tr>
    </w:tbl>
    <w:p>
      <w:pPr>
        <w:pStyle w:val="Normal"/>
        <w:bidi w:val="0"/>
        <w:spacing w:before="0" w:after="0"/>
        <w:jc w:val="left"/>
        <w:rPr>
          <w:sz w:val="4"/>
          <w:szCs w:val="4"/>
        </w:rPr>
      </w:pPr>
      <w:r>
        <w:rPr>
          <w:sz w:val="4"/>
          <w:szCs w:val="4"/>
        </w:rPr>
      </w:r>
      <w:bookmarkStart w:id="197" w:name="z885957232b3343dc9ba34f92f6a6d4f1"/>
      <w:bookmarkStart w:id="198" w:name="z885957232b3343dc9ba34f92f6a6d4f1"/>
      <w:bookmarkEnd w:id="198"/>
    </w:p>
    <w:tbl>
      <w:tblPr>
        <w:tblW w:w="10205" w:type="dxa"/>
        <w:jc w:val="center"/>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lineRule="auto" w:line="240" w:before="0" w:after="283"/>
              <w:jc w:val="left"/>
              <w:rPr>
                <w:color w:val="000000"/>
              </w:rPr>
            </w:pPr>
            <w:r>
              <w:rPr>
                <w:color w:val="000000"/>
              </w:rPr>
              <w:t>(2)</w:t>
            </w:r>
          </w:p>
        </w:tc>
        <w:tc>
          <w:tcPr>
            <w:tcW w:w="9904" w:type="dxa"/>
            <w:tcBorders/>
            <w:vAlign w:val="center"/>
          </w:tcPr>
          <w:p>
            <w:pPr>
              <w:pStyle w:val="TableContents"/>
              <w:bidi w:val="0"/>
              <w:spacing w:before="0" w:after="0"/>
              <w:jc w:val="both"/>
              <w:rPr>
                <w:color w:val="000000"/>
              </w:rPr>
            </w:pPr>
            <w:r>
              <w:rPr>
                <w:color w:val="000000"/>
              </w:rPr>
              <w:t>Includes income and average balances for interest-earning deposits at other banks, nonmarketable securities, federal funds sold, and other miscellaneous interest-earning assets.</w:t>
            </w:r>
          </w:p>
        </w:tc>
      </w:tr>
    </w:tbl>
    <w:p>
      <w:pPr>
        <w:pStyle w:val="Normal"/>
        <w:bidi w:val="0"/>
        <w:spacing w:before="0" w:after="0"/>
        <w:jc w:val="left"/>
        <w:rPr>
          <w:sz w:val="4"/>
          <w:szCs w:val="4"/>
        </w:rPr>
      </w:pPr>
      <w:r>
        <w:rPr>
          <w:sz w:val="4"/>
          <w:szCs w:val="4"/>
        </w:rPr>
      </w:r>
      <w:bookmarkStart w:id="199" w:name="z89a70462031a4c078295ee127e949ef5"/>
      <w:bookmarkStart w:id="200" w:name="z89a70462031a4c078295ee127e949ef5"/>
      <w:bookmarkEnd w:id="200"/>
    </w:p>
    <w:tbl>
      <w:tblPr>
        <w:tblW w:w="10205" w:type="dxa"/>
        <w:jc w:val="center"/>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lineRule="auto" w:line="240" w:before="0" w:after="283"/>
              <w:jc w:val="left"/>
              <w:rPr>
                <w:color w:val="000000"/>
              </w:rPr>
            </w:pPr>
            <w:r>
              <w:rPr>
                <w:color w:val="000000"/>
              </w:rPr>
              <w:t>(3)</w:t>
            </w:r>
          </w:p>
        </w:tc>
        <w:tc>
          <w:tcPr>
            <w:tcW w:w="9894" w:type="dxa"/>
            <w:tcBorders/>
            <w:vAlign w:val="center"/>
          </w:tcPr>
          <w:p>
            <w:pPr>
              <w:pStyle w:val="TableContents"/>
              <w:bidi w:val="0"/>
              <w:spacing w:before="0" w:after="0"/>
              <w:jc w:val="both"/>
              <w:rPr>
                <w:color w:val="000000"/>
              </w:rPr>
            </w:pPr>
            <w:r>
              <w:rPr>
                <w:color w:val="000000"/>
              </w:rPr>
              <w:t>Net interest margin is calculated as the annualized net interest income, on a fully tax-equivalent basis, divided by average interest-earning assets.</w:t>
            </w:r>
          </w:p>
        </w:tc>
      </w:tr>
    </w:tbl>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29</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Increases and decreases in interest income and interest expense result from changes in average balances (volume) of interest-earning assets and interest-bearing liabilities, as well as changes in average interest rates. The following table sets forth the effects of changing rates and volumes on our net interest income during the period shown. Information is provided with respect to (i) effects on interest income attributable to changes in volume (change in volume multiplied by prior rate) and (ii) effects on interest income attributable to changes in rate (changes in rate multiplied by prior volume). Change applicable to both volume and rate have been allocated to volume.</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201" w:name="z2f6a04263d004cd8a9cab26994c3e530"/>
      <w:bookmarkStart w:id="202" w:name="z2f6a04263d004cd8a9cab26994c3e530"/>
      <w:bookmarkEnd w:id="202"/>
    </w:p>
    <w:tbl>
      <w:tblPr>
        <w:tblW w:w="8354" w:type="dxa"/>
        <w:jc w:val="center"/>
        <w:tblInd w:w="0" w:type="dxa"/>
        <w:tblLayout w:type="fixed"/>
        <w:tblCellMar>
          <w:top w:w="0" w:type="dxa"/>
          <w:left w:w="0" w:type="dxa"/>
          <w:bottom w:w="0" w:type="dxa"/>
          <w:right w:w="0" w:type="dxa"/>
        </w:tblCellMar>
      </w:tblPr>
      <w:tblGrid>
        <w:gridCol w:w="4745"/>
        <w:gridCol w:w="90"/>
        <w:gridCol w:w="199"/>
        <w:gridCol w:w="691"/>
        <w:gridCol w:w="146"/>
        <w:gridCol w:w="105"/>
        <w:gridCol w:w="199"/>
        <w:gridCol w:w="778"/>
        <w:gridCol w:w="146"/>
        <w:gridCol w:w="105"/>
        <w:gridCol w:w="199"/>
        <w:gridCol w:w="781"/>
        <w:gridCol w:w="170"/>
      </w:tblGrid>
      <w:tr>
        <w:trPr/>
        <w:tc>
          <w:tcPr>
            <w:tcW w:w="47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49"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March 31,</w:t>
            </w:r>
          </w:p>
        </w:tc>
        <w:tc>
          <w:tcPr>
            <w:tcW w:w="170" w:type="dxa"/>
            <w:tcBorders/>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49"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 over 2025</w:t>
            </w:r>
          </w:p>
        </w:tc>
        <w:tc>
          <w:tcPr>
            <w:tcW w:w="170" w:type="dxa"/>
            <w:tcBorders/>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18"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 due to:</w:t>
            </w:r>
          </w:p>
        </w:tc>
        <w:tc>
          <w:tcPr>
            <w:tcW w:w="14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0"/>
              <w:jc w:val="center"/>
              <w:rPr>
                <w:b/>
                <w:color w:val="000000"/>
              </w:rPr>
            </w:pPr>
            <w:r>
              <w:rPr>
                <w:b/>
                <w:color w:val="000000"/>
              </w:rPr>
              <w:t>Total</w:t>
            </w:r>
          </w:p>
        </w:tc>
        <w:tc>
          <w:tcPr>
            <w:tcW w:w="170" w:type="dxa"/>
            <w:tcBorders/>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Volume</w:t>
            </w:r>
          </w:p>
        </w:tc>
        <w:tc>
          <w:tcPr>
            <w:tcW w:w="14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7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Rate</w:t>
            </w:r>
          </w:p>
        </w:tc>
        <w:tc>
          <w:tcPr>
            <w:tcW w:w="14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Variance</w:t>
            </w:r>
          </w:p>
        </w:tc>
        <w:tc>
          <w:tcPr>
            <w:tcW w:w="170" w:type="dxa"/>
            <w:tcBorders/>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49" w:type="dxa"/>
            <w:gridSpan w:val="10"/>
            <w:tcBorders/>
            <w:vAlign w:val="bottom"/>
          </w:tcPr>
          <w:p>
            <w:pPr>
              <w:pStyle w:val="TableContents"/>
              <w:bidi w:val="0"/>
              <w:spacing w:before="0" w:after="0"/>
              <w:jc w:val="center"/>
              <w:rPr>
                <w:b/>
                <w:color w:val="000000"/>
              </w:rPr>
            </w:pPr>
            <w:r>
              <w:rPr>
                <w:b/>
                <w:color w:val="000000"/>
              </w:rPr>
              <w:t>(Dollars in thousands)</w:t>
            </w:r>
          </w:p>
        </w:tc>
        <w:tc>
          <w:tcPr>
            <w:tcW w:w="170" w:type="dxa"/>
            <w:tcBorders/>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ind w:left="144" w:right="0" w:hanging="144"/>
              <w:jc w:val="left"/>
              <w:rPr>
                <w:b/>
                <w:color w:val="000000"/>
              </w:rPr>
            </w:pPr>
            <w:r>
              <w:rPr>
                <w:b/>
                <w:color w:val="000000"/>
              </w:rPr>
              <w:t>Interest-earning assets:</w:t>
            </w:r>
          </w:p>
        </w:tc>
        <w:tc>
          <w:tcPr>
            <w:tcW w:w="90"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77"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ind w:left="288" w:right="0" w:hanging="144"/>
              <w:jc w:val="left"/>
              <w:rPr>
                <w:color w:val="000000"/>
              </w:rPr>
            </w:pPr>
            <w:r>
              <w:rPr>
                <w:color w:val="000000"/>
              </w:rPr>
              <w:t>Loans</w:t>
            </w:r>
          </w:p>
        </w:tc>
        <w:tc>
          <w:tcPr>
            <w:tcW w:w="9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0"/>
              <w:jc w:val="left"/>
              <w:rPr/>
            </w:pPr>
            <w:r>
              <w:rPr/>
              <w:t>$</w:t>
            </w:r>
          </w:p>
        </w:tc>
        <w:tc>
          <w:tcPr>
            <w:tcW w:w="691" w:type="dxa"/>
            <w:tcBorders/>
            <w:shd w:fill="CCEEFF" w:val="clear"/>
            <w:vAlign w:val="bottom"/>
          </w:tcPr>
          <w:p>
            <w:pPr>
              <w:pStyle w:val="TableContents"/>
              <w:bidi w:val="0"/>
              <w:spacing w:before="0" w:after="0"/>
              <w:jc w:val="right"/>
              <w:rPr/>
            </w:pPr>
            <w:r>
              <w:rPr/>
              <w:t>915</w:t>
            </w:r>
          </w:p>
        </w:tc>
        <w:tc>
          <w:tcPr>
            <w:tcW w:w="14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0"/>
              <w:jc w:val="left"/>
              <w:rPr/>
            </w:pPr>
            <w:r>
              <w:rPr/>
              <w:t>$</w:t>
            </w:r>
          </w:p>
        </w:tc>
        <w:tc>
          <w:tcPr>
            <w:tcW w:w="778" w:type="dxa"/>
            <w:tcBorders/>
            <w:shd w:fill="CCEEFF" w:val="clear"/>
            <w:vAlign w:val="bottom"/>
          </w:tcPr>
          <w:p>
            <w:pPr>
              <w:pStyle w:val="TableContents"/>
              <w:bidi w:val="0"/>
              <w:spacing w:before="0" w:after="0"/>
              <w:jc w:val="right"/>
              <w:rPr/>
            </w:pPr>
            <w:r>
              <w:rPr/>
              <w:t>1,192</w:t>
            </w:r>
          </w:p>
        </w:tc>
        <w:tc>
          <w:tcPr>
            <w:tcW w:w="14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0"/>
              <w:jc w:val="left"/>
              <w:rPr/>
            </w:pPr>
            <w:r>
              <w:rPr/>
              <w:t>$</w:t>
            </w:r>
          </w:p>
        </w:tc>
        <w:tc>
          <w:tcPr>
            <w:tcW w:w="781" w:type="dxa"/>
            <w:tcBorders/>
            <w:shd w:fill="CCEEFF" w:val="clear"/>
            <w:vAlign w:val="bottom"/>
          </w:tcPr>
          <w:p>
            <w:pPr>
              <w:pStyle w:val="TableContents"/>
              <w:bidi w:val="0"/>
              <w:spacing w:before="0" w:after="0"/>
              <w:jc w:val="right"/>
              <w:rPr/>
            </w:pPr>
            <w:r>
              <w:rPr/>
              <w:t>2,107</w:t>
            </w:r>
          </w:p>
        </w:tc>
        <w:tc>
          <w:tcPr>
            <w:tcW w:w="170"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ind w:left="288" w:right="0" w:hanging="144"/>
              <w:jc w:val="left"/>
              <w:rPr>
                <w:color w:val="000000"/>
              </w:rPr>
            </w:pPr>
            <w:r>
              <w:rPr>
                <w:color w:val="000000"/>
              </w:rPr>
              <w:t>Investment securities – taxable</w:t>
            </w:r>
          </w:p>
        </w:tc>
        <w:tc>
          <w:tcPr>
            <w:tcW w:w="9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0"/>
              <w:jc w:val="right"/>
              <w:rPr/>
            </w:pPr>
            <w:r>
              <w:rPr/>
              <w:t>(186</w:t>
            </w:r>
          </w:p>
        </w:tc>
        <w:tc>
          <w:tcPr>
            <w:tcW w:w="146" w:type="dxa"/>
            <w:tcBorders/>
            <w:vAlign w:val="bottom"/>
          </w:tcPr>
          <w:p>
            <w:pPr>
              <w:pStyle w:val="TableContents"/>
              <w:bidi w:val="0"/>
              <w:spacing w:before="0" w:after="0"/>
              <w:jc w:val="left"/>
              <w:rPr/>
            </w:pPr>
            <w:r>
              <w:rPr/>
              <w:t>)</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0"/>
              <w:jc w:val="right"/>
              <w:rPr/>
            </w:pPr>
            <w:r>
              <w:rPr/>
              <w:t>(221</w:t>
            </w:r>
          </w:p>
        </w:tc>
        <w:tc>
          <w:tcPr>
            <w:tcW w:w="146" w:type="dxa"/>
            <w:tcBorders/>
            <w:vAlign w:val="bottom"/>
          </w:tcPr>
          <w:p>
            <w:pPr>
              <w:pStyle w:val="TableContents"/>
              <w:bidi w:val="0"/>
              <w:spacing w:before="0" w:after="0"/>
              <w:jc w:val="left"/>
              <w:rPr/>
            </w:pPr>
            <w:r>
              <w:rPr/>
              <w:t>)</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0"/>
              <w:jc w:val="right"/>
              <w:rPr/>
            </w:pPr>
            <w:r>
              <w:rPr/>
              <w:t>(407</w:t>
            </w:r>
          </w:p>
        </w:tc>
        <w:tc>
          <w:tcPr>
            <w:tcW w:w="170" w:type="dxa"/>
            <w:tcBorders/>
            <w:vAlign w:val="bottom"/>
          </w:tcPr>
          <w:p>
            <w:pPr>
              <w:pStyle w:val="TableContents"/>
              <w:bidi w:val="0"/>
              <w:spacing w:before="0" w:after="0"/>
              <w:jc w:val="left"/>
              <w:rPr/>
            </w:pPr>
            <w:r>
              <w:rPr/>
              <w:t>)</w:t>
            </w:r>
          </w:p>
        </w:tc>
      </w:tr>
      <w:tr>
        <w:trPr/>
        <w:tc>
          <w:tcPr>
            <w:tcW w:w="4745" w:type="dxa"/>
            <w:tcBorders/>
            <w:shd w:fill="CCEEFF" w:val="clear"/>
            <w:vAlign w:val="bottom"/>
          </w:tcPr>
          <w:p>
            <w:pPr>
              <w:pStyle w:val="TableContents"/>
              <w:bidi w:val="0"/>
              <w:spacing w:before="0" w:after="0"/>
              <w:ind w:left="288" w:right="0" w:hanging="144"/>
              <w:jc w:val="left"/>
              <w:rPr>
                <w:color w:val="000000"/>
              </w:rPr>
            </w:pPr>
            <w:r>
              <w:rPr>
                <w:color w:val="000000"/>
              </w:rPr>
              <w:t>Investment securities – non-taxable</w:t>
            </w:r>
          </w:p>
        </w:tc>
        <w:tc>
          <w:tcPr>
            <w:tcW w:w="9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0"/>
              <w:jc w:val="right"/>
              <w:rPr/>
            </w:pPr>
            <w:r>
              <w:rPr/>
              <w:t>—</w:t>
            </w:r>
          </w:p>
        </w:tc>
        <w:tc>
          <w:tcPr>
            <w:tcW w:w="14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0"/>
              <w:jc w:val="right"/>
              <w:rPr/>
            </w:pPr>
            <w:r>
              <w:rPr/>
              <w:t>66</w:t>
            </w:r>
          </w:p>
        </w:tc>
        <w:tc>
          <w:tcPr>
            <w:tcW w:w="14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0"/>
              <w:jc w:val="right"/>
              <w:rPr/>
            </w:pPr>
            <w:r>
              <w:rPr/>
              <w:t>66</w:t>
            </w:r>
          </w:p>
        </w:tc>
        <w:tc>
          <w:tcPr>
            <w:tcW w:w="170"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ind w:left="288" w:right="0" w:hanging="144"/>
              <w:jc w:val="left"/>
              <w:rPr>
                <w:color w:val="000000"/>
              </w:rPr>
            </w:pPr>
            <w:r>
              <w:rPr>
                <w:color w:val="000000"/>
              </w:rPr>
              <w:t>Other interest-earning assets</w:t>
            </w:r>
          </w:p>
        </w:tc>
        <w:tc>
          <w:tcPr>
            <w:tcW w:w="90" w:type="dxa"/>
            <w:tcBorders/>
            <w:vAlign w:val="bottom"/>
          </w:tcPr>
          <w:p>
            <w:pPr>
              <w:pStyle w:val="TableContents"/>
              <w:bidi w:val="0"/>
              <w:spacing w:before="0" w:after="283"/>
              <w:jc w:val="left"/>
              <w:rPr/>
            </w:pPr>
            <w:r>
              <w:rPr/>
              <w:t> </w:t>
            </w:r>
          </w:p>
        </w:tc>
        <w:tc>
          <w:tcPr>
            <w:tcW w:w="199" w:type="dxa"/>
            <w:tcBorders>
              <w:bottom w:val="single" w:sz="12" w:space="0" w:color="000000"/>
            </w:tcBorders>
            <w:tcMar>
              <w:bottom w:w="28" w:type="dxa"/>
            </w:tcMar>
            <w:vAlign w:val="bottom"/>
          </w:tcPr>
          <w:p>
            <w:pPr>
              <w:pStyle w:val="TableContents"/>
              <w:bidi w:val="0"/>
              <w:spacing w:before="0" w:after="283"/>
              <w:jc w:val="left"/>
              <w:rPr/>
            </w:pPr>
            <w:r>
              <w:rPr/>
              <w:t> </w:t>
            </w:r>
          </w:p>
        </w:tc>
        <w:tc>
          <w:tcPr>
            <w:tcW w:w="691" w:type="dxa"/>
            <w:tcBorders>
              <w:bottom w:val="single" w:sz="12" w:space="0" w:color="000000"/>
            </w:tcBorders>
            <w:tcMar>
              <w:bottom w:w="28" w:type="dxa"/>
            </w:tcMar>
            <w:vAlign w:val="bottom"/>
          </w:tcPr>
          <w:p>
            <w:pPr>
              <w:pStyle w:val="TableContents"/>
              <w:bidi w:val="0"/>
              <w:spacing w:before="0" w:after="0"/>
              <w:jc w:val="right"/>
              <w:rPr/>
            </w:pPr>
            <w:r>
              <w:rPr/>
              <w:t>1,691</w:t>
            </w:r>
          </w:p>
        </w:tc>
        <w:tc>
          <w:tcPr>
            <w:tcW w:w="14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bottom w:val="single" w:sz="12" w:space="0" w:color="000000"/>
            </w:tcBorders>
            <w:tcMar>
              <w:bottom w:w="28" w:type="dxa"/>
            </w:tcMar>
            <w:vAlign w:val="bottom"/>
          </w:tcPr>
          <w:p>
            <w:pPr>
              <w:pStyle w:val="TableContents"/>
              <w:bidi w:val="0"/>
              <w:spacing w:before="0" w:after="283"/>
              <w:jc w:val="left"/>
              <w:rPr/>
            </w:pPr>
            <w:r>
              <w:rPr/>
              <w:t> </w:t>
            </w:r>
          </w:p>
        </w:tc>
        <w:tc>
          <w:tcPr>
            <w:tcW w:w="778" w:type="dxa"/>
            <w:tcBorders>
              <w:bottom w:val="single" w:sz="12" w:space="0" w:color="000000"/>
            </w:tcBorders>
            <w:tcMar>
              <w:bottom w:w="28" w:type="dxa"/>
            </w:tcMar>
            <w:vAlign w:val="bottom"/>
          </w:tcPr>
          <w:p>
            <w:pPr>
              <w:pStyle w:val="TableContents"/>
              <w:bidi w:val="0"/>
              <w:spacing w:before="0" w:after="0"/>
              <w:jc w:val="right"/>
              <w:rPr/>
            </w:pPr>
            <w:r>
              <w:rPr/>
              <w:t>(733</w:t>
            </w:r>
          </w:p>
        </w:tc>
        <w:tc>
          <w:tcPr>
            <w:tcW w:w="146" w:type="dxa"/>
            <w:tcBorders/>
            <w:vAlign w:val="bottom"/>
          </w:tcPr>
          <w:p>
            <w:pPr>
              <w:pStyle w:val="TableContents"/>
              <w:bidi w:val="0"/>
              <w:spacing w:before="0" w:after="0"/>
              <w:jc w:val="left"/>
              <w:rPr/>
            </w:pPr>
            <w:r>
              <w:rPr/>
              <w:t>)</w:t>
            </w:r>
          </w:p>
        </w:tc>
        <w:tc>
          <w:tcPr>
            <w:tcW w:w="105" w:type="dxa"/>
            <w:tcBorders/>
            <w:vAlign w:val="bottom"/>
          </w:tcPr>
          <w:p>
            <w:pPr>
              <w:pStyle w:val="TableContents"/>
              <w:bidi w:val="0"/>
              <w:spacing w:before="0" w:after="283"/>
              <w:jc w:val="left"/>
              <w:rPr/>
            </w:pPr>
            <w:r>
              <w:rPr/>
              <w:t> </w:t>
            </w:r>
          </w:p>
        </w:tc>
        <w:tc>
          <w:tcPr>
            <w:tcW w:w="199" w:type="dxa"/>
            <w:tcBorders>
              <w:bottom w:val="single" w:sz="12" w:space="0" w:color="000000"/>
            </w:tcBorders>
            <w:tcMar>
              <w:bottom w:w="28" w:type="dxa"/>
            </w:tcMar>
            <w:vAlign w:val="bottom"/>
          </w:tcPr>
          <w:p>
            <w:pPr>
              <w:pStyle w:val="TableContents"/>
              <w:bidi w:val="0"/>
              <w:spacing w:before="0" w:after="283"/>
              <w:jc w:val="left"/>
              <w:rPr/>
            </w:pPr>
            <w:r>
              <w:rPr/>
              <w:t> </w:t>
            </w:r>
          </w:p>
        </w:tc>
        <w:tc>
          <w:tcPr>
            <w:tcW w:w="781" w:type="dxa"/>
            <w:tcBorders>
              <w:bottom w:val="single" w:sz="12" w:space="0" w:color="000000"/>
            </w:tcBorders>
            <w:tcMar>
              <w:bottom w:w="28" w:type="dxa"/>
            </w:tcMar>
            <w:vAlign w:val="bottom"/>
          </w:tcPr>
          <w:p>
            <w:pPr>
              <w:pStyle w:val="TableContents"/>
              <w:bidi w:val="0"/>
              <w:spacing w:before="0" w:after="0"/>
              <w:jc w:val="right"/>
              <w:rPr/>
            </w:pPr>
            <w:r>
              <w:rPr/>
              <w:t>958</w:t>
            </w:r>
          </w:p>
        </w:tc>
        <w:tc>
          <w:tcPr>
            <w:tcW w:w="170"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ind w:left="504" w:right="0" w:hanging="144"/>
              <w:jc w:val="left"/>
              <w:rPr>
                <w:color w:val="000000"/>
              </w:rPr>
            </w:pPr>
            <w:r>
              <w:rPr>
                <w:color w:val="000000"/>
              </w:rPr>
              <w:t>Total interest-earning assets</w:t>
            </w:r>
          </w:p>
        </w:tc>
        <w:tc>
          <w:tcPr>
            <w:tcW w:w="90" w:type="dxa"/>
            <w:tcBorders/>
            <w:shd w:fill="CCEEFF" w:val="clear"/>
            <w:vAlign w:val="bottom"/>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vAlign w:val="bottom"/>
          </w:tcPr>
          <w:p>
            <w:pPr>
              <w:pStyle w:val="TableContents"/>
              <w:bidi w:val="0"/>
              <w:spacing w:before="0" w:after="0"/>
              <w:jc w:val="right"/>
              <w:rPr/>
            </w:pPr>
            <w:r>
              <w:rPr/>
              <w:t>2,420</w:t>
            </w:r>
          </w:p>
        </w:tc>
        <w:tc>
          <w:tcPr>
            <w:tcW w:w="14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78" w:type="dxa"/>
            <w:tcBorders>
              <w:bottom w:val="single" w:sz="12" w:space="0" w:color="000000"/>
            </w:tcBorders>
            <w:shd w:fill="CCEEFF" w:val="clear"/>
            <w:tcMar>
              <w:bottom w:w="28" w:type="dxa"/>
            </w:tcMar>
            <w:vAlign w:val="bottom"/>
          </w:tcPr>
          <w:p>
            <w:pPr>
              <w:pStyle w:val="TableContents"/>
              <w:bidi w:val="0"/>
              <w:spacing w:before="0" w:after="0"/>
              <w:jc w:val="right"/>
              <w:rPr/>
            </w:pPr>
            <w:r>
              <w:rPr/>
              <w:t>304</w:t>
            </w:r>
          </w:p>
        </w:tc>
        <w:tc>
          <w:tcPr>
            <w:tcW w:w="14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1" w:type="dxa"/>
            <w:tcBorders>
              <w:bottom w:val="single" w:sz="12" w:space="0" w:color="000000"/>
            </w:tcBorders>
            <w:shd w:fill="CCEEFF" w:val="clear"/>
            <w:tcMar>
              <w:bottom w:w="28" w:type="dxa"/>
            </w:tcMar>
            <w:vAlign w:val="bottom"/>
          </w:tcPr>
          <w:p>
            <w:pPr>
              <w:pStyle w:val="TableContents"/>
              <w:bidi w:val="0"/>
              <w:spacing w:before="0" w:after="0"/>
              <w:jc w:val="right"/>
              <w:rPr/>
            </w:pPr>
            <w:r>
              <w:rPr/>
              <w:t>2,724</w:t>
            </w:r>
          </w:p>
        </w:tc>
        <w:tc>
          <w:tcPr>
            <w:tcW w:w="170"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ind w:left="144" w:right="0" w:hanging="144"/>
              <w:jc w:val="left"/>
              <w:rPr>
                <w:b/>
                <w:color w:val="000000"/>
              </w:rPr>
            </w:pPr>
            <w:r>
              <w:rPr>
                <w:b/>
                <w:color w:val="000000"/>
              </w:rPr>
              <w:t>Interest-bearing liabilities:</w:t>
            </w:r>
          </w:p>
        </w:tc>
        <w:tc>
          <w:tcPr>
            <w:tcW w:w="9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ind w:left="288" w:right="0" w:hanging="144"/>
              <w:jc w:val="left"/>
              <w:rPr>
                <w:color w:val="000000"/>
              </w:rPr>
            </w:pPr>
            <w:r>
              <w:rPr>
                <w:color w:val="000000"/>
              </w:rPr>
              <w:t>NOW, Savings, MMDAs</w:t>
            </w:r>
          </w:p>
        </w:tc>
        <w:tc>
          <w:tcPr>
            <w:tcW w:w="9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0"/>
              <w:jc w:val="right"/>
              <w:rPr/>
            </w:pPr>
            <w:r>
              <w:rPr/>
              <w:t>1,113</w:t>
            </w:r>
          </w:p>
        </w:tc>
        <w:tc>
          <w:tcPr>
            <w:tcW w:w="14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0"/>
              <w:jc w:val="right"/>
              <w:rPr/>
            </w:pPr>
            <w:r>
              <w:rPr/>
              <w:t>(1,570</w:t>
            </w:r>
          </w:p>
        </w:tc>
        <w:tc>
          <w:tcPr>
            <w:tcW w:w="146" w:type="dxa"/>
            <w:tcBorders/>
            <w:vAlign w:val="bottom"/>
          </w:tcPr>
          <w:p>
            <w:pPr>
              <w:pStyle w:val="TableContents"/>
              <w:bidi w:val="0"/>
              <w:spacing w:before="0" w:after="0"/>
              <w:jc w:val="left"/>
              <w:rPr/>
            </w:pPr>
            <w:r>
              <w:rPr/>
              <w:t>)</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0"/>
              <w:jc w:val="right"/>
              <w:rPr/>
            </w:pPr>
            <w:r>
              <w:rPr/>
              <w:t>(457</w:t>
            </w:r>
          </w:p>
        </w:tc>
        <w:tc>
          <w:tcPr>
            <w:tcW w:w="170" w:type="dxa"/>
            <w:tcBorders/>
            <w:vAlign w:val="bottom"/>
          </w:tcPr>
          <w:p>
            <w:pPr>
              <w:pStyle w:val="TableContents"/>
              <w:bidi w:val="0"/>
              <w:spacing w:before="0" w:after="0"/>
              <w:jc w:val="left"/>
              <w:rPr/>
            </w:pPr>
            <w:r>
              <w:rPr/>
              <w:t>)</w:t>
            </w:r>
          </w:p>
        </w:tc>
      </w:tr>
      <w:tr>
        <w:trPr/>
        <w:tc>
          <w:tcPr>
            <w:tcW w:w="4745" w:type="dxa"/>
            <w:tcBorders/>
            <w:shd w:fill="CCEEFF" w:val="clear"/>
            <w:vAlign w:val="bottom"/>
          </w:tcPr>
          <w:p>
            <w:pPr>
              <w:pStyle w:val="TableContents"/>
              <w:bidi w:val="0"/>
              <w:spacing w:before="0" w:after="0"/>
              <w:ind w:left="288" w:right="0" w:hanging="144"/>
              <w:jc w:val="left"/>
              <w:rPr>
                <w:color w:val="000000"/>
              </w:rPr>
            </w:pPr>
            <w:r>
              <w:rPr>
                <w:color w:val="000000"/>
              </w:rPr>
              <w:t>Time deposits</w:t>
            </w:r>
          </w:p>
        </w:tc>
        <w:tc>
          <w:tcPr>
            <w:tcW w:w="9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0"/>
              <w:jc w:val="right"/>
              <w:rPr/>
            </w:pPr>
            <w:r>
              <w:rPr/>
              <w:t>(51</w:t>
            </w:r>
          </w:p>
        </w:tc>
        <w:tc>
          <w:tcPr>
            <w:tcW w:w="146" w:type="dxa"/>
            <w:tcBorders/>
            <w:shd w:fill="CCEEFF" w:val="clear"/>
            <w:vAlign w:val="bottom"/>
          </w:tcPr>
          <w:p>
            <w:pPr>
              <w:pStyle w:val="TableContents"/>
              <w:bidi w:val="0"/>
              <w:spacing w:before="0" w:after="0"/>
              <w:jc w:val="left"/>
              <w:rPr/>
            </w:pPr>
            <w:r>
              <w:rPr/>
              <w:t>)</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0"/>
              <w:jc w:val="right"/>
              <w:rPr/>
            </w:pPr>
            <w:r>
              <w:rPr/>
              <w:t>(441</w:t>
            </w:r>
          </w:p>
        </w:tc>
        <w:tc>
          <w:tcPr>
            <w:tcW w:w="146" w:type="dxa"/>
            <w:tcBorders/>
            <w:shd w:fill="CCEEFF" w:val="clear"/>
            <w:vAlign w:val="bottom"/>
          </w:tcPr>
          <w:p>
            <w:pPr>
              <w:pStyle w:val="TableContents"/>
              <w:bidi w:val="0"/>
              <w:spacing w:before="0" w:after="0"/>
              <w:jc w:val="left"/>
              <w:rPr/>
            </w:pPr>
            <w:r>
              <w:rPr/>
              <w:t>)</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0"/>
              <w:jc w:val="right"/>
              <w:rPr/>
            </w:pPr>
            <w:r>
              <w:rPr/>
              <w:t>(492</w:t>
            </w:r>
          </w:p>
        </w:tc>
        <w:tc>
          <w:tcPr>
            <w:tcW w:w="170" w:type="dxa"/>
            <w:tcBorders/>
            <w:shd w:fill="CCEEFF" w:val="clear"/>
            <w:vAlign w:val="bottom"/>
          </w:tcPr>
          <w:p>
            <w:pPr>
              <w:pStyle w:val="TableContents"/>
              <w:bidi w:val="0"/>
              <w:spacing w:before="0" w:after="0"/>
              <w:jc w:val="left"/>
              <w:rPr/>
            </w:pPr>
            <w:r>
              <w:rPr/>
              <w:t>)</w:t>
            </w:r>
          </w:p>
        </w:tc>
      </w:tr>
      <w:tr>
        <w:trPr/>
        <w:tc>
          <w:tcPr>
            <w:tcW w:w="4745" w:type="dxa"/>
            <w:tcBorders/>
            <w:vAlign w:val="bottom"/>
          </w:tcPr>
          <w:p>
            <w:pPr>
              <w:pStyle w:val="TableContents"/>
              <w:bidi w:val="0"/>
              <w:spacing w:before="0" w:after="0"/>
              <w:ind w:left="288" w:right="0" w:hanging="144"/>
              <w:jc w:val="left"/>
              <w:rPr>
                <w:color w:val="000000"/>
              </w:rPr>
            </w:pPr>
            <w:r>
              <w:rPr>
                <w:color w:val="000000"/>
              </w:rPr>
              <w:t>Short-term borrowings</w:t>
            </w:r>
          </w:p>
        </w:tc>
        <w:tc>
          <w:tcPr>
            <w:tcW w:w="9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0"/>
              <w:jc w:val="right"/>
              <w:rPr/>
            </w:pPr>
            <w:r>
              <w:rPr/>
              <w:t>—</w:t>
            </w:r>
          </w:p>
        </w:tc>
        <w:tc>
          <w:tcPr>
            <w:tcW w:w="14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0"/>
              <w:jc w:val="right"/>
              <w:rPr/>
            </w:pPr>
            <w:r>
              <w:rPr/>
              <w:t>—</w:t>
            </w:r>
          </w:p>
        </w:tc>
        <w:tc>
          <w:tcPr>
            <w:tcW w:w="14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0"/>
              <w:jc w:val="right"/>
              <w:rPr/>
            </w:pPr>
            <w:r>
              <w:rPr/>
              <w:t>—</w:t>
            </w:r>
          </w:p>
        </w:tc>
        <w:tc>
          <w:tcPr>
            <w:tcW w:w="170"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ind w:left="288" w:right="0" w:hanging="144"/>
              <w:jc w:val="left"/>
              <w:rPr>
                <w:color w:val="000000"/>
              </w:rPr>
            </w:pPr>
            <w:r>
              <w:rPr>
                <w:color w:val="000000"/>
              </w:rPr>
              <w:t>Subordinated debt</w:t>
            </w:r>
          </w:p>
        </w:tc>
        <w:tc>
          <w:tcPr>
            <w:tcW w:w="9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0"/>
              <w:jc w:val="right"/>
              <w:rPr/>
            </w:pPr>
            <w:r>
              <w:rPr/>
              <w:t>(651</w:t>
            </w:r>
          </w:p>
        </w:tc>
        <w:tc>
          <w:tcPr>
            <w:tcW w:w="146" w:type="dxa"/>
            <w:tcBorders/>
            <w:shd w:fill="CCEEFF" w:val="clear"/>
            <w:vAlign w:val="bottom"/>
          </w:tcPr>
          <w:p>
            <w:pPr>
              <w:pStyle w:val="TableContents"/>
              <w:bidi w:val="0"/>
              <w:spacing w:before="0" w:after="0"/>
              <w:jc w:val="left"/>
              <w:rPr/>
            </w:pPr>
            <w:r>
              <w:rPr/>
              <w:t>)</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0"/>
              <w:jc w:val="right"/>
              <w:rPr/>
            </w:pPr>
            <w:r>
              <w:rPr/>
              <w:t>59</w:t>
            </w:r>
          </w:p>
        </w:tc>
        <w:tc>
          <w:tcPr>
            <w:tcW w:w="14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0"/>
              <w:jc w:val="right"/>
              <w:rPr/>
            </w:pPr>
            <w:r>
              <w:rPr/>
              <w:t>(592</w:t>
            </w:r>
          </w:p>
        </w:tc>
        <w:tc>
          <w:tcPr>
            <w:tcW w:w="170" w:type="dxa"/>
            <w:tcBorders/>
            <w:shd w:fill="CCEEFF" w:val="clear"/>
            <w:vAlign w:val="bottom"/>
          </w:tcPr>
          <w:p>
            <w:pPr>
              <w:pStyle w:val="TableContents"/>
              <w:bidi w:val="0"/>
              <w:spacing w:before="0" w:after="0"/>
              <w:jc w:val="left"/>
              <w:rPr/>
            </w:pPr>
            <w:r>
              <w:rPr/>
              <w:t>)</w:t>
            </w:r>
          </w:p>
        </w:tc>
      </w:tr>
      <w:tr>
        <w:trPr/>
        <w:tc>
          <w:tcPr>
            <w:tcW w:w="4745" w:type="dxa"/>
            <w:tcBorders/>
            <w:vAlign w:val="bottom"/>
          </w:tcPr>
          <w:p>
            <w:pPr>
              <w:pStyle w:val="TableContents"/>
              <w:bidi w:val="0"/>
              <w:spacing w:before="0" w:after="0"/>
              <w:ind w:left="288" w:right="0" w:hanging="144"/>
              <w:jc w:val="left"/>
              <w:rPr>
                <w:color w:val="000000"/>
              </w:rPr>
            </w:pPr>
            <w:r>
              <w:rPr>
                <w:color w:val="000000"/>
              </w:rPr>
              <w:t>Junior subordinated deferrable interest debentures</w:t>
            </w:r>
          </w:p>
        </w:tc>
        <w:tc>
          <w:tcPr>
            <w:tcW w:w="90" w:type="dxa"/>
            <w:tcBorders/>
            <w:vAlign w:val="bottom"/>
          </w:tcPr>
          <w:p>
            <w:pPr>
              <w:pStyle w:val="TableContents"/>
              <w:bidi w:val="0"/>
              <w:spacing w:before="0" w:after="283"/>
              <w:jc w:val="left"/>
              <w:rPr/>
            </w:pPr>
            <w:r>
              <w:rPr/>
              <w:t> </w:t>
            </w:r>
          </w:p>
        </w:tc>
        <w:tc>
          <w:tcPr>
            <w:tcW w:w="199" w:type="dxa"/>
            <w:tcBorders>
              <w:bottom w:val="single" w:sz="12" w:space="0" w:color="000000"/>
            </w:tcBorders>
            <w:tcMar>
              <w:bottom w:w="28" w:type="dxa"/>
            </w:tcMar>
            <w:vAlign w:val="bottom"/>
          </w:tcPr>
          <w:p>
            <w:pPr>
              <w:pStyle w:val="TableContents"/>
              <w:bidi w:val="0"/>
              <w:spacing w:before="0" w:after="283"/>
              <w:jc w:val="left"/>
              <w:rPr/>
            </w:pPr>
            <w:r>
              <w:rPr/>
              <w:t> </w:t>
            </w:r>
          </w:p>
        </w:tc>
        <w:tc>
          <w:tcPr>
            <w:tcW w:w="691" w:type="dxa"/>
            <w:tcBorders>
              <w:bottom w:val="single" w:sz="12" w:space="0" w:color="000000"/>
            </w:tcBorders>
            <w:tcMar>
              <w:bottom w:w="28" w:type="dxa"/>
            </w:tcMar>
            <w:vAlign w:val="bottom"/>
          </w:tcPr>
          <w:p>
            <w:pPr>
              <w:pStyle w:val="TableContents"/>
              <w:bidi w:val="0"/>
              <w:spacing w:before="0" w:after="0"/>
              <w:jc w:val="right"/>
              <w:rPr/>
            </w:pPr>
            <w:r>
              <w:rPr/>
              <w:t>—</w:t>
            </w:r>
          </w:p>
        </w:tc>
        <w:tc>
          <w:tcPr>
            <w:tcW w:w="14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bottom w:val="single" w:sz="12" w:space="0" w:color="000000"/>
            </w:tcBorders>
            <w:tcMar>
              <w:bottom w:w="28" w:type="dxa"/>
            </w:tcMar>
            <w:vAlign w:val="bottom"/>
          </w:tcPr>
          <w:p>
            <w:pPr>
              <w:pStyle w:val="TableContents"/>
              <w:bidi w:val="0"/>
              <w:spacing w:before="0" w:after="283"/>
              <w:jc w:val="left"/>
              <w:rPr/>
            </w:pPr>
            <w:r>
              <w:rPr/>
              <w:t> </w:t>
            </w:r>
          </w:p>
        </w:tc>
        <w:tc>
          <w:tcPr>
            <w:tcW w:w="778" w:type="dxa"/>
            <w:tcBorders>
              <w:bottom w:val="single" w:sz="12" w:space="0" w:color="000000"/>
            </w:tcBorders>
            <w:tcMar>
              <w:bottom w:w="28" w:type="dxa"/>
            </w:tcMar>
            <w:vAlign w:val="bottom"/>
          </w:tcPr>
          <w:p>
            <w:pPr>
              <w:pStyle w:val="TableContents"/>
              <w:bidi w:val="0"/>
              <w:spacing w:before="0" w:after="0"/>
              <w:jc w:val="right"/>
              <w:rPr/>
            </w:pPr>
            <w:r>
              <w:rPr/>
              <w:t>(74</w:t>
            </w:r>
          </w:p>
        </w:tc>
        <w:tc>
          <w:tcPr>
            <w:tcW w:w="146" w:type="dxa"/>
            <w:tcBorders/>
            <w:vAlign w:val="bottom"/>
          </w:tcPr>
          <w:p>
            <w:pPr>
              <w:pStyle w:val="TableContents"/>
              <w:bidi w:val="0"/>
              <w:spacing w:before="0" w:after="0"/>
              <w:jc w:val="left"/>
              <w:rPr/>
            </w:pPr>
            <w:r>
              <w:rPr/>
              <w:t>)</w:t>
            </w:r>
          </w:p>
        </w:tc>
        <w:tc>
          <w:tcPr>
            <w:tcW w:w="105" w:type="dxa"/>
            <w:tcBorders/>
            <w:vAlign w:val="bottom"/>
          </w:tcPr>
          <w:p>
            <w:pPr>
              <w:pStyle w:val="TableContents"/>
              <w:bidi w:val="0"/>
              <w:spacing w:before="0" w:after="283"/>
              <w:jc w:val="left"/>
              <w:rPr/>
            </w:pPr>
            <w:r>
              <w:rPr/>
              <w:t> </w:t>
            </w:r>
          </w:p>
        </w:tc>
        <w:tc>
          <w:tcPr>
            <w:tcW w:w="199" w:type="dxa"/>
            <w:tcBorders>
              <w:bottom w:val="single" w:sz="12" w:space="0" w:color="000000"/>
            </w:tcBorders>
            <w:tcMar>
              <w:bottom w:w="28" w:type="dxa"/>
            </w:tcMar>
            <w:vAlign w:val="bottom"/>
          </w:tcPr>
          <w:p>
            <w:pPr>
              <w:pStyle w:val="TableContents"/>
              <w:bidi w:val="0"/>
              <w:spacing w:before="0" w:after="283"/>
              <w:jc w:val="left"/>
              <w:rPr/>
            </w:pPr>
            <w:r>
              <w:rPr/>
              <w:t> </w:t>
            </w:r>
          </w:p>
        </w:tc>
        <w:tc>
          <w:tcPr>
            <w:tcW w:w="781" w:type="dxa"/>
            <w:tcBorders>
              <w:bottom w:val="single" w:sz="12" w:space="0" w:color="000000"/>
            </w:tcBorders>
            <w:tcMar>
              <w:bottom w:w="28" w:type="dxa"/>
            </w:tcMar>
            <w:vAlign w:val="bottom"/>
          </w:tcPr>
          <w:p>
            <w:pPr>
              <w:pStyle w:val="TableContents"/>
              <w:bidi w:val="0"/>
              <w:spacing w:before="0" w:after="0"/>
              <w:jc w:val="right"/>
              <w:rPr/>
            </w:pPr>
            <w:r>
              <w:rPr/>
              <w:t>(74</w:t>
            </w:r>
          </w:p>
        </w:tc>
        <w:tc>
          <w:tcPr>
            <w:tcW w:w="170" w:type="dxa"/>
            <w:tcBorders/>
            <w:vAlign w:val="bottom"/>
          </w:tcPr>
          <w:p>
            <w:pPr>
              <w:pStyle w:val="TableContents"/>
              <w:bidi w:val="0"/>
              <w:spacing w:before="0" w:after="0"/>
              <w:jc w:val="left"/>
              <w:rPr/>
            </w:pPr>
            <w:r>
              <w:rPr/>
              <w:t>)</w:t>
            </w:r>
          </w:p>
        </w:tc>
      </w:tr>
      <w:tr>
        <w:trPr/>
        <w:tc>
          <w:tcPr>
            <w:tcW w:w="4745" w:type="dxa"/>
            <w:tcBorders/>
            <w:shd w:fill="CCEEFF" w:val="clear"/>
            <w:vAlign w:val="bottom"/>
          </w:tcPr>
          <w:p>
            <w:pPr>
              <w:pStyle w:val="TableContents"/>
              <w:bidi w:val="0"/>
              <w:spacing w:before="0" w:after="0"/>
              <w:ind w:left="504" w:right="0" w:hanging="144"/>
              <w:jc w:val="left"/>
              <w:rPr>
                <w:color w:val="000000"/>
              </w:rPr>
            </w:pPr>
            <w:r>
              <w:rPr>
                <w:color w:val="000000"/>
              </w:rPr>
              <w:t>Total interest-bearing liabilities</w:t>
            </w:r>
          </w:p>
        </w:tc>
        <w:tc>
          <w:tcPr>
            <w:tcW w:w="90" w:type="dxa"/>
            <w:tcBorders/>
            <w:shd w:fill="CCEEFF" w:val="clear"/>
            <w:vAlign w:val="bottom"/>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vAlign w:val="bottom"/>
          </w:tcPr>
          <w:p>
            <w:pPr>
              <w:pStyle w:val="TableContents"/>
              <w:bidi w:val="0"/>
              <w:spacing w:before="0" w:after="0"/>
              <w:jc w:val="right"/>
              <w:rPr/>
            </w:pPr>
            <w:r>
              <w:rPr/>
              <w:t>411</w:t>
            </w:r>
          </w:p>
        </w:tc>
        <w:tc>
          <w:tcPr>
            <w:tcW w:w="14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78" w:type="dxa"/>
            <w:tcBorders>
              <w:bottom w:val="single" w:sz="12" w:space="0" w:color="000000"/>
            </w:tcBorders>
            <w:shd w:fill="CCEEFF" w:val="clear"/>
            <w:tcMar>
              <w:bottom w:w="28" w:type="dxa"/>
            </w:tcMar>
            <w:vAlign w:val="bottom"/>
          </w:tcPr>
          <w:p>
            <w:pPr>
              <w:pStyle w:val="TableContents"/>
              <w:bidi w:val="0"/>
              <w:spacing w:before="0" w:after="0"/>
              <w:jc w:val="right"/>
              <w:rPr/>
            </w:pPr>
            <w:r>
              <w:rPr/>
              <w:t>(2,026</w:t>
            </w:r>
          </w:p>
        </w:tc>
        <w:tc>
          <w:tcPr>
            <w:tcW w:w="146" w:type="dxa"/>
            <w:tcBorders/>
            <w:shd w:fill="CCEEFF" w:val="clear"/>
            <w:vAlign w:val="bottom"/>
          </w:tcPr>
          <w:p>
            <w:pPr>
              <w:pStyle w:val="TableContents"/>
              <w:bidi w:val="0"/>
              <w:spacing w:before="0" w:after="0"/>
              <w:jc w:val="left"/>
              <w:rPr/>
            </w:pPr>
            <w:r>
              <w:rPr/>
              <w:t>)</w:t>
            </w:r>
          </w:p>
        </w:tc>
        <w:tc>
          <w:tcPr>
            <w:tcW w:w="105" w:type="dxa"/>
            <w:tcBorders/>
            <w:shd w:fill="CCEEFF" w:val="clear"/>
            <w:vAlign w:val="bottom"/>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1" w:type="dxa"/>
            <w:tcBorders>
              <w:bottom w:val="single" w:sz="12" w:space="0" w:color="000000"/>
            </w:tcBorders>
            <w:shd w:fill="CCEEFF" w:val="clear"/>
            <w:tcMar>
              <w:bottom w:w="28" w:type="dxa"/>
            </w:tcMar>
            <w:vAlign w:val="bottom"/>
          </w:tcPr>
          <w:p>
            <w:pPr>
              <w:pStyle w:val="TableContents"/>
              <w:bidi w:val="0"/>
              <w:spacing w:before="0" w:after="0"/>
              <w:jc w:val="right"/>
              <w:rPr/>
            </w:pPr>
            <w:r>
              <w:rPr/>
              <w:t>(1,615</w:t>
            </w:r>
          </w:p>
        </w:tc>
        <w:tc>
          <w:tcPr>
            <w:tcW w:w="170" w:type="dxa"/>
            <w:tcBorders/>
            <w:shd w:fill="CCEEFF" w:val="clear"/>
            <w:vAlign w:val="bottom"/>
          </w:tcPr>
          <w:p>
            <w:pPr>
              <w:pStyle w:val="TableContents"/>
              <w:bidi w:val="0"/>
              <w:spacing w:before="0" w:after="0"/>
              <w:jc w:val="left"/>
              <w:rPr/>
            </w:pPr>
            <w:r>
              <w:rPr/>
              <w:t>)</w:t>
            </w:r>
          </w:p>
        </w:tc>
      </w:tr>
      <w:tr>
        <w:trPr/>
        <w:tc>
          <w:tcPr>
            <w:tcW w:w="47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ind w:left="144" w:right="0" w:hanging="144"/>
              <w:jc w:val="left"/>
              <w:rPr>
                <w:color w:val="000000"/>
              </w:rPr>
            </w:pPr>
            <w:r>
              <w:rPr>
                <w:color w:val="000000"/>
              </w:rPr>
              <w:t>Net change</w:t>
            </w:r>
          </w:p>
        </w:tc>
        <w:tc>
          <w:tcPr>
            <w:tcW w:w="90" w:type="dxa"/>
            <w:tcBorders/>
            <w:shd w:fill="CCEEFF" w:val="clear"/>
            <w:vAlign w:val="bottom"/>
          </w:tcPr>
          <w:p>
            <w:pPr>
              <w:pStyle w:val="TableContents"/>
              <w:bidi w:val="0"/>
              <w:spacing w:before="0" w:after="283"/>
              <w:jc w:val="left"/>
              <w:rPr/>
            </w:pPr>
            <w:r>
              <w:rPr/>
              <w:t> </w:t>
            </w:r>
          </w:p>
        </w:tc>
        <w:tc>
          <w:tcPr>
            <w:tcW w:w="19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91" w:type="dxa"/>
            <w:tcBorders>
              <w:bottom w:val="double" w:sz="8" w:space="0" w:color="000000"/>
            </w:tcBorders>
            <w:shd w:fill="CCEEFF" w:val="clear"/>
            <w:tcMar>
              <w:bottom w:w="28" w:type="dxa"/>
            </w:tcMar>
            <w:vAlign w:val="bottom"/>
          </w:tcPr>
          <w:p>
            <w:pPr>
              <w:pStyle w:val="TableContents"/>
              <w:bidi w:val="0"/>
              <w:spacing w:before="0" w:after="0"/>
              <w:jc w:val="right"/>
              <w:rPr/>
            </w:pPr>
            <w:r>
              <w:rPr/>
              <w:t>2,009</w:t>
            </w:r>
          </w:p>
        </w:tc>
        <w:tc>
          <w:tcPr>
            <w:tcW w:w="14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78" w:type="dxa"/>
            <w:tcBorders>
              <w:bottom w:val="double" w:sz="8" w:space="0" w:color="000000"/>
            </w:tcBorders>
            <w:shd w:fill="CCEEFF" w:val="clear"/>
            <w:tcMar>
              <w:bottom w:w="28" w:type="dxa"/>
            </w:tcMar>
            <w:vAlign w:val="bottom"/>
          </w:tcPr>
          <w:p>
            <w:pPr>
              <w:pStyle w:val="TableContents"/>
              <w:bidi w:val="0"/>
              <w:spacing w:before="0" w:after="0"/>
              <w:jc w:val="right"/>
              <w:rPr/>
            </w:pPr>
            <w:r>
              <w:rPr/>
              <w:t>2,330</w:t>
            </w:r>
          </w:p>
        </w:tc>
        <w:tc>
          <w:tcPr>
            <w:tcW w:w="14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81" w:type="dxa"/>
            <w:tcBorders>
              <w:bottom w:val="double" w:sz="8" w:space="0" w:color="000000"/>
            </w:tcBorders>
            <w:shd w:fill="CCEEFF" w:val="clear"/>
            <w:tcMar>
              <w:bottom w:w="28" w:type="dxa"/>
            </w:tcMar>
            <w:vAlign w:val="bottom"/>
          </w:tcPr>
          <w:p>
            <w:pPr>
              <w:pStyle w:val="TableContents"/>
              <w:bidi w:val="0"/>
              <w:spacing w:before="0" w:after="0"/>
              <w:jc w:val="right"/>
              <w:rPr/>
            </w:pPr>
            <w:r>
              <w:rPr/>
              <w:t>4,339</w:t>
            </w:r>
          </w:p>
        </w:tc>
        <w:tc>
          <w:tcPr>
            <w:tcW w:w="1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interest income for the three months ended March 31, 2026 was $42.9 million, compared to $38.5 million for the three months ended March 31, 2025, an increase of $4.3 million, or 11.2%. The increase in net interest income was comprised of an increase of $2.7 million, or 4.5%, in interest income and a decrease of $1.6 million, or 7.5%, in interest expense. The growth in interest income was predominately attributable to increases of $2.1 million in loan interest income and $1.0 million in interest on other interest-earning assets. The increase in loan interest income was mainly due to growth of $55.6 million in average loans outstanding and a 16 basis point increase in the yield on loans. The increase in interest income on other interest-earning assets was due to an increase of $170.0 million in the average balance of these assets, partially offset by a decline of 53 basis points in the related yield due to the decreases in the federal funds rate during the last four months of 2025.</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$1.6 million decrease in interest expense for the three months ended March 31, 2026 was primarily related to a 33 basis point decrease in the rate paid on interest-bearing liabilities over the same period in 2025 and a reduction of $592 thousand in interest expense as a result of the redemption of $50 million in subordinated debt securities on September 30, 2025, partially offset by growth of $159.9 million in interest-bearing deposits in the compared periods.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the three months ended March 31, 2026, net interest margin and net interest spread were 4.04% and 3.18%, respectively, compared to 3.81% and 2.87%, respectively, for the same period in 2025, which reflects the changes in interest income and interest expense discussed above.</w:t>
      </w:r>
    </w:p>
    <w:p>
      <w:pPr>
        <w:pStyle w:val="TextBody"/>
        <w:bidi w:val="0"/>
        <w:spacing w:before="0" w:after="0"/>
        <w:jc w:val="center"/>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Provision for Credit Losses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Credit risk is inherent in the business of making loans. We establish an allowance for credit losses (“ACL”) through charges to earnings, which are shown in the consolidated statements of comprehensive income as the provision for credit losses. Credit losses on loans are charged against the allowance when management believes the uncollectibility of a loan balance is confirmed. The provision for credit losses is determined by conducting a quarterly evaluation of the adequacy of our ACL and charging the shortfall or excess, if any, to the current quarter’s expense. This has the effect of creating variability in the amount and frequency of charges to our earnings. The provision for credit losses and the amount of allowance for each period are dependent upon many factors, including loan growth, net charge-offs, changes in the composition of the loan portfolio, delinquencies, management’s assessment of the quality of the loan portfolio, the valuation of problem loans and the general economic conditions in our market areas.</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30</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provision for credit losses for the three months ended March 31, 2026 was $260 thousand, which was comparable to $420 thousand for the three months ended March 31, 2025.</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provision for credit losses is a significant factor in the Company’s operating results. For further discussion regarding the provision for credit losses and management’s assessment of the adequacy of the ACL for loans, see “Allowance for Credit Losses for Loans” and “Asset Quality” under “Financial Condition” in this Item 2, below.</w:t>
      </w:r>
    </w:p>
    <w:p>
      <w:pPr>
        <w:pStyle w:val="TextBody"/>
        <w:bidi w:val="0"/>
        <w:spacing w:before="0" w:after="0"/>
        <w:jc w:val="center"/>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Noninterest Income</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While interest income remains the largest single component of total revenues, noninterest income is an important contributing component. The largest portion of our noninterest income is associated with our mortgage banking activities. Other sources of noninterest income include service charges on deposit accounts, and bank card services and interchange fees.</w:t>
      </w:r>
    </w:p>
    <w:p>
      <w:pPr>
        <w:pStyle w:val="TextBody"/>
        <w:bidi w:val="0"/>
        <w:spacing w:before="0" w:after="0"/>
        <w:jc w:val="center"/>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sets forth the major components of our noninterest income for the periods indicated:</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203" w:name="z1f7284cd72e34ad9b07696c4872c4dc2"/>
      <w:bookmarkStart w:id="204" w:name="z1f7284cd72e34ad9b07696c4872c4dc2"/>
      <w:bookmarkEnd w:id="204"/>
    </w:p>
    <w:tbl>
      <w:tblPr>
        <w:tblW w:w="7339" w:type="dxa"/>
        <w:jc w:val="center"/>
        <w:tblInd w:w="0" w:type="dxa"/>
        <w:tblLayout w:type="fixed"/>
        <w:tblCellMar>
          <w:top w:w="0" w:type="dxa"/>
          <w:left w:w="0" w:type="dxa"/>
          <w:bottom w:w="0" w:type="dxa"/>
          <w:right w:w="0" w:type="dxa"/>
        </w:tblCellMar>
      </w:tblPr>
      <w:tblGrid>
        <w:gridCol w:w="3845"/>
        <w:gridCol w:w="90"/>
        <w:gridCol w:w="170"/>
        <w:gridCol w:w="710"/>
        <w:gridCol w:w="90"/>
        <w:gridCol w:w="90"/>
        <w:gridCol w:w="170"/>
        <w:gridCol w:w="710"/>
        <w:gridCol w:w="90"/>
        <w:gridCol w:w="90"/>
        <w:gridCol w:w="226"/>
        <w:gridCol w:w="888"/>
        <w:gridCol w:w="170"/>
      </w:tblGrid>
      <w:tr>
        <w:trPr/>
        <w:tc>
          <w:tcPr>
            <w:tcW w:w="38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34"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w:t>
            </w:r>
          </w:p>
          <w:p>
            <w:pPr>
              <w:pStyle w:val="TableContents"/>
              <w:bidi w:val="0"/>
              <w:spacing w:before="0" w:after="0"/>
              <w:jc w:val="center"/>
              <w:rPr>
                <w:b/>
              </w:rPr>
            </w:pPr>
            <w:r>
              <w:rPr>
                <w:b/>
              </w:rPr>
              <w:t>March 31,</w:t>
            </w:r>
          </w:p>
        </w:tc>
        <w:tc>
          <w:tcPr>
            <w:tcW w:w="170" w:type="dxa"/>
            <w:tcBorders/>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Increase</w:t>
            </w:r>
          </w:p>
          <w:p>
            <w:pPr>
              <w:pStyle w:val="TableContents"/>
              <w:bidi w:val="0"/>
              <w:spacing w:before="0" w:after="0"/>
              <w:jc w:val="center"/>
              <w:rPr>
                <w:b/>
                <w:color w:val="000000"/>
              </w:rPr>
            </w:pPr>
            <w:r>
              <w:rPr>
                <w:b/>
                <w:color w:val="000000"/>
              </w:rPr>
              <w:t>(Decrease)</w:t>
            </w:r>
          </w:p>
        </w:tc>
        <w:tc>
          <w:tcPr>
            <w:tcW w:w="170" w:type="dxa"/>
            <w:tcBorders/>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34" w:type="dxa"/>
            <w:gridSpan w:val="10"/>
            <w:tcBorders/>
            <w:vAlign w:val="bottom"/>
          </w:tcPr>
          <w:p>
            <w:pPr>
              <w:pStyle w:val="TableContents"/>
              <w:bidi w:val="0"/>
              <w:spacing w:before="0" w:after="0"/>
              <w:jc w:val="center"/>
              <w:rPr>
                <w:b/>
                <w:color w:val="000000"/>
              </w:rPr>
            </w:pPr>
            <w:r>
              <w:rPr>
                <w:b/>
                <w:color w:val="000000"/>
              </w:rPr>
              <w:t>(Dollars in thousands)</w:t>
            </w:r>
          </w:p>
        </w:tc>
        <w:tc>
          <w:tcPr>
            <w:tcW w:w="170" w:type="dxa"/>
            <w:tcBorders/>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ind w:left="144" w:right="0" w:hanging="144"/>
              <w:jc w:val="left"/>
              <w:rPr>
                <w:b/>
                <w:color w:val="000000"/>
              </w:rPr>
            </w:pPr>
            <w:r>
              <w:rPr>
                <w:b/>
                <w:color w:val="000000"/>
              </w:rPr>
              <w:t>Noninterest income:</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14" w:type="dxa"/>
            <w:gridSpan w:val="2"/>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ind w:left="288" w:right="0" w:hanging="144"/>
              <w:jc w:val="left"/>
              <w:rPr>
                <w:color w:val="000000"/>
              </w:rPr>
            </w:pPr>
            <w:r>
              <w:rPr>
                <w:color w:val="000000"/>
              </w:rPr>
              <w:t>Service charges on deposit accounts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2,255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2,141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0"/>
              <w:jc w:val="left"/>
              <w:rPr/>
            </w:pPr>
            <w:r>
              <w:rPr/>
              <w:t>$</w:t>
            </w:r>
          </w:p>
        </w:tc>
        <w:tc>
          <w:tcPr>
            <w:tcW w:w="888" w:type="dxa"/>
            <w:tcBorders/>
            <w:shd w:fill="CCEEFF" w:val="clear"/>
            <w:vAlign w:val="bottom"/>
          </w:tcPr>
          <w:p>
            <w:pPr>
              <w:pStyle w:val="TableContents"/>
              <w:bidi w:val="0"/>
              <w:spacing w:before="0" w:after="0"/>
              <w:jc w:val="right"/>
              <w:rPr/>
            </w:pPr>
            <w:r>
              <w:rPr/>
              <w:t>114</w:t>
            </w:r>
          </w:p>
        </w:tc>
        <w:tc>
          <w:tcPr>
            <w:tcW w:w="170"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ind w:left="288" w:right="0" w:hanging="144"/>
              <w:jc w:val="left"/>
              <w:rPr>
                <w:color w:val="000000"/>
              </w:rPr>
            </w:pPr>
            <w:r>
              <w:rPr>
                <w:color w:val="000000"/>
              </w:rPr>
              <w:t>Bank card services and interchange fees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3,216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3,379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(163</w:t>
            </w:r>
          </w:p>
        </w:tc>
        <w:tc>
          <w:tcPr>
            <w:tcW w:w="170" w:type="dxa"/>
            <w:tcBorders/>
            <w:vAlign w:val="bottom"/>
          </w:tcPr>
          <w:p>
            <w:pPr>
              <w:pStyle w:val="TableContents"/>
              <w:bidi w:val="0"/>
              <w:spacing w:before="0" w:after="0"/>
              <w:jc w:val="left"/>
              <w:rPr/>
            </w:pPr>
            <w:r>
              <w:rPr/>
              <w:t>)</w:t>
            </w:r>
          </w:p>
        </w:tc>
      </w:tr>
      <w:tr>
        <w:trPr/>
        <w:tc>
          <w:tcPr>
            <w:tcW w:w="3845" w:type="dxa"/>
            <w:tcBorders/>
            <w:shd w:fill="CCEEFF" w:val="clear"/>
            <w:vAlign w:val="bottom"/>
          </w:tcPr>
          <w:p>
            <w:pPr>
              <w:pStyle w:val="TableContents"/>
              <w:bidi w:val="0"/>
              <w:spacing w:before="0" w:after="0"/>
              <w:ind w:left="288" w:right="0" w:hanging="144"/>
              <w:jc w:val="left"/>
              <w:rPr>
                <w:color w:val="000000"/>
              </w:rPr>
            </w:pPr>
            <w:r>
              <w:rPr>
                <w:color w:val="000000"/>
              </w:rPr>
              <w:t>Mortgage banking activities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3,918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2,113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1,805</w:t>
            </w:r>
          </w:p>
        </w:tc>
        <w:tc>
          <w:tcPr>
            <w:tcW w:w="170"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ind w:left="288" w:right="0" w:hanging="144"/>
              <w:jc w:val="left"/>
              <w:rPr>
                <w:color w:val="000000"/>
              </w:rPr>
            </w:pPr>
            <w:r>
              <w:rPr>
                <w:color w:val="000000"/>
              </w:rPr>
              <w:t>Investment commissions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555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434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121</w:t>
            </w:r>
          </w:p>
        </w:tc>
        <w:tc>
          <w:tcPr>
            <w:tcW w:w="170"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ind w:left="288" w:right="0" w:hanging="144"/>
              <w:jc w:val="left"/>
              <w:rPr>
                <w:color w:val="000000"/>
              </w:rPr>
            </w:pPr>
            <w:r>
              <w:rPr>
                <w:color w:val="000000"/>
              </w:rPr>
              <w:t>Fiduciary income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789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738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51</w:t>
            </w:r>
          </w:p>
        </w:tc>
        <w:tc>
          <w:tcPr>
            <w:tcW w:w="170"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lineRule="auto" w:line="240" w:before="0" w:after="0"/>
              <w:ind w:left="288" w:right="0" w:hanging="144"/>
              <w:jc w:val="left"/>
              <w:rPr>
                <w:color w:val="000000"/>
              </w:rPr>
            </w:pPr>
            <w:r>
              <w:rPr>
                <w:color w:val="000000"/>
              </w:rPr>
              <w:t>Other income and fees (1)</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562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1,820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6"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pPr>
            <w:r>
              <w:rPr/>
              <w:t>(1,258</w:t>
            </w:r>
          </w:p>
        </w:tc>
        <w:tc>
          <w:tcPr>
            <w:tcW w:w="170" w:type="dxa"/>
            <w:tcBorders/>
            <w:vAlign w:val="bottom"/>
          </w:tcPr>
          <w:p>
            <w:pPr>
              <w:pStyle w:val="TableContents"/>
              <w:bidi w:val="0"/>
              <w:spacing w:before="0" w:after="0"/>
              <w:jc w:val="left"/>
              <w:rPr/>
            </w:pPr>
            <w:r>
              <w:rPr/>
              <w:t>)</w:t>
            </w:r>
          </w:p>
        </w:tc>
      </w:tr>
      <w:tr>
        <w:trPr/>
        <w:tc>
          <w:tcPr>
            <w:tcW w:w="3845" w:type="dxa"/>
            <w:tcBorders/>
            <w:shd w:fill="CCEEFF" w:val="clear"/>
            <w:vAlign w:val="bottom"/>
          </w:tcPr>
          <w:p>
            <w:pPr>
              <w:pStyle w:val="TableContents"/>
              <w:bidi w:val="0"/>
              <w:spacing w:before="0" w:after="0"/>
              <w:ind w:left="144" w:right="0" w:hanging="144"/>
              <w:jc w:val="left"/>
              <w:rPr>
                <w:color w:val="000000"/>
              </w:rPr>
            </w:pPr>
            <w:r>
              <w:rPr>
                <w:color w:val="000000"/>
              </w:rPr>
              <w:t>Total noninterest income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pPr>
            <w:r>
              <w:rPr/>
              <w:t>11,295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pPr>
            <w:r>
              <w:rPr/>
              <w:t>10,625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6"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88" w:type="dxa"/>
            <w:tcBorders>
              <w:bottom w:val="double" w:sz="8" w:space="0" w:color="000000"/>
            </w:tcBorders>
            <w:shd w:fill="CCEEFF" w:val="clear"/>
            <w:tcMar>
              <w:bottom w:w="28" w:type="dxa"/>
            </w:tcMar>
            <w:vAlign w:val="bottom"/>
          </w:tcPr>
          <w:p>
            <w:pPr>
              <w:pStyle w:val="TableContents"/>
              <w:bidi w:val="0"/>
              <w:spacing w:before="0" w:after="0"/>
              <w:jc w:val="right"/>
              <w:rPr/>
            </w:pPr>
            <w:r>
              <w:rPr/>
              <w:t>670</w:t>
            </w:r>
          </w:p>
        </w:tc>
        <w:tc>
          <w:tcPr>
            <w:tcW w:w="1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205" w:name="ze1010c069c5f4a79b962b7f6881b8234"/>
      <w:bookmarkStart w:id="206" w:name="ze1010c069c5f4a79b962b7f6881b8234"/>
      <w:bookmarkEnd w:id="206"/>
    </w:p>
    <w:tbl>
      <w:tblPr>
        <w:tblW w:w="10205" w:type="dxa"/>
        <w:jc w:val="center"/>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lineRule="auto" w:line="240" w:before="0" w:after="283"/>
              <w:jc w:val="left"/>
              <w:rPr>
                <w:color w:val="000000"/>
              </w:rPr>
            </w:pPr>
            <w:r>
              <w:rPr>
                <w:color w:val="000000"/>
              </w:rPr>
              <w:t>(1)</w:t>
            </w:r>
          </w:p>
        </w:tc>
        <w:tc>
          <w:tcPr>
            <w:tcW w:w="9924" w:type="dxa"/>
            <w:tcBorders/>
            <w:vAlign w:val="center"/>
          </w:tcPr>
          <w:p>
            <w:pPr>
              <w:pStyle w:val="TableContents"/>
              <w:bidi w:val="0"/>
              <w:spacing w:before="0" w:after="0"/>
              <w:jc w:val="both"/>
              <w:rPr>
                <w:color w:val="000000"/>
              </w:rPr>
            </w:pPr>
            <w:r>
              <w:rPr>
                <w:color w:val="000000"/>
              </w:rPr>
              <w:t>Other income and fees includes income and fees associated with the increase in the cash surrender value of life insurance, safe deposit box rental, check printing, collections, legal settlements, wire transfer, Small Business Investment Company (“SBIC”) investments, income from sweep accounts, and other miscellaneous services.</w:t>
            </w:r>
          </w:p>
        </w:tc>
      </w:tr>
    </w:tbl>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Noninterest income for the three months ended March 31, 2026 was $11.3 million, compared to $10.6 million for the three months ended March 31, 2025, an increase of $670 thousand, or 6.3%. Significant changes in the components of noninterest income are detailed below.</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Mortgage banking activities</w:t>
      </w:r>
      <w:r>
        <w:rPr>
          <w:rFonts w:ascii="Times New Roman" w:hAnsi="Times New Roman"/>
          <w:color w:val="000000"/>
          <w:sz w:val="20"/>
          <w:shd w:fill="FFFFFF" w:val="clear"/>
        </w:rPr>
        <w:t xml:space="preserve"> - Income from mortgage banking activities increased $1.8 million, or 85.4%, to $3.9 million for the three months ended March 31, 2026 from $2.1 million for the three months ended March 31, 2025. This increase was primarily due to a $250 thousand positive fair value adjustment to our mortgage servicing rights portfolio in the first quarter of 2026 compared to a negative fair value adjustment of $1.6 million in the first quarter of 2025. The fair value of the mortgage servicing rights portfolio is affected by movements in market interest rates, which increased during the first quarter of 2026 as compared to decreasing during the first quarter of 2025.</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Other income and fees</w:t>
      </w:r>
      <w:r>
        <w:rPr>
          <w:rFonts w:ascii="Times New Roman" w:hAnsi="Times New Roman"/>
          <w:color w:val="000000"/>
          <w:sz w:val="20"/>
          <w:shd w:fill="FFFFFF" w:val="clear"/>
        </w:rPr>
        <w:t xml:space="preserve"> - Other income and fees decreased $1.3 million, or 69.1%, for the three months ended March 31, 2026 as compared to the same period in 2025. The decrease was primarily the result of a loss of $801 thousand in a SBIC investment, due to negative performance of one of the companies in the fund, and a decrease of $125 thousand in gain on sales of fixed assets, all in the first quarter of 2026 as compared to the same period in 2025.</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31</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Noninterest Expense</w:t>
      </w:r>
    </w:p>
    <w:p>
      <w:pPr>
        <w:pStyle w:val="TextBody"/>
        <w:bidi w:val="0"/>
        <w:spacing w:before="0" w:after="0"/>
        <w:jc w:val="center"/>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sets forth the major components of our noninterest expense for the periods indicated:</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207" w:name="zfd3243a3ec394d56afbdc756a112764c"/>
      <w:bookmarkStart w:id="208" w:name="zfd3243a3ec394d56afbdc756a112764c"/>
      <w:bookmarkEnd w:id="208"/>
    </w:p>
    <w:tbl>
      <w:tblPr>
        <w:tblW w:w="6499" w:type="dxa"/>
        <w:jc w:val="center"/>
        <w:tblInd w:w="0" w:type="dxa"/>
        <w:tblLayout w:type="fixed"/>
        <w:tblCellMar>
          <w:top w:w="0" w:type="dxa"/>
          <w:left w:w="0" w:type="dxa"/>
          <w:bottom w:w="0" w:type="dxa"/>
          <w:right w:w="0" w:type="dxa"/>
        </w:tblCellMar>
      </w:tblPr>
      <w:tblGrid>
        <w:gridCol w:w="3005"/>
        <w:gridCol w:w="90"/>
        <w:gridCol w:w="170"/>
        <w:gridCol w:w="710"/>
        <w:gridCol w:w="90"/>
        <w:gridCol w:w="90"/>
        <w:gridCol w:w="170"/>
        <w:gridCol w:w="710"/>
        <w:gridCol w:w="90"/>
        <w:gridCol w:w="90"/>
        <w:gridCol w:w="248"/>
        <w:gridCol w:w="866"/>
        <w:gridCol w:w="170"/>
      </w:tblGrid>
      <w:tr>
        <w:trPr/>
        <w:tc>
          <w:tcPr>
            <w:tcW w:w="300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34"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w:t>
            </w:r>
          </w:p>
          <w:p>
            <w:pPr>
              <w:pStyle w:val="TableContents"/>
              <w:bidi w:val="0"/>
              <w:spacing w:before="0" w:after="0"/>
              <w:jc w:val="center"/>
              <w:rPr>
                <w:b/>
              </w:rPr>
            </w:pPr>
            <w:r>
              <w:rPr>
                <w:b/>
              </w:rPr>
              <w:t>March 31,</w:t>
            </w:r>
          </w:p>
        </w:tc>
        <w:tc>
          <w:tcPr>
            <w:tcW w:w="170" w:type="dxa"/>
            <w:tcBorders/>
            <w:vAlign w:val="bottom"/>
          </w:tcPr>
          <w:p>
            <w:pPr>
              <w:pStyle w:val="TableContents"/>
              <w:bidi w:val="0"/>
              <w:spacing w:before="0" w:after="283"/>
              <w:jc w:val="left"/>
              <w:rPr/>
            </w:pPr>
            <w:r>
              <w:rPr/>
              <w:t> </w:t>
            </w:r>
          </w:p>
        </w:tc>
      </w:tr>
      <w:tr>
        <w:trPr/>
        <w:tc>
          <w:tcPr>
            <w:tcW w:w="300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Increase</w:t>
            </w:r>
          </w:p>
          <w:p>
            <w:pPr>
              <w:pStyle w:val="TableContents"/>
              <w:bidi w:val="0"/>
              <w:spacing w:before="0" w:after="0"/>
              <w:jc w:val="center"/>
              <w:rPr>
                <w:b/>
                <w:color w:val="000000"/>
              </w:rPr>
            </w:pPr>
            <w:r>
              <w:rPr>
                <w:b/>
                <w:color w:val="000000"/>
              </w:rPr>
              <w:t>(Decrease)</w:t>
            </w:r>
          </w:p>
        </w:tc>
        <w:tc>
          <w:tcPr>
            <w:tcW w:w="170" w:type="dxa"/>
            <w:tcBorders/>
            <w:vAlign w:val="bottom"/>
          </w:tcPr>
          <w:p>
            <w:pPr>
              <w:pStyle w:val="TableContents"/>
              <w:bidi w:val="0"/>
              <w:spacing w:before="0" w:after="283"/>
              <w:jc w:val="left"/>
              <w:rPr/>
            </w:pPr>
            <w:r>
              <w:rPr/>
              <w:t> </w:t>
            </w:r>
          </w:p>
        </w:tc>
      </w:tr>
      <w:tr>
        <w:trPr/>
        <w:tc>
          <w:tcPr>
            <w:tcW w:w="300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34" w:type="dxa"/>
            <w:gridSpan w:val="10"/>
            <w:tcBorders/>
            <w:vAlign w:val="bottom"/>
          </w:tcPr>
          <w:p>
            <w:pPr>
              <w:pStyle w:val="TableContents"/>
              <w:bidi w:val="0"/>
              <w:spacing w:before="0" w:after="0"/>
              <w:jc w:val="center"/>
              <w:rPr>
                <w:b/>
                <w:color w:val="000000"/>
              </w:rPr>
            </w:pPr>
            <w:r>
              <w:rPr>
                <w:b/>
                <w:color w:val="000000"/>
              </w:rPr>
              <w:t>(Dollars in thousands)</w:t>
            </w:r>
          </w:p>
        </w:tc>
        <w:tc>
          <w:tcPr>
            <w:tcW w:w="170" w:type="dxa"/>
            <w:tcBorders/>
            <w:vAlign w:val="bottom"/>
          </w:tcPr>
          <w:p>
            <w:pPr>
              <w:pStyle w:val="TableContents"/>
              <w:bidi w:val="0"/>
              <w:spacing w:before="0" w:after="283"/>
              <w:jc w:val="left"/>
              <w:rPr/>
            </w:pPr>
            <w:r>
              <w:rPr/>
              <w:t> </w:t>
            </w:r>
          </w:p>
        </w:tc>
      </w:tr>
      <w:tr>
        <w:trPr/>
        <w:tc>
          <w:tcPr>
            <w:tcW w:w="3005" w:type="dxa"/>
            <w:tcBorders/>
            <w:vAlign w:val="bottom"/>
          </w:tcPr>
          <w:p>
            <w:pPr>
              <w:pStyle w:val="TableContents"/>
              <w:bidi w:val="0"/>
              <w:spacing w:before="0" w:after="0"/>
              <w:ind w:left="144" w:right="0" w:hanging="144"/>
              <w:jc w:val="left"/>
              <w:rPr>
                <w:b/>
                <w:color w:val="000000"/>
              </w:rPr>
            </w:pPr>
            <w:r>
              <w:rPr>
                <w:b/>
                <w:color w:val="000000"/>
              </w:rPr>
              <w:t>Noninterest expense:</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14" w:type="dxa"/>
            <w:gridSpan w:val="2"/>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r>
      <w:tr>
        <w:trPr/>
        <w:tc>
          <w:tcPr>
            <w:tcW w:w="3005" w:type="dxa"/>
            <w:tcBorders/>
            <w:shd w:fill="CCEEFF" w:val="clear"/>
            <w:vAlign w:val="bottom"/>
          </w:tcPr>
          <w:p>
            <w:pPr>
              <w:pStyle w:val="TableContents"/>
              <w:bidi w:val="0"/>
              <w:spacing w:before="0" w:after="0"/>
              <w:ind w:left="288" w:right="0" w:hanging="144"/>
              <w:jc w:val="left"/>
              <w:rPr>
                <w:color w:val="000000"/>
              </w:rPr>
            </w:pPr>
            <w:r>
              <w:rPr>
                <w:color w:val="000000"/>
              </w:rPr>
              <w:t>Salaries and employee benefits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20,154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19,441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0"/>
              <w:jc w:val="left"/>
              <w:rPr/>
            </w:pPr>
            <w:r>
              <w:rPr/>
              <w:t>$</w:t>
            </w:r>
          </w:p>
        </w:tc>
        <w:tc>
          <w:tcPr>
            <w:tcW w:w="866" w:type="dxa"/>
            <w:tcBorders/>
            <w:shd w:fill="CCEEFF" w:val="clear"/>
            <w:vAlign w:val="bottom"/>
          </w:tcPr>
          <w:p>
            <w:pPr>
              <w:pStyle w:val="TableContents"/>
              <w:bidi w:val="0"/>
              <w:spacing w:before="0" w:after="0"/>
              <w:jc w:val="right"/>
              <w:rPr/>
            </w:pPr>
            <w:r>
              <w:rPr/>
              <w:t>713</w:t>
            </w:r>
          </w:p>
        </w:tc>
        <w:tc>
          <w:tcPr>
            <w:tcW w:w="170" w:type="dxa"/>
            <w:tcBorders/>
            <w:shd w:fill="CCEEFF" w:val="clear"/>
            <w:vAlign w:val="bottom"/>
          </w:tcPr>
          <w:p>
            <w:pPr>
              <w:pStyle w:val="TableContents"/>
              <w:bidi w:val="0"/>
              <w:spacing w:before="0" w:after="283"/>
              <w:jc w:val="left"/>
              <w:rPr/>
            </w:pPr>
            <w:r>
              <w:rPr/>
              <w:t> </w:t>
            </w:r>
          </w:p>
        </w:tc>
      </w:tr>
      <w:tr>
        <w:trPr/>
        <w:tc>
          <w:tcPr>
            <w:tcW w:w="3005" w:type="dxa"/>
            <w:tcBorders/>
            <w:vAlign w:val="bottom"/>
          </w:tcPr>
          <w:p>
            <w:pPr>
              <w:pStyle w:val="TableContents"/>
              <w:bidi w:val="0"/>
              <w:spacing w:before="0" w:after="0"/>
              <w:ind w:left="288" w:right="0" w:hanging="144"/>
              <w:jc w:val="left"/>
              <w:rPr>
                <w:color w:val="000000"/>
              </w:rPr>
            </w:pPr>
            <w:r>
              <w:rPr>
                <w:color w:val="000000"/>
              </w:rPr>
              <w:t>Occupancy and equipment, net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3,953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4,027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0"/>
              <w:jc w:val="right"/>
              <w:rPr/>
            </w:pPr>
            <w:r>
              <w:rPr/>
              <w:t>(74</w:t>
            </w:r>
          </w:p>
        </w:tc>
        <w:tc>
          <w:tcPr>
            <w:tcW w:w="170" w:type="dxa"/>
            <w:tcBorders/>
            <w:vAlign w:val="bottom"/>
          </w:tcPr>
          <w:p>
            <w:pPr>
              <w:pStyle w:val="TableContents"/>
              <w:bidi w:val="0"/>
              <w:spacing w:before="0" w:after="0"/>
              <w:jc w:val="left"/>
              <w:rPr/>
            </w:pPr>
            <w:r>
              <w:rPr/>
              <w:t>)</w:t>
            </w:r>
          </w:p>
        </w:tc>
      </w:tr>
      <w:tr>
        <w:trPr/>
        <w:tc>
          <w:tcPr>
            <w:tcW w:w="3005" w:type="dxa"/>
            <w:tcBorders/>
            <w:shd w:fill="CCEEFF" w:val="clear"/>
            <w:vAlign w:val="bottom"/>
          </w:tcPr>
          <w:p>
            <w:pPr>
              <w:pStyle w:val="TableContents"/>
              <w:bidi w:val="0"/>
              <w:spacing w:before="0" w:after="0"/>
              <w:ind w:left="288" w:right="0" w:hanging="144"/>
              <w:jc w:val="left"/>
              <w:rPr>
                <w:color w:val="000000"/>
              </w:rPr>
            </w:pPr>
            <w:r>
              <w:rPr>
                <w:color w:val="000000"/>
              </w:rPr>
              <w:t>Professional services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2,955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1,730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0"/>
              <w:jc w:val="right"/>
              <w:rPr/>
            </w:pPr>
            <w:r>
              <w:rPr/>
              <w:t>1,225</w:t>
            </w:r>
          </w:p>
        </w:tc>
        <w:tc>
          <w:tcPr>
            <w:tcW w:w="170" w:type="dxa"/>
            <w:tcBorders/>
            <w:shd w:fill="CCEEFF" w:val="clear"/>
            <w:vAlign w:val="bottom"/>
          </w:tcPr>
          <w:p>
            <w:pPr>
              <w:pStyle w:val="TableContents"/>
              <w:bidi w:val="0"/>
              <w:spacing w:before="0" w:after="283"/>
              <w:jc w:val="left"/>
              <w:rPr/>
            </w:pPr>
            <w:r>
              <w:rPr/>
              <w:t> </w:t>
            </w:r>
          </w:p>
        </w:tc>
      </w:tr>
      <w:tr>
        <w:trPr/>
        <w:tc>
          <w:tcPr>
            <w:tcW w:w="3005" w:type="dxa"/>
            <w:tcBorders/>
            <w:vAlign w:val="bottom"/>
          </w:tcPr>
          <w:p>
            <w:pPr>
              <w:pStyle w:val="TableContents"/>
              <w:bidi w:val="0"/>
              <w:spacing w:before="0" w:after="0"/>
              <w:ind w:left="288" w:right="0" w:hanging="144"/>
              <w:jc w:val="left"/>
              <w:rPr>
                <w:color w:val="000000"/>
              </w:rPr>
            </w:pPr>
            <w:r>
              <w:rPr>
                <w:color w:val="000000"/>
              </w:rPr>
              <w:t>Marketing and development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1,001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905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0"/>
              <w:jc w:val="right"/>
              <w:rPr/>
            </w:pPr>
            <w:r>
              <w:rPr/>
              <w:t>96</w:t>
            </w:r>
          </w:p>
        </w:tc>
        <w:tc>
          <w:tcPr>
            <w:tcW w:w="170" w:type="dxa"/>
            <w:tcBorders/>
            <w:vAlign w:val="bottom"/>
          </w:tcPr>
          <w:p>
            <w:pPr>
              <w:pStyle w:val="TableContents"/>
              <w:bidi w:val="0"/>
              <w:spacing w:before="0" w:after="283"/>
              <w:jc w:val="left"/>
              <w:rPr/>
            </w:pPr>
            <w:r>
              <w:rPr/>
              <w:t> </w:t>
            </w:r>
          </w:p>
        </w:tc>
      </w:tr>
      <w:tr>
        <w:trPr/>
        <w:tc>
          <w:tcPr>
            <w:tcW w:w="3005" w:type="dxa"/>
            <w:tcBorders/>
            <w:shd w:fill="CCEEFF" w:val="clear"/>
            <w:vAlign w:val="bottom"/>
          </w:tcPr>
          <w:p>
            <w:pPr>
              <w:pStyle w:val="TableContents"/>
              <w:bidi w:val="0"/>
              <w:spacing w:before="0" w:after="0"/>
              <w:ind w:left="288" w:right="0" w:hanging="144"/>
              <w:jc w:val="left"/>
              <w:rPr>
                <w:color w:val="000000"/>
              </w:rPr>
            </w:pPr>
            <w:r>
              <w:rPr>
                <w:color w:val="000000"/>
              </w:rPr>
              <w:t>IT and data services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1,381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1,164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0"/>
              <w:jc w:val="right"/>
              <w:rPr/>
            </w:pPr>
            <w:r>
              <w:rPr/>
              <w:t>217</w:t>
            </w:r>
          </w:p>
        </w:tc>
        <w:tc>
          <w:tcPr>
            <w:tcW w:w="170" w:type="dxa"/>
            <w:tcBorders/>
            <w:shd w:fill="CCEEFF" w:val="clear"/>
            <w:vAlign w:val="bottom"/>
          </w:tcPr>
          <w:p>
            <w:pPr>
              <w:pStyle w:val="TableContents"/>
              <w:bidi w:val="0"/>
              <w:spacing w:before="0" w:after="283"/>
              <w:jc w:val="left"/>
              <w:rPr/>
            </w:pPr>
            <w:r>
              <w:rPr/>
              <w:t> </w:t>
            </w:r>
          </w:p>
        </w:tc>
      </w:tr>
      <w:tr>
        <w:trPr/>
        <w:tc>
          <w:tcPr>
            <w:tcW w:w="3005" w:type="dxa"/>
            <w:tcBorders/>
            <w:vAlign w:val="bottom"/>
          </w:tcPr>
          <w:p>
            <w:pPr>
              <w:pStyle w:val="TableContents"/>
              <w:bidi w:val="0"/>
              <w:spacing w:before="0" w:after="0"/>
              <w:ind w:left="288" w:right="0" w:hanging="144"/>
              <w:jc w:val="left"/>
              <w:rPr>
                <w:color w:val="000000"/>
              </w:rPr>
            </w:pPr>
            <w:r>
              <w:rPr>
                <w:color w:val="000000"/>
              </w:rPr>
              <w:t>Bankcard expenses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1,608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1,454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0"/>
              <w:jc w:val="right"/>
              <w:rPr/>
            </w:pPr>
            <w:r>
              <w:rPr/>
              <w:t>154</w:t>
            </w:r>
          </w:p>
        </w:tc>
        <w:tc>
          <w:tcPr>
            <w:tcW w:w="170" w:type="dxa"/>
            <w:tcBorders/>
            <w:vAlign w:val="bottom"/>
          </w:tcPr>
          <w:p>
            <w:pPr>
              <w:pStyle w:val="TableContents"/>
              <w:bidi w:val="0"/>
              <w:spacing w:before="0" w:after="283"/>
              <w:jc w:val="left"/>
              <w:rPr/>
            </w:pPr>
            <w:r>
              <w:rPr/>
              <w:t> </w:t>
            </w:r>
          </w:p>
        </w:tc>
      </w:tr>
      <w:tr>
        <w:trPr/>
        <w:tc>
          <w:tcPr>
            <w:tcW w:w="3005" w:type="dxa"/>
            <w:tcBorders/>
            <w:shd w:fill="CCEEFF" w:val="clear"/>
            <w:vAlign w:val="bottom"/>
          </w:tcPr>
          <w:p>
            <w:pPr>
              <w:pStyle w:val="TableContents"/>
              <w:bidi w:val="0"/>
              <w:spacing w:before="0" w:after="0"/>
              <w:ind w:left="288" w:right="0" w:hanging="144"/>
              <w:jc w:val="left"/>
              <w:rPr>
                <w:color w:val="000000"/>
              </w:rPr>
            </w:pPr>
            <w:r>
              <w:rPr>
                <w:color w:val="000000"/>
              </w:rPr>
              <w:t>Appraisal expenses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191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192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0"/>
              <w:jc w:val="right"/>
              <w:rPr/>
            </w:pPr>
            <w:r>
              <w:rPr/>
              <w:t>(1</w:t>
            </w:r>
          </w:p>
        </w:tc>
        <w:tc>
          <w:tcPr>
            <w:tcW w:w="170" w:type="dxa"/>
            <w:tcBorders/>
            <w:shd w:fill="CCEEFF" w:val="clear"/>
            <w:vAlign w:val="bottom"/>
          </w:tcPr>
          <w:p>
            <w:pPr>
              <w:pStyle w:val="TableContents"/>
              <w:bidi w:val="0"/>
              <w:spacing w:before="0" w:after="0"/>
              <w:jc w:val="left"/>
              <w:rPr/>
            </w:pPr>
            <w:r>
              <w:rPr/>
              <w:t>)</w:t>
            </w:r>
          </w:p>
        </w:tc>
      </w:tr>
      <w:tr>
        <w:trPr/>
        <w:tc>
          <w:tcPr>
            <w:tcW w:w="3005" w:type="dxa"/>
            <w:tcBorders/>
            <w:vAlign w:val="bottom"/>
          </w:tcPr>
          <w:p>
            <w:pPr>
              <w:pStyle w:val="TableContents"/>
              <w:bidi w:val="0"/>
              <w:spacing w:lineRule="auto" w:line="240" w:before="0" w:after="0"/>
              <w:ind w:left="288" w:right="0" w:hanging="144"/>
              <w:jc w:val="left"/>
              <w:rPr>
                <w:color w:val="000000"/>
              </w:rPr>
            </w:pPr>
            <w:r>
              <w:rPr>
                <w:color w:val="000000"/>
              </w:rPr>
              <w:t>Other expenses (1)</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4,283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4,117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8" w:type="dxa"/>
            <w:tcBorders>
              <w:bottom w:val="single" w:sz="12" w:space="0" w:color="000000"/>
            </w:tcBorders>
            <w:tcMar>
              <w:bottom w:w="28" w:type="dxa"/>
            </w:tcMar>
            <w:vAlign w:val="bottom"/>
          </w:tcPr>
          <w:p>
            <w:pPr>
              <w:pStyle w:val="TableContents"/>
              <w:bidi w:val="0"/>
              <w:spacing w:before="0" w:after="283"/>
              <w:jc w:val="left"/>
              <w:rPr/>
            </w:pPr>
            <w:r>
              <w:rPr/>
              <w:t> </w:t>
            </w:r>
          </w:p>
        </w:tc>
        <w:tc>
          <w:tcPr>
            <w:tcW w:w="866" w:type="dxa"/>
            <w:tcBorders>
              <w:bottom w:val="single" w:sz="12" w:space="0" w:color="000000"/>
            </w:tcBorders>
            <w:tcMar>
              <w:bottom w:w="28" w:type="dxa"/>
            </w:tcMar>
            <w:vAlign w:val="bottom"/>
          </w:tcPr>
          <w:p>
            <w:pPr>
              <w:pStyle w:val="TableContents"/>
              <w:bidi w:val="0"/>
              <w:spacing w:before="0" w:after="0"/>
              <w:jc w:val="right"/>
              <w:rPr/>
            </w:pPr>
            <w:r>
              <w:rPr/>
              <w:t>166</w:t>
            </w:r>
          </w:p>
        </w:tc>
        <w:tc>
          <w:tcPr>
            <w:tcW w:w="170" w:type="dxa"/>
            <w:tcBorders/>
            <w:vAlign w:val="bottom"/>
          </w:tcPr>
          <w:p>
            <w:pPr>
              <w:pStyle w:val="TableContents"/>
              <w:bidi w:val="0"/>
              <w:spacing w:before="0" w:after="283"/>
              <w:jc w:val="left"/>
              <w:rPr/>
            </w:pPr>
            <w:r>
              <w:rPr/>
              <w:t> </w:t>
            </w:r>
          </w:p>
        </w:tc>
      </w:tr>
      <w:tr>
        <w:trPr/>
        <w:tc>
          <w:tcPr>
            <w:tcW w:w="3005" w:type="dxa"/>
            <w:tcBorders/>
            <w:shd w:fill="CCEEFF" w:val="clear"/>
            <w:vAlign w:val="bottom"/>
          </w:tcPr>
          <w:p>
            <w:pPr>
              <w:pStyle w:val="TableContents"/>
              <w:bidi w:val="0"/>
              <w:spacing w:before="0" w:after="0"/>
              <w:ind w:left="504" w:right="0" w:hanging="144"/>
              <w:jc w:val="left"/>
              <w:rPr>
                <w:color w:val="000000"/>
              </w:rPr>
            </w:pPr>
            <w:r>
              <w:rPr>
                <w:color w:val="000000"/>
              </w:rPr>
              <w:t>Total noninterest expense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pPr>
            <w:r>
              <w:rPr/>
              <w:t>35,526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pPr>
            <w:r>
              <w:rPr/>
              <w:t>33,030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8"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66" w:type="dxa"/>
            <w:tcBorders>
              <w:bottom w:val="double" w:sz="8" w:space="0" w:color="000000"/>
            </w:tcBorders>
            <w:shd w:fill="CCEEFF" w:val="clear"/>
            <w:tcMar>
              <w:bottom w:w="28" w:type="dxa"/>
            </w:tcMar>
            <w:vAlign w:val="bottom"/>
          </w:tcPr>
          <w:p>
            <w:pPr>
              <w:pStyle w:val="TableContents"/>
              <w:bidi w:val="0"/>
              <w:spacing w:before="0" w:after="0"/>
              <w:jc w:val="right"/>
              <w:rPr/>
            </w:pPr>
            <w:r>
              <w:rPr/>
              <w:t>2,496</w:t>
            </w:r>
          </w:p>
        </w:tc>
        <w:tc>
          <w:tcPr>
            <w:tcW w:w="1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209" w:name="z6c0f4e0d9b5f4a1ab8679a4a467a1fb5"/>
      <w:bookmarkStart w:id="210" w:name="z6c0f4e0d9b5f4a1ab8679a4a467a1fb5"/>
      <w:bookmarkEnd w:id="210"/>
    </w:p>
    <w:tbl>
      <w:tblPr>
        <w:tblW w:w="10205" w:type="dxa"/>
        <w:jc w:val="center"/>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lineRule="auto" w:line="240" w:before="0" w:after="283"/>
              <w:jc w:val="left"/>
              <w:rPr>
                <w:color w:val="000000"/>
              </w:rPr>
            </w:pPr>
            <w:r>
              <w:rPr>
                <w:color w:val="000000"/>
              </w:rPr>
              <w:t>(1)</w:t>
            </w:r>
          </w:p>
        </w:tc>
        <w:tc>
          <w:tcPr>
            <w:tcW w:w="9893" w:type="dxa"/>
            <w:tcBorders/>
            <w:vAlign w:val="center"/>
          </w:tcPr>
          <w:p>
            <w:pPr>
              <w:pStyle w:val="TableContents"/>
              <w:bidi w:val="0"/>
              <w:spacing w:before="0" w:after="0"/>
              <w:jc w:val="both"/>
              <w:rPr>
                <w:color w:val="000000"/>
              </w:rPr>
            </w:pPr>
            <w:r>
              <w:rPr>
                <w:color w:val="000000"/>
              </w:rPr>
              <w:t>Other expenses include items such as banking regulatory assessments, telephone expenses, postage, courier fees, directors’ fees, and insurance.</w:t>
            </w:r>
          </w:p>
        </w:tc>
      </w:tr>
    </w:tbl>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Noninterest expense for the three months ended March 31, 2026 was $35.5 million compared to $33.0 million for the three months ended March 31, 2025, an increase of $2.5 million, or 7.6%. Significant changes in the components of noninterest expense are detailed below. There was a total of $1.5 million in acquisition related expenses recorded in the first quarter of 2026.</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Salaries and employee benefits</w:t>
      </w:r>
      <w:r>
        <w:rPr>
          <w:rFonts w:ascii="Times New Roman" w:hAnsi="Times New Roman"/>
          <w:color w:val="000000"/>
          <w:sz w:val="20"/>
          <w:shd w:fill="FFFFFF" w:val="clear"/>
        </w:rPr>
        <w:t xml:space="preserve"> - Salaries and employee benefits increased $713 thousand, or 3.7%, from $19.4 million for the three months ended March 31, 2025 to $20.2 million for the three months ended March 31, 2026. This increase was primarily driven by annual salary adjustments, which became effective in January of 2026, and based on new lender hires during the last twelve months.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Professional services</w:t>
      </w:r>
      <w:r>
        <w:rPr>
          <w:rFonts w:ascii="Times New Roman" w:hAnsi="Times New Roman"/>
          <w:color w:val="000000"/>
          <w:sz w:val="20"/>
          <w:shd w:fill="FFFFFF" w:val="clear"/>
        </w:rPr>
        <w:t xml:space="preserve"> - Professional services increased $1.2 million, or 70.8% from $1.7 million for the three months ended March 31, 2025 to $3.0 million for the three months ended March 31, 2026. This increase was primarily driven by $1.2 million of acquisition related expenses in the first quarter of 2026.</w:t>
      </w:r>
    </w:p>
    <w:p>
      <w:pPr>
        <w:pStyle w:val="TextBody"/>
        <w:bidi w:val="0"/>
        <w:spacing w:before="0" w:after="0"/>
        <w:jc w:val="center"/>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Financial Condition</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total assets increased $165.9 million, or 3.7%, to $4.65 billion at March 31, 2026, compared to $4.48 billion at December 31, 2025. Our loans held for investment decreased $41.0 million, or 1.3%, to $3.10 billion at March 31, 2026, compared to $3.14 billion at December 31, 2025. Our securities portfolio increased $35.3 million, or 6.2%, to $602.9 million at March 31, 2026, compared to $567.5 million at December 31, 2025. Total deposits increased $153.5 million, or 4.0%, to $4.03 billion at March 31, 2026, compared to $3.87 billion at December 31, 2025.</w:t>
      </w:r>
    </w:p>
    <w:p>
      <w:pPr>
        <w:pStyle w:val="TextBody"/>
        <w:bidi w:val="0"/>
        <w:spacing w:before="0" w:after="0"/>
        <w:jc w:val="center"/>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Loan Portfolio</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loans represent the largest portion of earning assets, greater than our securities portfolio or any other asset category, and the quality and diversification of the loan portfolio is an important consideration when reviewing the Company’s financial condition. We originate substantially all of the loans in our portfolio, except certain loan participations that are independently underwritten by the Company prior to purchase.</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Loans held for investment decreased $41.0 million, or 1.3%, to $3.10 billion at March 31, 2026, compared to $3.14 billion at December 31, 2025. The decline in loans occurred primarily in multi-family, seasonal agricultural-related loans, and restaurant/retail loans, offset by increases in commercial land and development loans.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shows the contractual maturities of our loans held for investment portfolio at March 31, 2026:</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211" w:name="z2c3c1d641a00408986a2c91b461ef2a3"/>
      <w:bookmarkStart w:id="212" w:name="z2c3c1d641a00408986a2c91b461ef2a3"/>
      <w:bookmarkEnd w:id="212"/>
    </w:p>
    <w:tbl>
      <w:tblPr>
        <w:tblW w:w="10205" w:type="dxa"/>
        <w:jc w:val="center"/>
        <w:tblInd w:w="0" w:type="dxa"/>
        <w:tblLayout w:type="fixed"/>
        <w:tblCellMar>
          <w:top w:w="0" w:type="dxa"/>
          <w:left w:w="0" w:type="dxa"/>
          <w:bottom w:w="0" w:type="dxa"/>
          <w:right w:w="0" w:type="dxa"/>
        </w:tblCellMar>
      </w:tblPr>
      <w:tblGrid>
        <w:gridCol w:w="2189"/>
        <w:gridCol w:w="90"/>
        <w:gridCol w:w="283"/>
        <w:gridCol w:w="1389"/>
        <w:gridCol w:w="90"/>
        <w:gridCol w:w="90"/>
        <w:gridCol w:w="212"/>
        <w:gridCol w:w="1264"/>
        <w:gridCol w:w="90"/>
        <w:gridCol w:w="90"/>
        <w:gridCol w:w="238"/>
        <w:gridCol w:w="1168"/>
        <w:gridCol w:w="90"/>
        <w:gridCol w:w="90"/>
        <w:gridCol w:w="226"/>
        <w:gridCol w:w="1107"/>
        <w:gridCol w:w="90"/>
        <w:gridCol w:w="90"/>
        <w:gridCol w:w="170"/>
        <w:gridCol w:w="1010"/>
        <w:gridCol w:w="139"/>
      </w:tblGrid>
      <w:tr>
        <w:trPr/>
        <w:tc>
          <w:tcPr>
            <w:tcW w:w="218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7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Due in</w:t>
            </w:r>
          </w:p>
          <w:p>
            <w:pPr>
              <w:pStyle w:val="TableContents"/>
              <w:bidi w:val="0"/>
              <w:spacing w:before="0" w:after="0"/>
              <w:jc w:val="center"/>
              <w:rPr>
                <w:b/>
                <w:color w:val="000000"/>
              </w:rPr>
            </w:pPr>
            <w:r>
              <w:rPr>
                <w:b/>
                <w:color w:val="000000"/>
              </w:rPr>
              <w:t>One Year or Less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7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Due after One </w:t>
            </w:r>
          </w:p>
          <w:p>
            <w:pPr>
              <w:pStyle w:val="TableContents"/>
              <w:bidi w:val="0"/>
              <w:spacing w:before="0" w:after="0"/>
              <w:jc w:val="center"/>
              <w:rPr>
                <w:b/>
                <w:color w:val="000000"/>
              </w:rPr>
            </w:pPr>
            <w:r>
              <w:rPr>
                <w:b/>
                <w:color w:val="000000"/>
              </w:rPr>
              <w:t>Year</w:t>
            </w:r>
          </w:p>
          <w:p>
            <w:pPr>
              <w:pStyle w:val="TableContents"/>
              <w:bidi w:val="0"/>
              <w:spacing w:before="0" w:after="0"/>
              <w:jc w:val="center"/>
              <w:rPr>
                <w:b/>
                <w:color w:val="000000"/>
              </w:rPr>
            </w:pPr>
            <w:r>
              <w:rPr>
                <w:b/>
                <w:color w:val="000000"/>
              </w:rPr>
              <w:t xml:space="preserve">Through Five </w:t>
            </w:r>
          </w:p>
          <w:p>
            <w:pPr>
              <w:pStyle w:val="TableContents"/>
              <w:bidi w:val="0"/>
              <w:spacing w:before="0" w:after="0"/>
              <w:jc w:val="center"/>
              <w:rPr>
                <w:b/>
                <w:color w:val="000000"/>
              </w:rPr>
            </w:pPr>
            <w:r>
              <w:rPr>
                <w:b/>
                <w:color w:val="000000"/>
              </w:rPr>
              <w:t>Years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Due after Five</w:t>
            </w:r>
          </w:p>
          <w:p>
            <w:pPr>
              <w:pStyle w:val="TableContents"/>
              <w:bidi w:val="0"/>
              <w:spacing w:before="0" w:after="0"/>
              <w:jc w:val="center"/>
              <w:rPr>
                <w:b/>
                <w:color w:val="000000"/>
              </w:rPr>
            </w:pPr>
            <w:r>
              <w:rPr>
                <w:b/>
                <w:color w:val="000000"/>
              </w:rPr>
              <w:t>Years</w:t>
            </w:r>
          </w:p>
          <w:p>
            <w:pPr>
              <w:pStyle w:val="TableContents"/>
              <w:bidi w:val="0"/>
              <w:spacing w:before="0" w:after="0"/>
              <w:jc w:val="center"/>
              <w:rPr>
                <w:b/>
                <w:color w:val="000000"/>
              </w:rPr>
            </w:pPr>
            <w:r>
              <w:rPr>
                <w:b/>
                <w:color w:val="000000"/>
              </w:rPr>
              <w:t xml:space="preserve">Through </w:t>
            </w:r>
          </w:p>
          <w:p>
            <w:pPr>
              <w:pStyle w:val="TableContents"/>
              <w:bidi w:val="0"/>
              <w:spacing w:before="0" w:after="0"/>
              <w:jc w:val="center"/>
              <w:rPr>
                <w:b/>
                <w:color w:val="000000"/>
              </w:rPr>
            </w:pPr>
            <w:r>
              <w:rPr>
                <w:b/>
                <w:color w:val="000000"/>
              </w:rPr>
              <w:t>Fifteen Years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Due after</w:t>
            </w:r>
          </w:p>
          <w:p>
            <w:pPr>
              <w:pStyle w:val="TableContents"/>
              <w:bidi w:val="0"/>
              <w:spacing w:before="0" w:after="0"/>
              <w:jc w:val="center"/>
              <w:rPr>
                <w:b/>
                <w:color w:val="000000"/>
              </w:rPr>
            </w:pPr>
            <w:r>
              <w:rPr>
                <w:b/>
                <w:color w:val="000000"/>
              </w:rPr>
              <w:t>Fifteen Years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39" w:type="dxa"/>
            <w:tcBorders/>
            <w:vAlign w:val="bottom"/>
          </w:tcPr>
          <w:p>
            <w:pPr>
              <w:pStyle w:val="TableContents"/>
              <w:bidi w:val="0"/>
              <w:spacing w:before="0" w:after="283"/>
              <w:jc w:val="left"/>
              <w:rPr/>
            </w:pPr>
            <w:r>
              <w:rPr/>
              <w:t> </w:t>
            </w:r>
          </w:p>
        </w:tc>
      </w:tr>
      <w:tr>
        <w:trPr/>
        <w:tc>
          <w:tcPr>
            <w:tcW w:w="218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787" w:type="dxa"/>
            <w:gridSpan w:val="18"/>
            <w:tcBorders/>
            <w:vAlign w:val="bottom"/>
          </w:tcPr>
          <w:p>
            <w:pPr>
              <w:pStyle w:val="TableContents"/>
              <w:bidi w:val="0"/>
              <w:spacing w:before="0" w:after="0"/>
              <w:jc w:val="center"/>
              <w:rPr>
                <w:b/>
                <w:color w:val="000000"/>
              </w:rPr>
            </w:pPr>
            <w:r>
              <w:rPr>
                <w:b/>
                <w:color w:val="000000"/>
              </w:rPr>
              <w:t>(Dollars in thousands)</w:t>
            </w:r>
          </w:p>
        </w:tc>
        <w:tc>
          <w:tcPr>
            <w:tcW w:w="139" w:type="dxa"/>
            <w:tcBorders/>
            <w:vAlign w:val="bottom"/>
          </w:tcPr>
          <w:p>
            <w:pPr>
              <w:pStyle w:val="TableContents"/>
              <w:bidi w:val="0"/>
              <w:spacing w:before="0" w:after="283"/>
              <w:jc w:val="left"/>
              <w:rPr/>
            </w:pPr>
            <w:r>
              <w:rPr/>
              <w:t> </w:t>
            </w:r>
          </w:p>
        </w:tc>
      </w:tr>
      <w:tr>
        <w:trPr/>
        <w:tc>
          <w:tcPr>
            <w:tcW w:w="2189" w:type="dxa"/>
            <w:tcBorders/>
            <w:shd w:fill="CCEEFF" w:val="clear"/>
            <w:vAlign w:val="bottom"/>
          </w:tcPr>
          <w:p>
            <w:pPr>
              <w:pStyle w:val="TableContents"/>
              <w:bidi w:val="0"/>
              <w:spacing w:before="0" w:after="0"/>
              <w:ind w:left="180" w:right="0" w:hanging="180"/>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0"/>
              <w:jc w:val="left"/>
              <w:rPr>
                <w:color w:val="000000"/>
              </w:rPr>
            </w:pPr>
            <w:r>
              <w:rPr>
                <w:color w:val="000000"/>
              </w:rPr>
              <w:t>$</w:t>
            </w:r>
          </w:p>
        </w:tc>
        <w:tc>
          <w:tcPr>
            <w:tcW w:w="1389" w:type="dxa"/>
            <w:tcBorders/>
            <w:shd w:fill="CCEEFF" w:val="clear"/>
            <w:vAlign w:val="bottom"/>
          </w:tcPr>
          <w:p>
            <w:pPr>
              <w:pStyle w:val="TableContents"/>
              <w:bidi w:val="0"/>
              <w:spacing w:before="0" w:after="0"/>
              <w:jc w:val="right"/>
              <w:rPr>
                <w:color w:val="000000"/>
              </w:rPr>
            </w:pPr>
            <w:r>
              <w:rPr>
                <w:color w:val="000000"/>
              </w:rPr>
              <w:t>182,980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0"/>
              <w:jc w:val="left"/>
              <w:rPr>
                <w:color w:val="000000"/>
              </w:rPr>
            </w:pPr>
            <w:r>
              <w:rPr>
                <w:color w:val="000000"/>
              </w:rPr>
              <w:t>$</w:t>
            </w:r>
          </w:p>
        </w:tc>
        <w:tc>
          <w:tcPr>
            <w:tcW w:w="1264" w:type="dxa"/>
            <w:tcBorders/>
            <w:shd w:fill="CCEEFF" w:val="clear"/>
            <w:vAlign w:val="bottom"/>
          </w:tcPr>
          <w:p>
            <w:pPr>
              <w:pStyle w:val="TableContents"/>
              <w:bidi w:val="0"/>
              <w:spacing w:before="0" w:after="0"/>
              <w:jc w:val="right"/>
              <w:rPr>
                <w:color w:val="000000"/>
              </w:rPr>
            </w:pPr>
            <w:r>
              <w:rPr>
                <w:color w:val="000000"/>
              </w:rPr>
              <w:t>575,625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0"/>
              <w:jc w:val="left"/>
              <w:rPr>
                <w:color w:val="000000"/>
              </w:rPr>
            </w:pPr>
            <w:r>
              <w:rPr>
                <w:color w:val="000000"/>
              </w:rPr>
              <w:t>$</w:t>
            </w:r>
          </w:p>
        </w:tc>
        <w:tc>
          <w:tcPr>
            <w:tcW w:w="1168" w:type="dxa"/>
            <w:tcBorders/>
            <w:shd w:fill="CCEEFF" w:val="clear"/>
            <w:vAlign w:val="bottom"/>
          </w:tcPr>
          <w:p>
            <w:pPr>
              <w:pStyle w:val="TableContents"/>
              <w:bidi w:val="0"/>
              <w:spacing w:before="0" w:after="0"/>
              <w:jc w:val="right"/>
              <w:rPr>
                <w:color w:val="000000"/>
              </w:rPr>
            </w:pPr>
            <w:r>
              <w:rPr>
                <w:color w:val="000000"/>
              </w:rPr>
              <w:t>238,759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0"/>
              <w:jc w:val="left"/>
              <w:rPr>
                <w:color w:val="000000"/>
              </w:rPr>
            </w:pPr>
            <w:r>
              <w:rPr>
                <w:color w:val="000000"/>
              </w:rPr>
              <w:t>$</w:t>
            </w:r>
          </w:p>
        </w:tc>
        <w:tc>
          <w:tcPr>
            <w:tcW w:w="1107" w:type="dxa"/>
            <w:tcBorders/>
            <w:shd w:fill="CCEEFF" w:val="clear"/>
            <w:vAlign w:val="bottom"/>
          </w:tcPr>
          <w:p>
            <w:pPr>
              <w:pStyle w:val="TableContents"/>
              <w:bidi w:val="0"/>
              <w:spacing w:before="0" w:after="0"/>
              <w:jc w:val="right"/>
              <w:rPr>
                <w:color w:val="000000"/>
              </w:rPr>
            </w:pPr>
            <w:r>
              <w:rPr>
                <w:color w:val="000000"/>
              </w:rPr>
              <w:t>55,587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1,052,951</w:t>
            </w:r>
          </w:p>
        </w:tc>
        <w:tc>
          <w:tcPr>
            <w:tcW w:w="139" w:type="dxa"/>
            <w:tcBorders/>
            <w:shd w:fill="CCEEFF" w:val="clear"/>
            <w:vAlign w:val="bottom"/>
          </w:tcPr>
          <w:p>
            <w:pPr>
              <w:pStyle w:val="TableContents"/>
              <w:bidi w:val="0"/>
              <w:spacing w:before="0" w:after="283"/>
              <w:jc w:val="left"/>
              <w:rPr/>
            </w:pPr>
            <w:r>
              <w:rPr/>
              <w:t> </w:t>
            </w:r>
          </w:p>
        </w:tc>
      </w:tr>
      <w:tr>
        <w:trPr/>
        <w:tc>
          <w:tcPr>
            <w:tcW w:w="2189" w:type="dxa"/>
            <w:tcBorders/>
            <w:vAlign w:val="bottom"/>
          </w:tcPr>
          <w:p>
            <w:pPr>
              <w:pStyle w:val="TableContents"/>
              <w:bidi w:val="0"/>
              <w:spacing w:before="0" w:after="0"/>
              <w:ind w:left="180" w:right="0" w:hanging="180"/>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0"/>
              <w:jc w:val="right"/>
              <w:rPr>
                <w:color w:val="000000"/>
              </w:rPr>
            </w:pPr>
            <w:r>
              <w:rPr>
                <w:color w:val="000000"/>
              </w:rPr>
              <w:t>118,127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64" w:type="dxa"/>
            <w:tcBorders/>
            <w:vAlign w:val="bottom"/>
          </w:tcPr>
          <w:p>
            <w:pPr>
              <w:pStyle w:val="TableContents"/>
              <w:bidi w:val="0"/>
              <w:spacing w:before="0" w:after="0"/>
              <w:jc w:val="right"/>
              <w:rPr>
                <w:color w:val="000000"/>
              </w:rPr>
            </w:pPr>
            <w:r>
              <w:rPr>
                <w:color w:val="000000"/>
              </w:rPr>
              <w:t>162,677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0"/>
              <w:jc w:val="right"/>
              <w:rPr>
                <w:color w:val="000000"/>
              </w:rPr>
            </w:pPr>
            <w:r>
              <w:rPr>
                <w:color w:val="000000"/>
              </w:rPr>
              <w:t>63,938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0"/>
              <w:jc w:val="right"/>
              <w:rPr>
                <w:color w:val="000000"/>
              </w:rPr>
            </w:pPr>
            <w:r>
              <w:rPr>
                <w:color w:val="000000"/>
              </w:rPr>
              <w:t>40,119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384,861</w:t>
            </w:r>
          </w:p>
        </w:tc>
        <w:tc>
          <w:tcPr>
            <w:tcW w:w="139" w:type="dxa"/>
            <w:tcBorders/>
            <w:vAlign w:val="bottom"/>
          </w:tcPr>
          <w:p>
            <w:pPr>
              <w:pStyle w:val="TableContents"/>
              <w:bidi w:val="0"/>
              <w:spacing w:before="0" w:after="283"/>
              <w:jc w:val="left"/>
              <w:rPr/>
            </w:pPr>
            <w:r>
              <w:rPr/>
              <w:t> </w:t>
            </w:r>
          </w:p>
        </w:tc>
      </w:tr>
      <w:tr>
        <w:trPr/>
        <w:tc>
          <w:tcPr>
            <w:tcW w:w="2189" w:type="dxa"/>
            <w:tcBorders/>
            <w:shd w:fill="CCEEFF" w:val="clear"/>
            <w:vAlign w:val="bottom"/>
          </w:tcPr>
          <w:p>
            <w:pPr>
              <w:pStyle w:val="TableContents"/>
              <w:bidi w:val="0"/>
              <w:spacing w:before="0" w:after="0"/>
              <w:ind w:left="180" w:right="0" w:hanging="180"/>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0"/>
              <w:jc w:val="right"/>
              <w:rPr>
                <w:color w:val="000000"/>
              </w:rPr>
            </w:pPr>
            <w:r>
              <w:rPr>
                <w:color w:val="000000"/>
              </w:rPr>
              <w:t>142,606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64" w:type="dxa"/>
            <w:tcBorders/>
            <w:shd w:fill="CCEEFF" w:val="clear"/>
            <w:vAlign w:val="bottom"/>
          </w:tcPr>
          <w:p>
            <w:pPr>
              <w:pStyle w:val="TableContents"/>
              <w:bidi w:val="0"/>
              <w:spacing w:before="0" w:after="0"/>
              <w:jc w:val="right"/>
              <w:rPr>
                <w:color w:val="000000"/>
              </w:rPr>
            </w:pPr>
            <w:r>
              <w:rPr>
                <w:color w:val="000000"/>
              </w:rPr>
              <w:t>260,722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0"/>
              <w:jc w:val="right"/>
              <w:rPr>
                <w:color w:val="000000"/>
              </w:rPr>
            </w:pPr>
            <w:r>
              <w:rPr>
                <w:color w:val="000000"/>
              </w:rPr>
              <w:t>171,872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0"/>
              <w:jc w:val="right"/>
              <w:rPr>
                <w:color w:val="000000"/>
              </w:rPr>
            </w:pPr>
            <w:r>
              <w:rPr>
                <w:color w:val="000000"/>
              </w:rPr>
              <w:t>79,434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654,634</w:t>
            </w:r>
          </w:p>
        </w:tc>
        <w:tc>
          <w:tcPr>
            <w:tcW w:w="139" w:type="dxa"/>
            <w:tcBorders/>
            <w:shd w:fill="CCEEFF" w:val="clear"/>
            <w:vAlign w:val="bottom"/>
          </w:tcPr>
          <w:p>
            <w:pPr>
              <w:pStyle w:val="TableContents"/>
              <w:bidi w:val="0"/>
              <w:spacing w:before="0" w:after="283"/>
              <w:jc w:val="left"/>
              <w:rPr/>
            </w:pPr>
            <w:r>
              <w:rPr/>
              <w:t> </w:t>
            </w:r>
          </w:p>
        </w:tc>
      </w:tr>
      <w:tr>
        <w:trPr/>
        <w:tc>
          <w:tcPr>
            <w:tcW w:w="2189" w:type="dxa"/>
            <w:tcBorders/>
            <w:vAlign w:val="bottom"/>
          </w:tcPr>
          <w:p>
            <w:pPr>
              <w:pStyle w:val="TableContents"/>
              <w:bidi w:val="0"/>
              <w:spacing w:before="0" w:after="0"/>
              <w:ind w:left="180" w:right="0" w:hanging="180"/>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64"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r>
      <w:tr>
        <w:trPr/>
        <w:tc>
          <w:tcPr>
            <w:tcW w:w="2189" w:type="dxa"/>
            <w:tcBorders/>
            <w:shd w:fill="CCEEFF" w:val="clear"/>
            <w:vAlign w:val="bottom"/>
          </w:tcPr>
          <w:p>
            <w:pPr>
              <w:pStyle w:val="TableContents"/>
              <w:bidi w:val="0"/>
              <w:spacing w:before="0" w:after="0"/>
              <w:ind w:left="360" w:right="0" w:hanging="180"/>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0"/>
              <w:jc w:val="right"/>
              <w:rPr>
                <w:color w:val="000000"/>
              </w:rPr>
            </w:pPr>
            <w:r>
              <w:rPr>
                <w:color w:val="000000"/>
              </w:rPr>
              <w:t>43,206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64" w:type="dxa"/>
            <w:tcBorders/>
            <w:shd w:fill="CCEEFF" w:val="clear"/>
            <w:vAlign w:val="bottom"/>
          </w:tcPr>
          <w:p>
            <w:pPr>
              <w:pStyle w:val="TableContents"/>
              <w:bidi w:val="0"/>
              <w:spacing w:before="0" w:after="0"/>
              <w:jc w:val="right"/>
              <w:rPr>
                <w:color w:val="000000"/>
              </w:rPr>
            </w:pPr>
            <w:r>
              <w:rPr>
                <w:color w:val="000000"/>
              </w:rPr>
              <w:t>118,349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0"/>
              <w:jc w:val="right"/>
              <w:rPr>
                <w:color w:val="000000"/>
              </w:rPr>
            </w:pPr>
            <w:r>
              <w:rPr>
                <w:color w:val="000000"/>
              </w:rPr>
              <w:t>108,887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0"/>
              <w:jc w:val="right"/>
              <w:rPr>
                <w:color w:val="000000"/>
              </w:rPr>
            </w:pPr>
            <w:r>
              <w:rPr>
                <w:color w:val="000000"/>
              </w:rPr>
              <w:t>318,584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589,026</w:t>
            </w:r>
          </w:p>
        </w:tc>
        <w:tc>
          <w:tcPr>
            <w:tcW w:w="139" w:type="dxa"/>
            <w:tcBorders/>
            <w:shd w:fill="CCEEFF" w:val="clear"/>
            <w:vAlign w:val="bottom"/>
          </w:tcPr>
          <w:p>
            <w:pPr>
              <w:pStyle w:val="TableContents"/>
              <w:bidi w:val="0"/>
              <w:spacing w:before="0" w:after="283"/>
              <w:jc w:val="left"/>
              <w:rPr/>
            </w:pPr>
            <w:r>
              <w:rPr/>
              <w:t> </w:t>
            </w:r>
          </w:p>
        </w:tc>
      </w:tr>
      <w:tr>
        <w:trPr/>
        <w:tc>
          <w:tcPr>
            <w:tcW w:w="2189" w:type="dxa"/>
            <w:tcBorders/>
            <w:vAlign w:val="bottom"/>
          </w:tcPr>
          <w:p>
            <w:pPr>
              <w:pStyle w:val="TableContents"/>
              <w:bidi w:val="0"/>
              <w:spacing w:before="0" w:after="0"/>
              <w:ind w:left="360" w:right="0" w:hanging="180"/>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0"/>
              <w:jc w:val="right"/>
              <w:rPr>
                <w:color w:val="000000"/>
              </w:rPr>
            </w:pPr>
            <w:r>
              <w:rPr>
                <w:color w:val="000000"/>
              </w:rPr>
              <w:t>3,401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64" w:type="dxa"/>
            <w:tcBorders/>
            <w:vAlign w:val="bottom"/>
          </w:tcPr>
          <w:p>
            <w:pPr>
              <w:pStyle w:val="TableContents"/>
              <w:bidi w:val="0"/>
              <w:spacing w:before="0" w:after="0"/>
              <w:jc w:val="right"/>
              <w:rPr>
                <w:color w:val="000000"/>
              </w:rPr>
            </w:pPr>
            <w:r>
              <w:rPr>
                <w:color w:val="000000"/>
              </w:rPr>
              <w:t>158,963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0"/>
              <w:jc w:val="right"/>
              <w:rPr>
                <w:color w:val="000000"/>
              </w:rPr>
            </w:pPr>
            <w:r>
              <w:rPr>
                <w:color w:val="000000"/>
              </w:rPr>
              <w:t>93,692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256,056</w:t>
            </w:r>
          </w:p>
        </w:tc>
        <w:tc>
          <w:tcPr>
            <w:tcW w:w="139" w:type="dxa"/>
            <w:tcBorders/>
            <w:vAlign w:val="bottom"/>
          </w:tcPr>
          <w:p>
            <w:pPr>
              <w:pStyle w:val="TableContents"/>
              <w:bidi w:val="0"/>
              <w:spacing w:before="0" w:after="283"/>
              <w:jc w:val="left"/>
              <w:rPr/>
            </w:pPr>
            <w:r>
              <w:rPr/>
              <w:t> </w:t>
            </w:r>
          </w:p>
        </w:tc>
      </w:tr>
      <w:tr>
        <w:trPr/>
        <w:tc>
          <w:tcPr>
            <w:tcW w:w="2189" w:type="dxa"/>
            <w:tcBorders/>
            <w:shd w:fill="CCEEFF" w:val="clear"/>
            <w:vAlign w:val="bottom"/>
          </w:tcPr>
          <w:p>
            <w:pPr>
              <w:pStyle w:val="TableContents"/>
              <w:bidi w:val="0"/>
              <w:spacing w:before="0" w:after="0"/>
              <w:ind w:left="360" w:right="0" w:hanging="180"/>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0"/>
              <w:jc w:val="right"/>
              <w:rPr>
                <w:color w:val="000000"/>
              </w:rPr>
            </w:pPr>
            <w:r>
              <w:rPr>
                <w:color w:val="000000"/>
              </w:rPr>
              <w:t>8,573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64" w:type="dxa"/>
            <w:tcBorders/>
            <w:shd w:fill="CCEEFF" w:val="clear"/>
            <w:vAlign w:val="bottom"/>
          </w:tcPr>
          <w:p>
            <w:pPr>
              <w:pStyle w:val="TableContents"/>
              <w:bidi w:val="0"/>
              <w:spacing w:before="0" w:after="0"/>
              <w:jc w:val="right"/>
              <w:rPr>
                <w:color w:val="000000"/>
              </w:rPr>
            </w:pPr>
            <w:r>
              <w:rPr>
                <w:color w:val="000000"/>
              </w:rPr>
              <w:t>39,984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0"/>
              <w:jc w:val="right"/>
              <w:rPr>
                <w:color w:val="000000"/>
              </w:rPr>
            </w:pPr>
            <w:r>
              <w:rPr>
                <w:color w:val="000000"/>
              </w:rPr>
              <w:t>14,000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62,557</w:t>
            </w:r>
          </w:p>
        </w:tc>
        <w:tc>
          <w:tcPr>
            <w:tcW w:w="139" w:type="dxa"/>
            <w:tcBorders/>
            <w:shd w:fill="CCEEFF" w:val="clear"/>
            <w:vAlign w:val="bottom"/>
          </w:tcPr>
          <w:p>
            <w:pPr>
              <w:pStyle w:val="TableContents"/>
              <w:bidi w:val="0"/>
              <w:spacing w:before="0" w:after="283"/>
              <w:jc w:val="left"/>
              <w:rPr/>
            </w:pPr>
            <w:r>
              <w:rPr/>
              <w:t> </w:t>
            </w:r>
          </w:p>
        </w:tc>
      </w:tr>
      <w:tr>
        <w:trPr/>
        <w:tc>
          <w:tcPr>
            <w:tcW w:w="2189" w:type="dxa"/>
            <w:tcBorders/>
            <w:vAlign w:val="bottom"/>
          </w:tcPr>
          <w:p>
            <w:pPr>
              <w:pStyle w:val="TableContents"/>
              <w:bidi w:val="0"/>
              <w:spacing w:before="0" w:after="0"/>
              <w:ind w:left="180" w:right="0" w:hanging="180"/>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283" w:type="dxa"/>
            <w:tcBorders>
              <w:bottom w:val="single" w:sz="12" w:space="0" w:color="000000"/>
            </w:tcBorders>
            <w:tcMar>
              <w:bottom w:w="28" w:type="dxa"/>
            </w:tcMar>
            <w:vAlign w:val="bottom"/>
          </w:tcPr>
          <w:p>
            <w:pPr>
              <w:pStyle w:val="TableContents"/>
              <w:bidi w:val="0"/>
              <w:spacing w:before="0" w:after="283"/>
              <w:jc w:val="left"/>
              <w:rPr/>
            </w:pPr>
            <w:r>
              <w:rPr/>
              <w:t> </w:t>
            </w:r>
          </w:p>
        </w:tc>
        <w:tc>
          <w:tcPr>
            <w:tcW w:w="138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82,340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126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17,360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8"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681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3,063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103,444</w:t>
            </w:r>
          </w:p>
        </w:tc>
        <w:tc>
          <w:tcPr>
            <w:tcW w:w="139" w:type="dxa"/>
            <w:tcBorders/>
            <w:vAlign w:val="bottom"/>
          </w:tcPr>
          <w:p>
            <w:pPr>
              <w:pStyle w:val="TableContents"/>
              <w:bidi w:val="0"/>
              <w:spacing w:before="0" w:after="283"/>
              <w:jc w:val="left"/>
              <w:rPr/>
            </w:pPr>
            <w:r>
              <w:rPr/>
              <w:t> </w:t>
            </w:r>
          </w:p>
        </w:tc>
      </w:tr>
      <w:tr>
        <w:trPr/>
        <w:tc>
          <w:tcPr>
            <w:tcW w:w="2189" w:type="dxa"/>
            <w:tcBorders/>
            <w:shd w:fill="CCEEFF" w:val="clear"/>
            <w:vAlign w:val="bottom"/>
          </w:tcPr>
          <w:p>
            <w:pPr>
              <w:pStyle w:val="TableContents"/>
              <w:bidi w:val="0"/>
              <w:spacing w:before="0" w:after="0"/>
              <w:ind w:left="360" w:right="0" w:hanging="180"/>
              <w:jc w:val="left"/>
              <w:rPr>
                <w:color w:val="000000"/>
              </w:rPr>
            </w:pPr>
            <w:r>
              <w:rPr>
                <w:color w:val="000000"/>
              </w:rPr>
              <w:t>Total loans</w:t>
            </w:r>
          </w:p>
        </w:tc>
        <w:tc>
          <w:tcPr>
            <w:tcW w:w="90" w:type="dxa"/>
            <w:tcBorders/>
            <w:shd w:fill="CCEEFF" w:val="clear"/>
            <w:vAlign w:val="bottom"/>
          </w:tcPr>
          <w:p>
            <w:pPr>
              <w:pStyle w:val="TableContents"/>
              <w:bidi w:val="0"/>
              <w:spacing w:before="0" w:after="283"/>
              <w:jc w:val="left"/>
              <w:rPr/>
            </w:pPr>
            <w:r>
              <w:rPr/>
              <w:t> </w:t>
            </w:r>
          </w:p>
        </w:tc>
        <w:tc>
          <w:tcPr>
            <w:tcW w:w="28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8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581,233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6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1,333,680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6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691,829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0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496,787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3,103,529</w:t>
            </w:r>
          </w:p>
        </w:tc>
        <w:tc>
          <w:tcPr>
            <w:tcW w:w="139"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32</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shows the distribution between fixed and adjustable interest rate loans for maturities greater than one year as of March 31, 2026:</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213" w:name="zdb1fdb293fb447e2b14fe9e876454dbb"/>
      <w:bookmarkStart w:id="214" w:name="zdb1fdb293fb447e2b14fe9e876454dbb"/>
      <w:bookmarkEnd w:id="214"/>
    </w:p>
    <w:tbl>
      <w:tblPr>
        <w:tblW w:w="5215" w:type="dxa"/>
        <w:jc w:val="center"/>
        <w:tblInd w:w="0" w:type="dxa"/>
        <w:tblLayout w:type="fixed"/>
        <w:tblCellMar>
          <w:top w:w="0" w:type="dxa"/>
          <w:left w:w="0" w:type="dxa"/>
          <w:bottom w:w="0" w:type="dxa"/>
          <w:right w:w="0" w:type="dxa"/>
        </w:tblCellMar>
      </w:tblPr>
      <w:tblGrid>
        <w:gridCol w:w="2450"/>
        <w:gridCol w:w="90"/>
        <w:gridCol w:w="170"/>
        <w:gridCol w:w="1010"/>
        <w:gridCol w:w="90"/>
        <w:gridCol w:w="90"/>
        <w:gridCol w:w="170"/>
        <w:gridCol w:w="1010"/>
        <w:gridCol w:w="135"/>
      </w:tblGrid>
      <w:tr>
        <w:trPr/>
        <w:tc>
          <w:tcPr>
            <w:tcW w:w="24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Fixed</w:t>
            </w:r>
          </w:p>
          <w:p>
            <w:pPr>
              <w:pStyle w:val="TableContents"/>
              <w:bidi w:val="0"/>
              <w:spacing w:before="0" w:after="0"/>
              <w:jc w:val="center"/>
              <w:rPr>
                <w:b/>
                <w:color w:val="000000"/>
              </w:rPr>
            </w:pPr>
            <w:r>
              <w:rPr>
                <w:b/>
                <w:color w:val="000000"/>
              </w:rPr>
              <w:t>Rate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Adjustable</w:t>
            </w:r>
          </w:p>
          <w:p>
            <w:pPr>
              <w:pStyle w:val="TableContents"/>
              <w:bidi w:val="0"/>
              <w:spacing w:before="0" w:after="0"/>
              <w:jc w:val="center"/>
              <w:rPr>
                <w:b/>
                <w:color w:val="000000"/>
              </w:rPr>
            </w:pPr>
            <w:r>
              <w:rPr>
                <w:b/>
                <w:color w:val="000000"/>
              </w:rPr>
              <w:t>Rate</w:t>
            </w:r>
          </w:p>
        </w:tc>
        <w:tc>
          <w:tcPr>
            <w:tcW w:w="135" w:type="dxa"/>
            <w:tcBorders/>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40" w:type="dxa"/>
            <w:gridSpan w:val="6"/>
            <w:tcBorders/>
            <w:vAlign w:val="bottom"/>
          </w:tcPr>
          <w:p>
            <w:pPr>
              <w:pStyle w:val="TableContents"/>
              <w:bidi w:val="0"/>
              <w:spacing w:before="0" w:after="0"/>
              <w:jc w:val="center"/>
              <w:rPr>
                <w:b/>
                <w:color w:val="000000"/>
              </w:rPr>
            </w:pPr>
            <w:r>
              <w:rPr>
                <w:b/>
                <w:color w:val="000000"/>
              </w:rPr>
              <w:t>(Dollars in thousands)</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180" w:right="0" w:hanging="180"/>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331,974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537,997</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80" w:right="0" w:hanging="180"/>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107,204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159,530</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180" w:right="0" w:hanging="180"/>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209,996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302,032</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80" w:right="0" w:hanging="180"/>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360" w:right="0" w:hanging="180"/>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340,572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205,248</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360" w:right="0" w:hanging="180"/>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252,655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360" w:right="0" w:hanging="180"/>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53,984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80" w:right="0" w:hanging="180"/>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563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20,541</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360" w:right="0" w:hanging="180"/>
              <w:jc w:val="left"/>
              <w:rPr>
                <w:color w:val="000000"/>
              </w:rPr>
            </w:pPr>
            <w:r>
              <w:rPr>
                <w:color w:val="000000"/>
              </w:rPr>
              <w:t>Total loans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1,296,948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1,225,348</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At March 31, 2026, there was $1.6 billion in adjustable rate loans, with $904.0 million of these loans that mature or reprice in the next twelve months. Of these loans that mature or reprice in the next twelve months, $632.2 million will reprice immediately upon changes in the underlying index rate, with the remaining $271.8 million being subject to rate ceilings, floors above the current index, or a future repricing date. </w:t>
      </w:r>
      <w:r>
        <w:rPr>
          <w:rFonts w:ascii="Times New Roman" w:hAnsi="Times New Roman"/>
          <w:i/>
          <w:color w:val="000000"/>
          <w:sz w:val="20"/>
          <w:shd w:fill="FFFFFF" w:val="clear"/>
        </w:rPr>
        <w:t>The Wall Street Journal</w:t>
      </w:r>
      <w:r>
        <w:rPr>
          <w:rFonts w:ascii="Times New Roman" w:hAnsi="Times New Roman"/>
          <w:color w:val="000000"/>
          <w:sz w:val="20"/>
          <w:shd w:fill="FFFFFF" w:val="clear"/>
        </w:rPr>
        <w:t xml:space="preserve"> prime rate is the predominate index used by the Bank.</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Bank is primarily involved in real estate, commercial, agricultural and consumer lending activities with customers throughout Texas and Eastern New Mexico. We have a collateral concentration, as 72.4% of our loans were secured by real property as of March 31, 2026, compared to 71.6% as of December 31, 2025. We believe that these loans are not concentrated in any one single property type and that they are geographically dispersed throughout the areas we serve. Although the Bank has diversified portfolios, its debtors’ ability to honor their contracts is substantially dependent upon the general economic conditions of the markets in which it operates, which consist primarily of agribusiness, wholesale/retail, oil and gas and related businesses, healthcare industries and institutions of higher education. Commercial real estate loans and residential construction loans represent 37.3% of loans held for investment as of March 31, 2026 and represented 37.0% as of December 31, 2025. Further, 96% of the total dollar amount of these loans are secured by collateral located in the state of Texas.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established concentration limits in the loan portfolio for commercial real estate loans and unsecured lending, among other loan types. All loan types are within established limits. We use underwriting guidelines to assess the borrowers’ historical cash flow to determine debt service, and we further stress test the debt service under higher interest rate scenarios. Financial and performance covenants are used in commercial lending to allow us to react to a borrower’s deteriorating financial condition, should that occur.</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Commercial Real Estate</w:t>
      </w:r>
      <w:r>
        <w:rPr>
          <w:rFonts w:ascii="Times New Roman" w:hAnsi="Times New Roman"/>
          <w:color w:val="000000"/>
          <w:sz w:val="20"/>
          <w:shd w:fill="FFFFFF" w:val="clear"/>
        </w:rPr>
        <w:t>. Our commercial real estate portfolio includes loans for commercial property that is owned by real estate investors, construction loans to build owner-occupied properties, and loans to developers of commercial real estate investment properties and residential developments. Residential construction loans are broken out separately below. Commercial real estate loans are subject to underwriting standards and processes similar to our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our real estate portfolio are diversified by type and geographic location. This diversity helps reduce the exposure to adverse economic events that affect any single market or industry.</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Commercial real estate loans decreased $11.7 million, or 1.1%, to $1.05 billion as of March 31, 2026 from $1.06 billion as of December 31, 2025. The decrease was primarily driven by a decrease of $31.0 million in multi-family loans, partially offset by an increase of $22.2 million in commercial land development loans.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Commercial – General and Specialized</w:t>
      </w:r>
      <w:r>
        <w:rPr>
          <w:rFonts w:ascii="Times New Roman" w:hAnsi="Times New Roman"/>
          <w:color w:val="000000"/>
          <w:sz w:val="20"/>
          <w:shd w:fill="FFFFFF" w:val="clear"/>
        </w:rPr>
        <w:t>. Commercial loans are underwritten after evaluating and understanding the borrower’s ability to operate profitably. Underwriting standards have been designed to determine whether the borrower possesses sound business ethics and practices, to evaluate current and projected cash flows to determine the ability of the borrower to repay their obligations as agreed, and to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loans that are considered “specialized” include agricultural production and real estate loans, energy loans, and finance, investment, and insurance loans. Commercial related loans that contain a broader diversity of borrowers, sub-industries, or serviced industries are grouped into the “general category.” These include goods, services, restaurant &amp; retail, construction, and other industries. Performance of these loans is subject to operating and cash flow results of the borrower, with risk in the volatility of operating results for particular industries.</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33</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Commercial general loans decreased $4.7 million, or 0.7%, to $654.6 million as of March 31, 2026 from $659.3 million as of December 31, 2025. The decrease was primarily due to a decrease of $14.3 million in restaurant/retail loans, partially offset by an increase of $9.7 million in loans for goods and services.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Commercial specialized loans decreased $24.5 million, or 6.0%, to $384.9 million as of March 31, 2026 from $409.4 million as of December 31, 2025. This decrease was primarily due to net repayments of $24.4 million in seasonal agricultural-related loans.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Consumer</w:t>
      </w:r>
      <w:r>
        <w:rPr>
          <w:rFonts w:ascii="Times New Roman" w:hAnsi="Times New Roman"/>
          <w:color w:val="000000"/>
          <w:sz w:val="20"/>
          <w:shd w:fill="FFFFFF" w:val="clear"/>
        </w:rPr>
        <w:t>. We utilize a computer-based credit scoring analysis to supplement our policies and procedures in underwriting consumer loans. Our loan policy addresses types of consumer loans that may be originated and the collateral, if secured, which must be perfected. The relatively smaller individual dollar amounts of consumer loans that are spread over numerous individual borrowers also minimize our risk. Residential real estate loans are included in consumer loans. We generally require mortgage title insurance and hazard insurance on these residential real estate loans. All consumer loans are generally dependent on the risk characteristics of the borrower’s ability to repay the loan, a consideration of the debt to income ratio, employment and income stability, the loan-to-value ratio, and the age, condition and marketability of the collateral.</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Consumer and other loans decreased $3.5 million, or 0.4%, to $907.6 million as of March 31, 2026 from $911.1 million as of December 31, 2025. As of March 31, 2026, our consumer loan portfolio was comprised of $589.0 million in 1-4 family residential loans, $256.1 million in auto loans, and $62.6 million in other consumer loans.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Construction</w:t>
      </w:r>
      <w:r>
        <w:rPr>
          <w:rFonts w:ascii="Times New Roman" w:hAnsi="Times New Roman"/>
          <w:color w:val="000000"/>
          <w:sz w:val="20"/>
          <w:shd w:fill="FFFFFF" w:val="clear"/>
        </w:rPr>
        <w:t>. Loans for residential construction are for single-family properties to developers, builders, or end-users. These loans 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Construction loans increased $3.3 million, or 3.3%, to $103.4 million as of March 31, 2026 from $100.1 million as of December 31, 2025.</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commercial real estate and construction categories comprise the Company’s nonowner-occupied real estate loans. Total nonowner-occupied real estate loans were $1.16 billion at March 31, 2026 and $1.16 billion at December 31, 2025. Nonowner-occupied commercial real estate loans are made up of income-producing commercial real estate property loans and construction, acquisition, and development property loans. As of March 31, 2026, total income-producing commercial real estate property loans totaled $769.1 million and was comprised of $198.6 million of multi-family property loans, $181.8 million of retail property loans, $140.9 million of office property loans, $149.7 million in industrial and warehouse loans, $41.8 million in hospitality loans, and $56.3 million in other property loans. Other property loans include types such as mini-storage and convenience stores. As of March 31, 2026, total construction, acquisition, and development property loans totaled $387.3 million and was comprised of $103.4 million in residential construction property loans and $283.9 million of commercial construction and other land development loans. The weighted average loan-to-value of income-producing nonowner-occupied commercial real estate loans was approximately 58% at March 31, 2026. The weighted average loan-to-value of nonowner-occupied office commercial real estate loans was approximately 57% at March 31, 2026.</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Owner occupied commercial real estate loans totaled $416.7 million at March 31, 2026 and $419.0 million at December 31, 2025.</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a party to financial instruments with off-balance sheet risk in the normal course of business to meet the financing needs of our customers. These financial instruments include commitments to extend credit and standby letters of credit. Those instruments involve, to varying degrees, elements of credit and interest rate risk in excess of the amount recognized in the consolidated balance sheets. The Company’s exposure to credit loss in the event of nonperformance by the other party to the financial instrument for commitments to extend credit and standby letters of credit to our customers is represented by the contractual or notional amount of those instruments. Commitments to extend credit and standby letters of credit are not recorded as an asset or liability by the Company until the instrument is exercised. The contractual or notional amounts of those instruments reflect the extent of involvement we have in particular classes of financial instruments.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uses the same credit policies in making commitments and conditional obligations as they do for on-balance sheet instruments. The amount and nature of collateral obtained, if deemed necessary by the Company upon extension of credit, is based on management’s credit evaluation of the potential borrower.</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Standby letters of credit are conditional commitments issued by the Company to guarantee the performance of a customer to a third party. Those guarantees are primarily issued to support public and private short-term borrowing arrangements. The credit risk involved in issuing letters of credit is essentially the same as that involved in extending loan facilities to customers. The Company holds collateral supporting those commitments for which collateral is deemed necessary.</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34</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summarizes commitments we have made as of the dates presented.</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215" w:name="z6819d93ee16b4251b2df9c15a1755b0e"/>
      <w:bookmarkStart w:id="216" w:name="z6819d93ee16b4251b2df9c15a1755b0e"/>
      <w:bookmarkEnd w:id="216"/>
    </w:p>
    <w:tbl>
      <w:tblPr>
        <w:tblW w:w="10205" w:type="dxa"/>
        <w:jc w:val="center"/>
        <w:tblInd w:w="0" w:type="dxa"/>
        <w:tblLayout w:type="fixed"/>
        <w:tblCellMar>
          <w:top w:w="0" w:type="dxa"/>
          <w:left w:w="0" w:type="dxa"/>
          <w:bottom w:w="0" w:type="dxa"/>
          <w:right w:w="0" w:type="dxa"/>
        </w:tblCellMar>
      </w:tblPr>
      <w:tblGrid>
        <w:gridCol w:w="7261"/>
        <w:gridCol w:w="90"/>
        <w:gridCol w:w="186"/>
        <w:gridCol w:w="911"/>
        <w:gridCol w:w="90"/>
        <w:gridCol w:w="90"/>
        <w:gridCol w:w="244"/>
        <w:gridCol w:w="1195"/>
        <w:gridCol w:w="138"/>
      </w:tblGrid>
      <w:tr>
        <w:trPr/>
        <w:tc>
          <w:tcPr>
            <w:tcW w:w="726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9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March 31,</w:t>
            </w:r>
          </w:p>
          <w:p>
            <w:pPr>
              <w:pStyle w:val="TableContents"/>
              <w:bidi w:val="0"/>
              <w:spacing w:before="0" w:after="0"/>
              <w:jc w:val="center"/>
              <w:rPr>
                <w:b/>
              </w:rPr>
            </w:pPr>
            <w:r>
              <w:rPr>
                <w:b/>
              </w:rPr>
              <w:t>2026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39" w:type="dxa"/>
            <w:gridSpan w:val="2"/>
            <w:tcBorders>
              <w:bottom w:val="single" w:sz="12" w:space="0" w:color="000000"/>
            </w:tcBorders>
            <w:tcMar>
              <w:bottom w:w="28" w:type="dxa"/>
            </w:tcMar>
            <w:vAlign w:val="bottom"/>
          </w:tcPr>
          <w:p>
            <w:pPr>
              <w:pStyle w:val="TableContents"/>
              <w:bidi w:val="0"/>
              <w:spacing w:before="0" w:after="0"/>
              <w:jc w:val="center"/>
              <w:rPr>
                <w:b/>
              </w:rPr>
            </w:pPr>
            <w:r>
              <w:rPr>
                <w:b/>
              </w:rPr>
              <w:t>December 31,</w:t>
            </w:r>
          </w:p>
          <w:p>
            <w:pPr>
              <w:pStyle w:val="TableContents"/>
              <w:bidi w:val="0"/>
              <w:spacing w:before="0" w:after="0"/>
              <w:jc w:val="center"/>
              <w:rPr>
                <w:b/>
              </w:rPr>
            </w:pPr>
            <w:r>
              <w:rPr>
                <w:b/>
              </w:rPr>
              <w:t>2025</w:t>
            </w:r>
          </w:p>
        </w:tc>
        <w:tc>
          <w:tcPr>
            <w:tcW w:w="138" w:type="dxa"/>
            <w:tcBorders/>
            <w:vAlign w:val="bottom"/>
          </w:tcPr>
          <w:p>
            <w:pPr>
              <w:pStyle w:val="TableContents"/>
              <w:bidi w:val="0"/>
              <w:spacing w:before="0" w:after="283"/>
              <w:jc w:val="left"/>
              <w:rPr/>
            </w:pPr>
            <w:r>
              <w:rPr/>
              <w:t> </w:t>
            </w:r>
          </w:p>
        </w:tc>
      </w:tr>
      <w:tr>
        <w:trPr/>
        <w:tc>
          <w:tcPr>
            <w:tcW w:w="726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16" w:type="dxa"/>
            <w:gridSpan w:val="6"/>
            <w:tcBorders/>
            <w:vAlign w:val="bottom"/>
          </w:tcPr>
          <w:p>
            <w:pPr>
              <w:pStyle w:val="TableContents"/>
              <w:bidi w:val="0"/>
              <w:spacing w:before="0" w:after="0"/>
              <w:jc w:val="center"/>
              <w:rPr>
                <w:b/>
                <w:color w:val="000000"/>
              </w:rPr>
            </w:pPr>
            <w:r>
              <w:rPr>
                <w:b/>
                <w:color w:val="000000"/>
              </w:rPr>
              <w:t>(Dollars in thousands)</w:t>
            </w:r>
          </w:p>
        </w:tc>
        <w:tc>
          <w:tcPr>
            <w:tcW w:w="138" w:type="dxa"/>
            <w:tcBorders/>
            <w:vAlign w:val="bottom"/>
          </w:tcPr>
          <w:p>
            <w:pPr>
              <w:pStyle w:val="TableContents"/>
              <w:bidi w:val="0"/>
              <w:spacing w:before="0" w:after="283"/>
              <w:jc w:val="left"/>
              <w:rPr/>
            </w:pPr>
            <w:r>
              <w:rPr/>
              <w:t> </w:t>
            </w:r>
          </w:p>
        </w:tc>
      </w:tr>
      <w:tr>
        <w:trPr/>
        <w:tc>
          <w:tcPr>
            <w:tcW w:w="7261" w:type="dxa"/>
            <w:tcBorders/>
            <w:shd w:fill="CCEEFF" w:val="clear"/>
            <w:vAlign w:val="bottom"/>
          </w:tcPr>
          <w:p>
            <w:pPr>
              <w:pStyle w:val="TableContents"/>
              <w:bidi w:val="0"/>
              <w:spacing w:before="0" w:after="0"/>
              <w:ind w:left="144" w:right="0" w:hanging="144"/>
              <w:jc w:val="left"/>
              <w:rPr>
                <w:color w:val="000000"/>
              </w:rPr>
            </w:pPr>
            <w:r>
              <w:rPr>
                <w:color w:val="000000"/>
              </w:rPr>
              <w:t>Commitments to grant loans and unfunded commitments under lines of credit</w:t>
            </w:r>
          </w:p>
        </w:tc>
        <w:tc>
          <w:tcPr>
            <w:tcW w:w="9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0"/>
              <w:jc w:val="left"/>
              <w:rPr/>
            </w:pPr>
            <w:r>
              <w:rPr/>
              <w:t>$</w:t>
            </w:r>
          </w:p>
        </w:tc>
        <w:tc>
          <w:tcPr>
            <w:tcW w:w="911" w:type="dxa"/>
            <w:tcBorders/>
            <w:shd w:fill="CCEEFF" w:val="clear"/>
            <w:vAlign w:val="bottom"/>
          </w:tcPr>
          <w:p>
            <w:pPr>
              <w:pStyle w:val="TableContents"/>
              <w:bidi w:val="0"/>
              <w:spacing w:before="0" w:after="0"/>
              <w:jc w:val="right"/>
              <w:rPr/>
            </w:pPr>
            <w:r>
              <w:rPr/>
              <w:t>627,886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0"/>
              <w:jc w:val="left"/>
              <w:rPr/>
            </w:pPr>
            <w:r>
              <w:rPr/>
              <w:t>$</w:t>
            </w:r>
          </w:p>
        </w:tc>
        <w:tc>
          <w:tcPr>
            <w:tcW w:w="1195" w:type="dxa"/>
            <w:tcBorders/>
            <w:shd w:fill="CCEEFF" w:val="clear"/>
            <w:vAlign w:val="bottom"/>
          </w:tcPr>
          <w:p>
            <w:pPr>
              <w:pStyle w:val="TableContents"/>
              <w:bidi w:val="0"/>
              <w:spacing w:before="0" w:after="0"/>
              <w:jc w:val="right"/>
              <w:rPr/>
            </w:pPr>
            <w:r>
              <w:rPr/>
              <w:t>554,286</w:t>
            </w:r>
          </w:p>
        </w:tc>
        <w:tc>
          <w:tcPr>
            <w:tcW w:w="138" w:type="dxa"/>
            <w:tcBorders/>
            <w:shd w:fill="CCEEFF" w:val="clear"/>
            <w:vAlign w:val="bottom"/>
          </w:tcPr>
          <w:p>
            <w:pPr>
              <w:pStyle w:val="TableContents"/>
              <w:bidi w:val="0"/>
              <w:spacing w:before="0" w:after="283"/>
              <w:jc w:val="left"/>
              <w:rPr/>
            </w:pPr>
            <w:r>
              <w:rPr/>
              <w:t> </w:t>
            </w:r>
          </w:p>
        </w:tc>
      </w:tr>
      <w:tr>
        <w:trPr/>
        <w:tc>
          <w:tcPr>
            <w:tcW w:w="7261" w:type="dxa"/>
            <w:tcBorders/>
            <w:vAlign w:val="bottom"/>
          </w:tcPr>
          <w:p>
            <w:pPr>
              <w:pStyle w:val="TableContents"/>
              <w:bidi w:val="0"/>
              <w:spacing w:before="0" w:after="0"/>
              <w:ind w:left="144" w:right="0" w:hanging="144"/>
              <w:jc w:val="left"/>
              <w:rPr>
                <w:color w:val="000000"/>
              </w:rPr>
            </w:pPr>
            <w:r>
              <w:rPr>
                <w:color w:val="000000"/>
              </w:rPr>
              <w:t>Standby letters of credit</w:t>
            </w:r>
          </w:p>
        </w:tc>
        <w:tc>
          <w:tcPr>
            <w:tcW w:w="90" w:type="dxa"/>
            <w:tcBorders/>
            <w:vAlign w:val="bottom"/>
          </w:tcPr>
          <w:p>
            <w:pPr>
              <w:pStyle w:val="TableContents"/>
              <w:bidi w:val="0"/>
              <w:spacing w:before="0" w:after="283"/>
              <w:jc w:val="left"/>
              <w:rPr/>
            </w:pPr>
            <w:r>
              <w:rPr/>
              <w:t> </w:t>
            </w:r>
          </w:p>
        </w:tc>
        <w:tc>
          <w:tcPr>
            <w:tcW w:w="186" w:type="dxa"/>
            <w:tcBorders>
              <w:bottom w:val="single" w:sz="12" w:space="0" w:color="000000"/>
            </w:tcBorders>
            <w:tcMar>
              <w:bottom w:w="28" w:type="dxa"/>
            </w:tcMar>
            <w:vAlign w:val="bottom"/>
          </w:tcPr>
          <w:p>
            <w:pPr>
              <w:pStyle w:val="TableContents"/>
              <w:bidi w:val="0"/>
              <w:spacing w:before="0" w:after="283"/>
              <w:jc w:val="left"/>
              <w:rPr/>
            </w:pPr>
            <w:r>
              <w:rPr/>
              <w:t> </w:t>
            </w:r>
          </w:p>
        </w:tc>
        <w:tc>
          <w:tcPr>
            <w:tcW w:w="911" w:type="dxa"/>
            <w:tcBorders>
              <w:bottom w:val="single" w:sz="12" w:space="0" w:color="000000"/>
            </w:tcBorders>
            <w:tcMar>
              <w:bottom w:w="28" w:type="dxa"/>
            </w:tcMar>
            <w:vAlign w:val="bottom"/>
          </w:tcPr>
          <w:p>
            <w:pPr>
              <w:pStyle w:val="TableContents"/>
              <w:bidi w:val="0"/>
              <w:spacing w:before="0" w:after="0"/>
              <w:jc w:val="right"/>
              <w:rPr/>
            </w:pPr>
            <w:r>
              <w:rPr/>
              <w:t>29,791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5" w:type="dxa"/>
            <w:tcBorders>
              <w:bottom w:val="single" w:sz="12" w:space="0" w:color="000000"/>
            </w:tcBorders>
            <w:tcMar>
              <w:bottom w:w="28" w:type="dxa"/>
            </w:tcMar>
            <w:vAlign w:val="bottom"/>
          </w:tcPr>
          <w:p>
            <w:pPr>
              <w:pStyle w:val="TableContents"/>
              <w:bidi w:val="0"/>
              <w:spacing w:before="0" w:after="0"/>
              <w:jc w:val="right"/>
              <w:rPr/>
            </w:pPr>
            <w:r>
              <w:rPr/>
              <w:t>30,681</w:t>
            </w:r>
          </w:p>
        </w:tc>
        <w:tc>
          <w:tcPr>
            <w:tcW w:w="138" w:type="dxa"/>
            <w:tcBorders/>
            <w:vAlign w:val="bottom"/>
          </w:tcPr>
          <w:p>
            <w:pPr>
              <w:pStyle w:val="TableContents"/>
              <w:bidi w:val="0"/>
              <w:spacing w:before="0" w:after="283"/>
              <w:jc w:val="left"/>
              <w:rPr/>
            </w:pPr>
            <w:r>
              <w:rPr/>
              <w:t> </w:t>
            </w:r>
          </w:p>
        </w:tc>
      </w:tr>
      <w:tr>
        <w:trPr/>
        <w:tc>
          <w:tcPr>
            <w:tcW w:w="7261" w:type="dxa"/>
            <w:tcBorders/>
            <w:shd w:fill="CCEEFF" w:val="clear"/>
            <w:vAlign w:val="bottom"/>
          </w:tcPr>
          <w:p>
            <w:pPr>
              <w:pStyle w:val="TableContents"/>
              <w:bidi w:val="0"/>
              <w:spacing w:before="0" w:after="0"/>
              <w:ind w:left="288" w:right="0" w:hanging="144"/>
              <w:jc w:val="left"/>
              <w:rPr>
                <w:color w:val="000000"/>
              </w:rPr>
            </w:pPr>
            <w:r>
              <w:rPr>
                <w:color w:val="000000"/>
              </w:rPr>
              <w:t>Total</w:t>
            </w:r>
          </w:p>
        </w:tc>
        <w:tc>
          <w:tcPr>
            <w:tcW w:w="90" w:type="dxa"/>
            <w:tcBorders/>
            <w:shd w:fill="CCEEFF" w:val="clear"/>
            <w:vAlign w:val="bottom"/>
          </w:tcPr>
          <w:p>
            <w:pPr>
              <w:pStyle w:val="TableContents"/>
              <w:bidi w:val="0"/>
              <w:spacing w:before="0" w:after="283"/>
              <w:jc w:val="left"/>
              <w:rPr/>
            </w:pPr>
            <w:r>
              <w:rPr/>
              <w:t> </w:t>
            </w:r>
          </w:p>
        </w:tc>
        <w:tc>
          <w:tcPr>
            <w:tcW w:w="186"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11" w:type="dxa"/>
            <w:tcBorders>
              <w:bottom w:val="double" w:sz="8" w:space="0" w:color="000000"/>
            </w:tcBorders>
            <w:shd w:fill="CCEEFF" w:val="clear"/>
            <w:tcMar>
              <w:bottom w:w="28" w:type="dxa"/>
            </w:tcMar>
            <w:vAlign w:val="bottom"/>
          </w:tcPr>
          <w:p>
            <w:pPr>
              <w:pStyle w:val="TableContents"/>
              <w:bidi w:val="0"/>
              <w:spacing w:before="0" w:after="0"/>
              <w:jc w:val="right"/>
              <w:rPr/>
            </w:pPr>
            <w:r>
              <w:rPr/>
              <w:t>657,677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95" w:type="dxa"/>
            <w:tcBorders>
              <w:bottom w:val="double" w:sz="8" w:space="0" w:color="000000"/>
            </w:tcBorders>
            <w:shd w:fill="CCEEFF" w:val="clear"/>
            <w:tcMar>
              <w:bottom w:w="28" w:type="dxa"/>
            </w:tcMar>
            <w:vAlign w:val="bottom"/>
          </w:tcPr>
          <w:p>
            <w:pPr>
              <w:pStyle w:val="TableContents"/>
              <w:bidi w:val="0"/>
              <w:spacing w:before="0" w:after="0"/>
              <w:jc w:val="right"/>
              <w:rPr/>
            </w:pPr>
            <w:r>
              <w:rPr/>
              <w:t>584,967</w:t>
            </w:r>
          </w:p>
        </w:tc>
        <w:tc>
          <w:tcPr>
            <w:tcW w:w="138"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Allowance for Credit Losses for Loans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ACL for loans is established for future expected credit losses through a provision for credit losses charged to earnings. Management evaluates the appropriate level of the ACL on a quarterly basis. The analysis takes into consideration the results of an ongoing loan review process, the purpose of which is to determine the level of credit risk within the portfolio and to ensure proper adherence to underwriting and documentation standards. Additional allowances are provided to those loans which appear to represent a greater than normal exposure to risk. The quality of the loan portfolio and the adequacy of the ACL is assessed by regulatory examinations and the Company’s internal and external loan reviews. The ACL consists of two elements: (1) specific valuation allowances established for expected losses on specifically analyzed loans and (2) collective valuation allowances calculated using comparable and quantifiable information from both internal and external sources about past events, including historical experience, current conditions, and reasonable and supportable forecasts that affect the collectability of the reported amount. Expected credit losses are estimated over the contractual term of the loans and adjusted for expected prepayments.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 determine the adequacy of the ACL on loans, the Company applied a dual credit risk rating (“DCRR”) methodology that estimates each loan’s probability of default and loss given default to calculate the expected credit loss to non-analyzed loans. The DCRR process quantifies the expected credit loss at the loan level for the entire loan portfolio. Loan grades are assigned by a customized scorecard that risk rates each loan based on multiple probability of default and loss given default elements to measure the risk of the loan portfolio. The ACL estimate incorporates the Company’s DCRR loan level risk rating methodology and the expected default rate frequency term structure to derive loan level life of loan estimates of credit losses for every loan in the portfolio. The estimated credit loss for each loan is adjusted based on one-year through the cycle estimate of expected credit loss to a life of loan measurement that reflects current conditions and forecasts. The life of loan expected loss is determined using the contractual weighted average life of the loan adjusted for prepayments. Prepayment speeds are determined by grouping the loans into pools based on segments and risk rating. After the life of loan expected losses are determined, they are adjusted to reflect the Company’s reasonable and supportable economic forecast over a selected range of a one to two years. The Company has developed regression models to project net charge-off rates based on macroeconomic variables (“MEVs”), typically a one-year period is used. MEV’s considered in the analysis consist of data gathered from the St. Louis Federal Reserve Research Database (“FRED”), such as, federal funds rate, 10-year treasury rates, 30-year mortgage rates, crude oil prices, consumer price index, housing price index, unemployment rates, housing starts, gross domestic product, and disposable personal income. These regression models are applied to the Company’s economic forecast to determine the corresponding net charge-off rates. The projected net charge-off rates for the given economic scenario are used to adjust the through the cycle expected losses. Qualitative adjustments are also made to ACL results for additional risk factors that are relevant in assessing the expected credit losses within our loan segments. These qualitative factor (“Q-Factor”) adjustments may increase or decrease management’s estimate of the ACL by a calculated percentage based upon the estimated level of perceived risk within a particular segment. Q-Factor risk decisions consider concentrations of the loan portfolio, expected changes to the economic forecasts, large relationships, and other factors related to credit administration, such as borrower’s risk rating and the potential effect of delayed credit score migrations. Management quantifiably identifies segment percentage Q-Factor adjustments using a scorecard risk rating system scaled to historical loss experience within a segment and management’s perceived risk for that particular segment. In addition to the loan level evaluations, nonaccrual loans with a balance of $250 thousand or more are individually analyzed based on facts and circumstances of the loan to determine if a specific allowance amount may be necessary. Specific allowances may also be established for loans whose outstanding balances are below the above threshold when it is determined that the risk associated with the loan differs significantly from the risk factor amounts established for its loan category.</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ACL for loans was $44.8 million at March 31, 2026, compared to $45.1 million at December 31, 2025, a decrease of $309 thousand, or 0.7%. The decrease is the result of net charge-offs and no provision for credit losses on loans during the first quarter of 2026. The Company continues to closely monitor credit quality in light of the ongoing economic uncertainty caused by, among other factors, the uncertain impacts of tariffs, sanctions and other trade policies of the United States and its global trading counterparts, the prolonged elevated interest rate environment and the lingering inflationary pressures, and the risk of the resurgence of elevated levels of inflation, in the United States and our market areas. Accordingly, additional provisions for credit losses may be necessary in future periods.</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35</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provides an analysis of the ACL for loans and other data during the periods indicated.</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217" w:name="z5f830364015e4b9b94484afc5a7e5b27"/>
      <w:bookmarkStart w:id="218" w:name="z5f830364015e4b9b94484afc5a7e5b27"/>
      <w:bookmarkEnd w:id="218"/>
    </w:p>
    <w:tbl>
      <w:tblPr>
        <w:tblW w:w="10205" w:type="dxa"/>
        <w:jc w:val="center"/>
        <w:tblInd w:w="0" w:type="dxa"/>
        <w:tblLayout w:type="fixed"/>
        <w:tblCellMar>
          <w:top w:w="0" w:type="dxa"/>
          <w:left w:w="0" w:type="dxa"/>
          <w:bottom w:w="0" w:type="dxa"/>
          <w:right w:w="0" w:type="dxa"/>
        </w:tblCellMar>
      </w:tblPr>
      <w:tblGrid>
        <w:gridCol w:w="6488"/>
        <w:gridCol w:w="90"/>
        <w:gridCol w:w="200"/>
        <w:gridCol w:w="1196"/>
        <w:gridCol w:w="370"/>
        <w:gridCol w:w="105"/>
        <w:gridCol w:w="200"/>
        <w:gridCol w:w="1196"/>
        <w:gridCol w:w="360"/>
      </w:tblGrid>
      <w:tr>
        <w:trPr/>
        <w:tc>
          <w:tcPr>
            <w:tcW w:w="648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67"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March 31,</w:t>
            </w:r>
          </w:p>
        </w:tc>
        <w:tc>
          <w:tcPr>
            <w:tcW w:w="360" w:type="dxa"/>
            <w:tcBorders/>
            <w:vAlign w:val="bottom"/>
          </w:tcPr>
          <w:p>
            <w:pPr>
              <w:pStyle w:val="TableContents"/>
              <w:bidi w:val="0"/>
              <w:spacing w:before="0" w:after="283"/>
              <w:jc w:val="left"/>
              <w:rPr/>
            </w:pPr>
            <w:r>
              <w:rPr/>
              <w:t> </w:t>
            </w:r>
          </w:p>
        </w:tc>
      </w:tr>
      <w:tr>
        <w:trPr/>
        <w:tc>
          <w:tcPr>
            <w:tcW w:w="648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9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37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39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360" w:type="dxa"/>
            <w:tcBorders/>
            <w:vAlign w:val="bottom"/>
          </w:tcPr>
          <w:p>
            <w:pPr>
              <w:pStyle w:val="TableContents"/>
              <w:bidi w:val="0"/>
              <w:spacing w:before="0" w:after="283"/>
              <w:jc w:val="left"/>
              <w:rPr/>
            </w:pPr>
            <w:r>
              <w:rPr/>
              <w:t> </w:t>
            </w:r>
          </w:p>
        </w:tc>
      </w:tr>
      <w:tr>
        <w:trPr/>
        <w:tc>
          <w:tcPr>
            <w:tcW w:w="648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67" w:type="dxa"/>
            <w:gridSpan w:val="6"/>
            <w:tcBorders/>
            <w:vAlign w:val="bottom"/>
          </w:tcPr>
          <w:p>
            <w:pPr>
              <w:pStyle w:val="TableContents"/>
              <w:bidi w:val="0"/>
              <w:spacing w:before="0" w:after="0"/>
              <w:jc w:val="center"/>
              <w:rPr>
                <w:b/>
                <w:color w:val="000000"/>
              </w:rPr>
            </w:pPr>
            <w:r>
              <w:rPr>
                <w:b/>
                <w:color w:val="000000"/>
              </w:rPr>
              <w:t>(Dollars in thousands)</w:t>
            </w:r>
          </w:p>
        </w:tc>
        <w:tc>
          <w:tcPr>
            <w:tcW w:w="360" w:type="dxa"/>
            <w:tcBorders/>
            <w:vAlign w:val="bottom"/>
          </w:tcPr>
          <w:p>
            <w:pPr>
              <w:pStyle w:val="TableContents"/>
              <w:bidi w:val="0"/>
              <w:spacing w:before="0" w:after="283"/>
              <w:jc w:val="left"/>
              <w:rPr/>
            </w:pPr>
            <w:r>
              <w:rPr/>
              <w:t> </w:t>
            </w:r>
          </w:p>
        </w:tc>
      </w:tr>
      <w:tr>
        <w:trPr/>
        <w:tc>
          <w:tcPr>
            <w:tcW w:w="6488" w:type="dxa"/>
            <w:tcBorders/>
            <w:vAlign w:val="bottom"/>
          </w:tcPr>
          <w:p>
            <w:pPr>
              <w:pStyle w:val="TableContents"/>
              <w:bidi w:val="0"/>
              <w:spacing w:before="0" w:after="0"/>
              <w:ind w:left="144" w:right="0" w:hanging="144"/>
              <w:jc w:val="left"/>
              <w:rPr>
                <w:color w:val="000000"/>
              </w:rPr>
            </w:pPr>
            <w:r>
              <w:rPr>
                <w:color w:val="000000"/>
              </w:rPr>
              <w:t>Average loans outstanding during the period</w:t>
            </w:r>
          </w:p>
        </w:tc>
        <w:tc>
          <w:tcPr>
            <w:tcW w:w="90" w:type="dxa"/>
            <w:tcBorders/>
            <w:vAlign w:val="bottom"/>
          </w:tcPr>
          <w:p>
            <w:pPr>
              <w:pStyle w:val="TableContents"/>
              <w:bidi w:val="0"/>
              <w:spacing w:before="0" w:after="283"/>
              <w:jc w:val="left"/>
              <w:rPr/>
            </w:pPr>
            <w:r>
              <w:rPr/>
              <w:t> </w:t>
            </w:r>
          </w:p>
        </w:tc>
        <w:tc>
          <w:tcPr>
            <w:tcW w:w="1396" w:type="dxa"/>
            <w:gridSpan w:val="2"/>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396" w:type="dxa"/>
            <w:gridSpan w:val="2"/>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r>
      <w:tr>
        <w:trPr/>
        <w:tc>
          <w:tcPr>
            <w:tcW w:w="6488" w:type="dxa"/>
            <w:tcBorders/>
            <w:shd w:fill="CCEEFF" w:val="clear"/>
            <w:vAlign w:val="bottom"/>
          </w:tcPr>
          <w:p>
            <w:pPr>
              <w:pStyle w:val="TableContents"/>
              <w:bidi w:val="0"/>
              <w:spacing w:before="0" w:after="0"/>
              <w:ind w:left="288" w:right="0" w:hanging="144"/>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color w:val="000000"/>
              </w:rPr>
            </w:pPr>
            <w:r>
              <w:rPr>
                <w:color w:val="000000"/>
              </w:rPr>
              <w:t>$</w:t>
            </w:r>
          </w:p>
        </w:tc>
        <w:tc>
          <w:tcPr>
            <w:tcW w:w="1196" w:type="dxa"/>
            <w:tcBorders/>
            <w:shd w:fill="CCEEFF" w:val="clear"/>
            <w:vAlign w:val="bottom"/>
          </w:tcPr>
          <w:p>
            <w:pPr>
              <w:pStyle w:val="TableContents"/>
              <w:bidi w:val="0"/>
              <w:spacing w:before="0" w:after="0"/>
              <w:jc w:val="right"/>
              <w:rPr>
                <w:color w:val="000000"/>
              </w:rPr>
            </w:pPr>
            <w:r>
              <w:rPr>
                <w:color w:val="000000"/>
              </w:rPr>
              <w:t>1,053,963</w:t>
            </w:r>
          </w:p>
        </w:tc>
        <w:tc>
          <w:tcPr>
            <w:tcW w:w="37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color w:val="000000"/>
              </w:rPr>
            </w:pPr>
            <w:r>
              <w:rPr>
                <w:color w:val="000000"/>
              </w:rPr>
              <w:t>$</w:t>
            </w:r>
          </w:p>
        </w:tc>
        <w:tc>
          <w:tcPr>
            <w:tcW w:w="1196" w:type="dxa"/>
            <w:tcBorders/>
            <w:shd w:fill="CCEEFF" w:val="clear"/>
            <w:vAlign w:val="bottom"/>
          </w:tcPr>
          <w:p>
            <w:pPr>
              <w:pStyle w:val="TableContents"/>
              <w:bidi w:val="0"/>
              <w:spacing w:before="0" w:after="0"/>
              <w:jc w:val="right"/>
              <w:rPr>
                <w:color w:val="000000"/>
              </w:rPr>
            </w:pPr>
            <w:r>
              <w:rPr>
                <w:color w:val="000000"/>
              </w:rPr>
              <w:t>1,128,386</w:t>
            </w:r>
          </w:p>
        </w:tc>
        <w:tc>
          <w:tcPr>
            <w:tcW w:w="360" w:type="dxa"/>
            <w:tcBorders/>
            <w:shd w:fill="CCEEFF" w:val="clear"/>
            <w:vAlign w:val="bottom"/>
          </w:tcPr>
          <w:p>
            <w:pPr>
              <w:pStyle w:val="TableContents"/>
              <w:bidi w:val="0"/>
              <w:spacing w:before="0" w:after="283"/>
              <w:jc w:val="left"/>
              <w:rPr/>
            </w:pPr>
            <w:r>
              <w:rPr/>
              <w:t> </w:t>
            </w:r>
          </w:p>
        </w:tc>
      </w:tr>
      <w:tr>
        <w:trPr/>
        <w:tc>
          <w:tcPr>
            <w:tcW w:w="6488" w:type="dxa"/>
            <w:tcBorders/>
            <w:vAlign w:val="bottom"/>
          </w:tcPr>
          <w:p>
            <w:pPr>
              <w:pStyle w:val="TableContents"/>
              <w:bidi w:val="0"/>
              <w:spacing w:before="0" w:after="0"/>
              <w:ind w:left="288" w:right="0" w:hanging="144"/>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0"/>
              <w:jc w:val="right"/>
              <w:rPr>
                <w:color w:val="000000"/>
              </w:rPr>
            </w:pPr>
            <w:r>
              <w:rPr>
                <w:color w:val="000000"/>
              </w:rPr>
              <w:t>396,919</w:t>
            </w:r>
          </w:p>
        </w:tc>
        <w:tc>
          <w:tcPr>
            <w:tcW w:w="37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0"/>
              <w:jc w:val="right"/>
              <w:rPr>
                <w:color w:val="000000"/>
              </w:rPr>
            </w:pPr>
            <w:r>
              <w:rPr>
                <w:color w:val="000000"/>
              </w:rPr>
              <w:t>379,824</w:t>
            </w:r>
          </w:p>
        </w:tc>
        <w:tc>
          <w:tcPr>
            <w:tcW w:w="360" w:type="dxa"/>
            <w:tcBorders/>
            <w:vAlign w:val="bottom"/>
          </w:tcPr>
          <w:p>
            <w:pPr>
              <w:pStyle w:val="TableContents"/>
              <w:bidi w:val="0"/>
              <w:spacing w:before="0" w:after="283"/>
              <w:jc w:val="left"/>
              <w:rPr/>
            </w:pPr>
            <w:r>
              <w:rPr/>
              <w:t> </w:t>
            </w:r>
          </w:p>
        </w:tc>
      </w:tr>
      <w:tr>
        <w:trPr/>
        <w:tc>
          <w:tcPr>
            <w:tcW w:w="6488" w:type="dxa"/>
            <w:tcBorders/>
            <w:shd w:fill="CCEEFF" w:val="clear"/>
            <w:vAlign w:val="bottom"/>
          </w:tcPr>
          <w:p>
            <w:pPr>
              <w:pStyle w:val="TableContents"/>
              <w:bidi w:val="0"/>
              <w:spacing w:before="0" w:after="0"/>
              <w:ind w:left="288" w:right="0" w:hanging="144"/>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0"/>
              <w:jc w:val="right"/>
              <w:rPr>
                <w:color w:val="000000"/>
              </w:rPr>
            </w:pPr>
            <w:r>
              <w:rPr>
                <w:color w:val="000000"/>
              </w:rPr>
              <w:t>653,516</w:t>
            </w:r>
          </w:p>
        </w:tc>
        <w:tc>
          <w:tcPr>
            <w:tcW w:w="37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0"/>
              <w:jc w:val="right"/>
              <w:rPr>
                <w:color w:val="000000"/>
              </w:rPr>
            </w:pPr>
            <w:r>
              <w:rPr>
                <w:color w:val="000000"/>
              </w:rPr>
              <w:t>561,992</w:t>
            </w:r>
          </w:p>
        </w:tc>
        <w:tc>
          <w:tcPr>
            <w:tcW w:w="360" w:type="dxa"/>
            <w:tcBorders/>
            <w:shd w:fill="CCEEFF" w:val="clear"/>
            <w:vAlign w:val="bottom"/>
          </w:tcPr>
          <w:p>
            <w:pPr>
              <w:pStyle w:val="TableContents"/>
              <w:bidi w:val="0"/>
              <w:spacing w:before="0" w:after="283"/>
              <w:jc w:val="left"/>
              <w:rPr/>
            </w:pPr>
            <w:r>
              <w:rPr/>
              <w:t> </w:t>
            </w:r>
          </w:p>
        </w:tc>
      </w:tr>
      <w:tr>
        <w:trPr/>
        <w:tc>
          <w:tcPr>
            <w:tcW w:w="6488" w:type="dxa"/>
            <w:tcBorders/>
            <w:vAlign w:val="bottom"/>
          </w:tcPr>
          <w:p>
            <w:pPr>
              <w:pStyle w:val="TableContents"/>
              <w:bidi w:val="0"/>
              <w:spacing w:before="0" w:after="0"/>
              <w:ind w:left="288" w:right="0" w:hanging="144"/>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 </w:t>
            </w:r>
          </w:p>
        </w:tc>
        <w:tc>
          <w:tcPr>
            <w:tcW w:w="37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 </w:t>
            </w:r>
          </w:p>
        </w:tc>
        <w:tc>
          <w:tcPr>
            <w:tcW w:w="360" w:type="dxa"/>
            <w:tcBorders/>
            <w:vAlign w:val="bottom"/>
          </w:tcPr>
          <w:p>
            <w:pPr>
              <w:pStyle w:val="TableContents"/>
              <w:bidi w:val="0"/>
              <w:spacing w:before="0" w:after="283"/>
              <w:jc w:val="left"/>
              <w:rPr/>
            </w:pPr>
            <w:r>
              <w:rPr/>
              <w:t> </w:t>
            </w:r>
          </w:p>
        </w:tc>
      </w:tr>
      <w:tr>
        <w:trPr/>
        <w:tc>
          <w:tcPr>
            <w:tcW w:w="6488" w:type="dxa"/>
            <w:tcBorders/>
            <w:shd w:fill="CCEEFF" w:val="clear"/>
            <w:vAlign w:val="bottom"/>
          </w:tcPr>
          <w:p>
            <w:pPr>
              <w:pStyle w:val="TableContents"/>
              <w:bidi w:val="0"/>
              <w:spacing w:before="0" w:after="0"/>
              <w:ind w:left="504" w:right="0" w:hanging="144"/>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0"/>
              <w:jc w:val="right"/>
              <w:rPr>
                <w:color w:val="000000"/>
              </w:rPr>
            </w:pPr>
            <w:r>
              <w:rPr>
                <w:color w:val="000000"/>
              </w:rPr>
              <w:t>591,556</w:t>
            </w:r>
          </w:p>
        </w:tc>
        <w:tc>
          <w:tcPr>
            <w:tcW w:w="37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0"/>
              <w:jc w:val="right"/>
              <w:rPr>
                <w:color w:val="000000"/>
              </w:rPr>
            </w:pPr>
            <w:r>
              <w:rPr>
                <w:color w:val="000000"/>
              </w:rPr>
              <w:t>565,967</w:t>
            </w:r>
          </w:p>
        </w:tc>
        <w:tc>
          <w:tcPr>
            <w:tcW w:w="360" w:type="dxa"/>
            <w:tcBorders/>
            <w:shd w:fill="CCEEFF" w:val="clear"/>
            <w:vAlign w:val="bottom"/>
          </w:tcPr>
          <w:p>
            <w:pPr>
              <w:pStyle w:val="TableContents"/>
              <w:bidi w:val="0"/>
              <w:spacing w:before="0" w:after="283"/>
              <w:jc w:val="left"/>
              <w:rPr/>
            </w:pPr>
            <w:r>
              <w:rPr/>
              <w:t> </w:t>
            </w:r>
          </w:p>
        </w:tc>
      </w:tr>
      <w:tr>
        <w:trPr/>
        <w:tc>
          <w:tcPr>
            <w:tcW w:w="6488" w:type="dxa"/>
            <w:tcBorders/>
            <w:vAlign w:val="bottom"/>
          </w:tcPr>
          <w:p>
            <w:pPr>
              <w:pStyle w:val="TableContents"/>
              <w:bidi w:val="0"/>
              <w:spacing w:before="0" w:after="0"/>
              <w:ind w:left="504" w:right="0" w:hanging="144"/>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0"/>
              <w:jc w:val="right"/>
              <w:rPr>
                <w:color w:val="000000"/>
              </w:rPr>
            </w:pPr>
            <w:r>
              <w:rPr>
                <w:color w:val="000000"/>
              </w:rPr>
              <w:t>257,687</w:t>
            </w:r>
          </w:p>
        </w:tc>
        <w:tc>
          <w:tcPr>
            <w:tcW w:w="37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0"/>
              <w:jc w:val="right"/>
              <w:rPr>
                <w:color w:val="000000"/>
              </w:rPr>
            </w:pPr>
            <w:r>
              <w:rPr>
                <w:color w:val="000000"/>
              </w:rPr>
              <w:t>258,942</w:t>
            </w:r>
          </w:p>
        </w:tc>
        <w:tc>
          <w:tcPr>
            <w:tcW w:w="360" w:type="dxa"/>
            <w:tcBorders/>
            <w:vAlign w:val="bottom"/>
          </w:tcPr>
          <w:p>
            <w:pPr>
              <w:pStyle w:val="TableContents"/>
              <w:bidi w:val="0"/>
              <w:spacing w:before="0" w:after="283"/>
              <w:jc w:val="left"/>
              <w:rPr/>
            </w:pPr>
            <w:r>
              <w:rPr/>
              <w:t> </w:t>
            </w:r>
          </w:p>
        </w:tc>
      </w:tr>
      <w:tr>
        <w:trPr/>
        <w:tc>
          <w:tcPr>
            <w:tcW w:w="6488" w:type="dxa"/>
            <w:tcBorders/>
            <w:shd w:fill="CCEEFF" w:val="clear"/>
            <w:vAlign w:val="bottom"/>
          </w:tcPr>
          <w:p>
            <w:pPr>
              <w:pStyle w:val="TableContents"/>
              <w:bidi w:val="0"/>
              <w:spacing w:before="0" w:after="0"/>
              <w:ind w:left="504" w:right="0" w:hanging="144"/>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0"/>
              <w:jc w:val="right"/>
              <w:rPr>
                <w:color w:val="000000"/>
              </w:rPr>
            </w:pPr>
            <w:r>
              <w:rPr>
                <w:color w:val="000000"/>
              </w:rPr>
              <w:t>62,089</w:t>
            </w:r>
          </w:p>
        </w:tc>
        <w:tc>
          <w:tcPr>
            <w:tcW w:w="37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0"/>
              <w:jc w:val="right"/>
              <w:rPr>
                <w:color w:val="000000"/>
              </w:rPr>
            </w:pPr>
            <w:r>
              <w:rPr>
                <w:color w:val="000000"/>
              </w:rPr>
              <w:t>64,319</w:t>
            </w:r>
          </w:p>
        </w:tc>
        <w:tc>
          <w:tcPr>
            <w:tcW w:w="360" w:type="dxa"/>
            <w:tcBorders/>
            <w:shd w:fill="CCEEFF" w:val="clear"/>
            <w:vAlign w:val="bottom"/>
          </w:tcPr>
          <w:p>
            <w:pPr>
              <w:pStyle w:val="TableContents"/>
              <w:bidi w:val="0"/>
              <w:spacing w:before="0" w:after="283"/>
              <w:jc w:val="left"/>
              <w:rPr/>
            </w:pPr>
            <w:r>
              <w:rPr/>
              <w:t> </w:t>
            </w:r>
          </w:p>
        </w:tc>
      </w:tr>
      <w:tr>
        <w:trPr/>
        <w:tc>
          <w:tcPr>
            <w:tcW w:w="6488" w:type="dxa"/>
            <w:tcBorders/>
            <w:vAlign w:val="bottom"/>
          </w:tcPr>
          <w:p>
            <w:pPr>
              <w:pStyle w:val="TableContents"/>
              <w:bidi w:val="0"/>
              <w:spacing w:before="0" w:after="0"/>
              <w:ind w:left="288" w:right="0" w:hanging="144"/>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0"/>
              <w:jc w:val="right"/>
              <w:rPr>
                <w:color w:val="000000"/>
              </w:rPr>
            </w:pPr>
            <w:r>
              <w:rPr>
                <w:color w:val="000000"/>
              </w:rPr>
              <w:t>103,054</w:t>
            </w:r>
          </w:p>
        </w:tc>
        <w:tc>
          <w:tcPr>
            <w:tcW w:w="37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0"/>
              <w:jc w:val="right"/>
              <w:rPr>
                <w:color w:val="000000"/>
              </w:rPr>
            </w:pPr>
            <w:r>
              <w:rPr>
                <w:color w:val="000000"/>
              </w:rPr>
              <w:t>102,321</w:t>
            </w:r>
          </w:p>
        </w:tc>
        <w:tc>
          <w:tcPr>
            <w:tcW w:w="360" w:type="dxa"/>
            <w:tcBorders/>
            <w:vAlign w:val="bottom"/>
          </w:tcPr>
          <w:p>
            <w:pPr>
              <w:pStyle w:val="TableContents"/>
              <w:bidi w:val="0"/>
              <w:spacing w:before="0" w:after="283"/>
              <w:jc w:val="left"/>
              <w:rPr/>
            </w:pPr>
            <w:r>
              <w:rPr/>
              <w:t> </w:t>
            </w:r>
          </w:p>
        </w:tc>
      </w:tr>
      <w:tr>
        <w:trPr/>
        <w:tc>
          <w:tcPr>
            <w:tcW w:w="6488" w:type="dxa"/>
            <w:tcBorders/>
            <w:shd w:fill="CCEEFF" w:val="clear"/>
            <w:vAlign w:val="bottom"/>
          </w:tcPr>
          <w:p>
            <w:pPr>
              <w:pStyle w:val="TableContents"/>
              <w:bidi w:val="0"/>
              <w:spacing w:before="0" w:after="0"/>
              <w:ind w:left="288" w:right="0" w:hanging="144"/>
              <w:jc w:val="left"/>
              <w:rPr>
                <w:color w:val="000000"/>
              </w:rPr>
            </w:pPr>
            <w:r>
              <w:rPr>
                <w:color w:val="000000"/>
              </w:rPr>
              <w:t>Loans held for sale</w:t>
            </w:r>
          </w:p>
        </w:tc>
        <w:tc>
          <w:tcPr>
            <w:tcW w:w="90" w:type="dxa"/>
            <w:tcBorders/>
            <w:shd w:fill="CCEEFF" w:val="clear"/>
            <w:vAlign w:val="bottom"/>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11,382</w:t>
            </w:r>
          </w:p>
        </w:tc>
        <w:tc>
          <w:tcPr>
            <w:tcW w:w="37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12,817</w:t>
            </w:r>
          </w:p>
        </w:tc>
        <w:tc>
          <w:tcPr>
            <w:tcW w:w="360" w:type="dxa"/>
            <w:tcBorders/>
            <w:shd w:fill="CCEEFF" w:val="clear"/>
            <w:vAlign w:val="bottom"/>
          </w:tcPr>
          <w:p>
            <w:pPr>
              <w:pStyle w:val="TableContents"/>
              <w:bidi w:val="0"/>
              <w:spacing w:before="0" w:after="283"/>
              <w:jc w:val="left"/>
              <w:rPr/>
            </w:pPr>
            <w:r>
              <w:rPr/>
              <w:t> </w:t>
            </w:r>
          </w:p>
        </w:tc>
      </w:tr>
      <w:tr>
        <w:trPr/>
        <w:tc>
          <w:tcPr>
            <w:tcW w:w="6488" w:type="dxa"/>
            <w:tcBorders/>
            <w:vAlign w:val="bottom"/>
          </w:tcPr>
          <w:p>
            <w:pPr>
              <w:pStyle w:val="TableContents"/>
              <w:bidi w:val="0"/>
              <w:spacing w:before="0" w:after="0"/>
              <w:ind w:left="144" w:right="0" w:hanging="144"/>
              <w:jc w:val="left"/>
              <w:rPr>
                <w:color w:val="000000"/>
              </w:rPr>
            </w:pPr>
            <w:r>
              <w:rPr>
                <w:color w:val="000000"/>
              </w:rPr>
              <w:t>Total average loans outstanding during the period</w:t>
            </w:r>
          </w:p>
        </w:tc>
        <w:tc>
          <w:tcPr>
            <w:tcW w:w="90" w:type="dxa"/>
            <w:tcBorders/>
            <w:vAlign w:val="bottom"/>
          </w:tcPr>
          <w:p>
            <w:pPr>
              <w:pStyle w:val="TableContents"/>
              <w:bidi w:val="0"/>
              <w:spacing w:before="0" w:after="283"/>
              <w:jc w:val="left"/>
              <w:rPr/>
            </w:pPr>
            <w:r>
              <w:rPr/>
              <w:t> </w:t>
            </w:r>
          </w:p>
        </w:tc>
        <w:tc>
          <w:tcPr>
            <w:tcW w:w="20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9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3,130,166</w:t>
            </w:r>
          </w:p>
        </w:tc>
        <w:tc>
          <w:tcPr>
            <w:tcW w:w="37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0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9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3,074,568</w:t>
            </w:r>
          </w:p>
        </w:tc>
        <w:tc>
          <w:tcPr>
            <w:tcW w:w="360" w:type="dxa"/>
            <w:tcBorders/>
            <w:vAlign w:val="bottom"/>
          </w:tcPr>
          <w:p>
            <w:pPr>
              <w:pStyle w:val="TableContents"/>
              <w:bidi w:val="0"/>
              <w:spacing w:before="0" w:after="283"/>
              <w:jc w:val="left"/>
              <w:rPr/>
            </w:pPr>
            <w:r>
              <w:rPr/>
              <w:t> </w:t>
            </w:r>
          </w:p>
        </w:tc>
      </w:tr>
      <w:tr>
        <w:trPr/>
        <w:tc>
          <w:tcPr>
            <w:tcW w:w="648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 </w:t>
            </w:r>
          </w:p>
        </w:tc>
        <w:tc>
          <w:tcPr>
            <w:tcW w:w="37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 </w:t>
            </w:r>
          </w:p>
        </w:tc>
        <w:tc>
          <w:tcPr>
            <w:tcW w:w="360" w:type="dxa"/>
            <w:tcBorders/>
            <w:shd w:fill="CCEEFF" w:val="clear"/>
            <w:vAlign w:val="bottom"/>
          </w:tcPr>
          <w:p>
            <w:pPr>
              <w:pStyle w:val="TableContents"/>
              <w:bidi w:val="0"/>
              <w:spacing w:before="0" w:after="283"/>
              <w:jc w:val="left"/>
              <w:rPr/>
            </w:pPr>
            <w:r>
              <w:rPr/>
              <w:t> </w:t>
            </w:r>
          </w:p>
        </w:tc>
      </w:tr>
      <w:tr>
        <w:trPr/>
        <w:tc>
          <w:tcPr>
            <w:tcW w:w="6488" w:type="dxa"/>
            <w:tcBorders/>
            <w:vAlign w:val="bottom"/>
          </w:tcPr>
          <w:p>
            <w:pPr>
              <w:pStyle w:val="TableContents"/>
              <w:bidi w:val="0"/>
              <w:spacing w:before="0" w:after="0"/>
              <w:ind w:left="144" w:right="0" w:hanging="144"/>
              <w:jc w:val="left"/>
              <w:rPr>
                <w:color w:val="000000"/>
              </w:rPr>
            </w:pPr>
            <w:r>
              <w:rPr>
                <w:color w:val="000000"/>
              </w:rPr>
              <w:t>Net charge-offs (recoveries) during the period</w:t>
            </w:r>
          </w:p>
        </w:tc>
        <w:tc>
          <w:tcPr>
            <w:tcW w:w="9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 </w:t>
            </w:r>
          </w:p>
        </w:tc>
        <w:tc>
          <w:tcPr>
            <w:tcW w:w="37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 </w:t>
            </w:r>
          </w:p>
        </w:tc>
        <w:tc>
          <w:tcPr>
            <w:tcW w:w="360" w:type="dxa"/>
            <w:tcBorders/>
            <w:vAlign w:val="bottom"/>
          </w:tcPr>
          <w:p>
            <w:pPr>
              <w:pStyle w:val="TableContents"/>
              <w:bidi w:val="0"/>
              <w:spacing w:before="0" w:after="283"/>
              <w:jc w:val="left"/>
              <w:rPr/>
            </w:pPr>
            <w:r>
              <w:rPr/>
              <w:t> </w:t>
            </w:r>
          </w:p>
        </w:tc>
      </w:tr>
      <w:tr>
        <w:trPr/>
        <w:tc>
          <w:tcPr>
            <w:tcW w:w="6488" w:type="dxa"/>
            <w:tcBorders/>
            <w:shd w:fill="CCEEFF" w:val="clear"/>
            <w:vAlign w:val="bottom"/>
          </w:tcPr>
          <w:p>
            <w:pPr>
              <w:pStyle w:val="TableContents"/>
              <w:bidi w:val="0"/>
              <w:spacing w:before="0" w:after="0"/>
              <w:ind w:left="288" w:right="0" w:hanging="144"/>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color w:val="000000"/>
              </w:rPr>
            </w:pPr>
            <w:r>
              <w:rPr>
                <w:color w:val="000000"/>
              </w:rPr>
              <w:t>$</w:t>
            </w:r>
          </w:p>
        </w:tc>
        <w:tc>
          <w:tcPr>
            <w:tcW w:w="1196" w:type="dxa"/>
            <w:tcBorders/>
            <w:shd w:fill="CCEEFF" w:val="clear"/>
            <w:vAlign w:val="bottom"/>
          </w:tcPr>
          <w:p>
            <w:pPr>
              <w:pStyle w:val="TableContents"/>
              <w:bidi w:val="0"/>
              <w:spacing w:before="0" w:after="0"/>
              <w:jc w:val="right"/>
              <w:rPr>
                <w:color w:val="000000"/>
              </w:rPr>
            </w:pPr>
            <w:r>
              <w:rPr>
                <w:color w:val="000000"/>
              </w:rPr>
              <w:t>—</w:t>
            </w:r>
          </w:p>
        </w:tc>
        <w:tc>
          <w:tcPr>
            <w:tcW w:w="37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color w:val="000000"/>
              </w:rPr>
            </w:pPr>
            <w:r>
              <w:rPr>
                <w:color w:val="000000"/>
              </w:rPr>
              <w:t>$</w:t>
            </w:r>
          </w:p>
        </w:tc>
        <w:tc>
          <w:tcPr>
            <w:tcW w:w="1196" w:type="dxa"/>
            <w:tcBorders/>
            <w:shd w:fill="CCEEFF" w:val="clear"/>
            <w:vAlign w:val="bottom"/>
          </w:tcPr>
          <w:p>
            <w:pPr>
              <w:pStyle w:val="TableContents"/>
              <w:bidi w:val="0"/>
              <w:spacing w:before="0" w:after="0"/>
              <w:jc w:val="right"/>
              <w:rPr>
                <w:color w:val="000000"/>
              </w:rPr>
            </w:pPr>
            <w:r>
              <w:rPr>
                <w:color w:val="000000"/>
              </w:rPr>
              <w:t>—</w:t>
            </w:r>
          </w:p>
        </w:tc>
        <w:tc>
          <w:tcPr>
            <w:tcW w:w="360" w:type="dxa"/>
            <w:tcBorders/>
            <w:shd w:fill="CCEEFF" w:val="clear"/>
            <w:vAlign w:val="bottom"/>
          </w:tcPr>
          <w:p>
            <w:pPr>
              <w:pStyle w:val="TableContents"/>
              <w:bidi w:val="0"/>
              <w:spacing w:before="0" w:after="283"/>
              <w:jc w:val="left"/>
              <w:rPr/>
            </w:pPr>
            <w:r>
              <w:rPr/>
              <w:t> </w:t>
            </w:r>
          </w:p>
        </w:tc>
      </w:tr>
      <w:tr>
        <w:trPr/>
        <w:tc>
          <w:tcPr>
            <w:tcW w:w="6488" w:type="dxa"/>
            <w:tcBorders/>
            <w:vAlign w:val="bottom"/>
          </w:tcPr>
          <w:p>
            <w:pPr>
              <w:pStyle w:val="TableContents"/>
              <w:bidi w:val="0"/>
              <w:spacing w:before="0" w:after="0"/>
              <w:ind w:left="288" w:right="0" w:hanging="144"/>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0"/>
              <w:jc w:val="right"/>
              <w:rPr>
                <w:color w:val="000000"/>
              </w:rPr>
            </w:pPr>
            <w:r>
              <w:rPr>
                <w:color w:val="000000"/>
              </w:rPr>
              <w:t>(29</w:t>
            </w:r>
          </w:p>
        </w:tc>
        <w:tc>
          <w:tcPr>
            <w:tcW w:w="370" w:type="dxa"/>
            <w:tcBorders/>
            <w:vAlign w:val="bottom"/>
          </w:tcPr>
          <w:p>
            <w:pPr>
              <w:pStyle w:val="TableContents"/>
              <w:bidi w:val="0"/>
              <w:spacing w:before="0" w:after="0"/>
              <w:jc w:val="left"/>
              <w:rPr>
                <w:color w:val="000000"/>
              </w:rPr>
            </w:pPr>
            <w:r>
              <w:rPr>
                <w:color w:val="000000"/>
              </w:rPr>
              <w:t>)</w:t>
            </w:r>
          </w:p>
        </w:tc>
        <w:tc>
          <w:tcPr>
            <w:tcW w:w="10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0"/>
              <w:jc w:val="right"/>
              <w:rPr>
                <w:color w:val="000000"/>
              </w:rPr>
            </w:pPr>
            <w:r>
              <w:rPr>
                <w:color w:val="000000"/>
              </w:rPr>
              <w:t>(34</w:t>
            </w:r>
          </w:p>
        </w:tc>
        <w:tc>
          <w:tcPr>
            <w:tcW w:w="360" w:type="dxa"/>
            <w:tcBorders/>
            <w:vAlign w:val="bottom"/>
          </w:tcPr>
          <w:p>
            <w:pPr>
              <w:pStyle w:val="TableContents"/>
              <w:bidi w:val="0"/>
              <w:spacing w:before="0" w:after="0"/>
              <w:jc w:val="left"/>
              <w:rPr>
                <w:color w:val="000000"/>
              </w:rPr>
            </w:pPr>
            <w:r>
              <w:rPr>
                <w:color w:val="000000"/>
              </w:rPr>
              <w:t>)</w:t>
            </w:r>
          </w:p>
        </w:tc>
      </w:tr>
      <w:tr>
        <w:trPr/>
        <w:tc>
          <w:tcPr>
            <w:tcW w:w="6488" w:type="dxa"/>
            <w:tcBorders/>
            <w:shd w:fill="CCEEFF" w:val="clear"/>
            <w:vAlign w:val="bottom"/>
          </w:tcPr>
          <w:p>
            <w:pPr>
              <w:pStyle w:val="TableContents"/>
              <w:bidi w:val="0"/>
              <w:spacing w:before="0" w:after="0"/>
              <w:ind w:left="288" w:right="0" w:hanging="144"/>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0"/>
              <w:jc w:val="right"/>
              <w:rPr>
                <w:color w:val="000000"/>
              </w:rPr>
            </w:pPr>
            <w:r>
              <w:rPr>
                <w:color w:val="000000"/>
              </w:rPr>
              <w:t>160</w:t>
            </w:r>
          </w:p>
        </w:tc>
        <w:tc>
          <w:tcPr>
            <w:tcW w:w="37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0"/>
              <w:jc w:val="right"/>
              <w:rPr>
                <w:color w:val="000000"/>
              </w:rPr>
            </w:pPr>
            <w:r>
              <w:rPr>
                <w:color w:val="000000"/>
              </w:rPr>
              <w:t>54</w:t>
            </w:r>
          </w:p>
        </w:tc>
        <w:tc>
          <w:tcPr>
            <w:tcW w:w="360" w:type="dxa"/>
            <w:tcBorders/>
            <w:shd w:fill="CCEEFF" w:val="clear"/>
            <w:vAlign w:val="bottom"/>
          </w:tcPr>
          <w:p>
            <w:pPr>
              <w:pStyle w:val="TableContents"/>
              <w:bidi w:val="0"/>
              <w:spacing w:before="0" w:after="283"/>
              <w:jc w:val="left"/>
              <w:rPr/>
            </w:pPr>
            <w:r>
              <w:rPr/>
              <w:t> </w:t>
            </w:r>
          </w:p>
        </w:tc>
      </w:tr>
      <w:tr>
        <w:trPr/>
        <w:tc>
          <w:tcPr>
            <w:tcW w:w="6488" w:type="dxa"/>
            <w:tcBorders/>
            <w:vAlign w:val="bottom"/>
          </w:tcPr>
          <w:p>
            <w:pPr>
              <w:pStyle w:val="TableContents"/>
              <w:bidi w:val="0"/>
              <w:spacing w:before="0" w:after="0"/>
              <w:ind w:left="288" w:right="0" w:hanging="144"/>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 </w:t>
            </w:r>
          </w:p>
        </w:tc>
        <w:tc>
          <w:tcPr>
            <w:tcW w:w="37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 </w:t>
            </w:r>
          </w:p>
        </w:tc>
        <w:tc>
          <w:tcPr>
            <w:tcW w:w="360" w:type="dxa"/>
            <w:tcBorders/>
            <w:vAlign w:val="bottom"/>
          </w:tcPr>
          <w:p>
            <w:pPr>
              <w:pStyle w:val="TableContents"/>
              <w:bidi w:val="0"/>
              <w:spacing w:before="0" w:after="283"/>
              <w:jc w:val="left"/>
              <w:rPr/>
            </w:pPr>
            <w:r>
              <w:rPr/>
              <w:t> </w:t>
            </w:r>
          </w:p>
        </w:tc>
      </w:tr>
      <w:tr>
        <w:trPr/>
        <w:tc>
          <w:tcPr>
            <w:tcW w:w="6488" w:type="dxa"/>
            <w:tcBorders/>
            <w:shd w:fill="CCEEFF" w:val="clear"/>
            <w:vAlign w:val="bottom"/>
          </w:tcPr>
          <w:p>
            <w:pPr>
              <w:pStyle w:val="TableContents"/>
              <w:bidi w:val="0"/>
              <w:spacing w:before="0" w:after="0"/>
              <w:ind w:left="504" w:right="0" w:hanging="144"/>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0"/>
              <w:jc w:val="right"/>
              <w:rPr>
                <w:color w:val="000000"/>
              </w:rPr>
            </w:pPr>
            <w:r>
              <w:rPr>
                <w:color w:val="000000"/>
              </w:rPr>
              <w:t>(294</w:t>
            </w:r>
          </w:p>
        </w:tc>
        <w:tc>
          <w:tcPr>
            <w:tcW w:w="370" w:type="dxa"/>
            <w:tcBorders/>
            <w:shd w:fill="CCEEFF" w:val="clear"/>
            <w:vAlign w:val="bottom"/>
          </w:tcPr>
          <w:p>
            <w:pPr>
              <w:pStyle w:val="TableContents"/>
              <w:bidi w:val="0"/>
              <w:spacing w:before="0" w:after="0"/>
              <w:jc w:val="left"/>
              <w:rPr>
                <w:color w:val="000000"/>
              </w:rPr>
            </w:pPr>
            <w:r>
              <w:rPr>
                <w:color w:val="000000"/>
              </w:rPr>
              <w:t>)</w:t>
            </w:r>
          </w:p>
        </w:tc>
        <w:tc>
          <w:tcPr>
            <w:tcW w:w="10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0"/>
              <w:jc w:val="right"/>
              <w:rPr>
                <w:color w:val="000000"/>
              </w:rPr>
            </w:pPr>
            <w:r>
              <w:rPr>
                <w:color w:val="000000"/>
              </w:rPr>
              <w:t>(7</w:t>
            </w:r>
          </w:p>
        </w:tc>
        <w:tc>
          <w:tcPr>
            <w:tcW w:w="360" w:type="dxa"/>
            <w:tcBorders/>
            <w:shd w:fill="CCEEFF" w:val="clear"/>
            <w:vAlign w:val="bottom"/>
          </w:tcPr>
          <w:p>
            <w:pPr>
              <w:pStyle w:val="TableContents"/>
              <w:bidi w:val="0"/>
              <w:spacing w:before="0" w:after="0"/>
              <w:jc w:val="left"/>
              <w:rPr>
                <w:color w:val="000000"/>
              </w:rPr>
            </w:pPr>
            <w:r>
              <w:rPr>
                <w:color w:val="000000"/>
              </w:rPr>
              <w:t>)</w:t>
            </w:r>
          </w:p>
        </w:tc>
      </w:tr>
      <w:tr>
        <w:trPr/>
        <w:tc>
          <w:tcPr>
            <w:tcW w:w="6488" w:type="dxa"/>
            <w:tcBorders/>
            <w:vAlign w:val="bottom"/>
          </w:tcPr>
          <w:p>
            <w:pPr>
              <w:pStyle w:val="TableContents"/>
              <w:bidi w:val="0"/>
              <w:spacing w:before="0" w:after="0"/>
              <w:ind w:left="504" w:right="0" w:hanging="144"/>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0"/>
              <w:jc w:val="right"/>
              <w:rPr>
                <w:color w:val="000000"/>
              </w:rPr>
            </w:pPr>
            <w:r>
              <w:rPr>
                <w:color w:val="000000"/>
              </w:rPr>
              <w:t>250</w:t>
            </w:r>
          </w:p>
        </w:tc>
        <w:tc>
          <w:tcPr>
            <w:tcW w:w="37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0"/>
              <w:jc w:val="right"/>
              <w:rPr>
                <w:color w:val="000000"/>
              </w:rPr>
            </w:pPr>
            <w:r>
              <w:rPr>
                <w:color w:val="000000"/>
              </w:rPr>
              <w:t>256</w:t>
            </w:r>
          </w:p>
        </w:tc>
        <w:tc>
          <w:tcPr>
            <w:tcW w:w="360" w:type="dxa"/>
            <w:tcBorders/>
            <w:vAlign w:val="bottom"/>
          </w:tcPr>
          <w:p>
            <w:pPr>
              <w:pStyle w:val="TableContents"/>
              <w:bidi w:val="0"/>
              <w:spacing w:before="0" w:after="283"/>
              <w:jc w:val="left"/>
              <w:rPr/>
            </w:pPr>
            <w:r>
              <w:rPr/>
              <w:t> </w:t>
            </w:r>
          </w:p>
        </w:tc>
      </w:tr>
      <w:tr>
        <w:trPr/>
        <w:tc>
          <w:tcPr>
            <w:tcW w:w="6488" w:type="dxa"/>
            <w:tcBorders/>
            <w:shd w:fill="CCEEFF" w:val="clear"/>
            <w:vAlign w:val="bottom"/>
          </w:tcPr>
          <w:p>
            <w:pPr>
              <w:pStyle w:val="TableContents"/>
              <w:bidi w:val="0"/>
              <w:spacing w:before="0" w:after="0"/>
              <w:ind w:left="504" w:right="0" w:hanging="144"/>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0"/>
              <w:jc w:val="right"/>
              <w:rPr>
                <w:color w:val="000000"/>
              </w:rPr>
            </w:pPr>
            <w:r>
              <w:rPr>
                <w:color w:val="000000"/>
              </w:rPr>
              <w:t>222</w:t>
            </w:r>
          </w:p>
        </w:tc>
        <w:tc>
          <w:tcPr>
            <w:tcW w:w="37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0"/>
              <w:jc w:val="right"/>
              <w:rPr>
                <w:color w:val="000000"/>
              </w:rPr>
            </w:pPr>
            <w:r>
              <w:rPr>
                <w:color w:val="000000"/>
              </w:rPr>
              <w:t>255</w:t>
            </w:r>
          </w:p>
        </w:tc>
        <w:tc>
          <w:tcPr>
            <w:tcW w:w="360" w:type="dxa"/>
            <w:tcBorders/>
            <w:shd w:fill="CCEEFF" w:val="clear"/>
            <w:vAlign w:val="bottom"/>
          </w:tcPr>
          <w:p>
            <w:pPr>
              <w:pStyle w:val="TableContents"/>
              <w:bidi w:val="0"/>
              <w:spacing w:before="0" w:after="283"/>
              <w:jc w:val="left"/>
              <w:rPr/>
            </w:pPr>
            <w:r>
              <w:rPr/>
              <w:t> </w:t>
            </w:r>
          </w:p>
        </w:tc>
      </w:tr>
      <w:tr>
        <w:trPr/>
        <w:tc>
          <w:tcPr>
            <w:tcW w:w="6488" w:type="dxa"/>
            <w:tcBorders/>
            <w:vAlign w:val="bottom"/>
          </w:tcPr>
          <w:p>
            <w:pPr>
              <w:pStyle w:val="TableContents"/>
              <w:bidi w:val="0"/>
              <w:spacing w:before="0" w:after="0"/>
              <w:ind w:left="288" w:right="0" w:hanging="144"/>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37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w:t>
            </w:r>
          </w:p>
        </w:tc>
        <w:tc>
          <w:tcPr>
            <w:tcW w:w="360" w:type="dxa"/>
            <w:tcBorders/>
            <w:vAlign w:val="bottom"/>
          </w:tcPr>
          <w:p>
            <w:pPr>
              <w:pStyle w:val="TableContents"/>
              <w:bidi w:val="0"/>
              <w:spacing w:before="0" w:after="0"/>
              <w:jc w:val="left"/>
              <w:rPr>
                <w:color w:val="000000"/>
              </w:rPr>
            </w:pPr>
            <w:r>
              <w:rPr>
                <w:color w:val="000000"/>
              </w:rPr>
              <w:t>)</w:t>
            </w:r>
          </w:p>
        </w:tc>
      </w:tr>
      <w:tr>
        <w:trPr/>
        <w:tc>
          <w:tcPr>
            <w:tcW w:w="6488" w:type="dxa"/>
            <w:tcBorders/>
            <w:shd w:fill="CCEEFF" w:val="clear"/>
            <w:vAlign w:val="bottom"/>
          </w:tcPr>
          <w:p>
            <w:pPr>
              <w:pStyle w:val="TableContents"/>
              <w:bidi w:val="0"/>
              <w:spacing w:before="0" w:after="0"/>
              <w:ind w:left="144" w:right="0" w:hanging="144"/>
              <w:jc w:val="left"/>
              <w:rPr>
                <w:color w:val="000000"/>
              </w:rPr>
            </w:pPr>
            <w:r>
              <w:rPr>
                <w:color w:val="000000"/>
              </w:rPr>
              <w:t>Total net charge-offs (recoveries) during the period</w:t>
            </w:r>
          </w:p>
        </w:tc>
        <w:tc>
          <w:tcPr>
            <w:tcW w:w="90" w:type="dxa"/>
            <w:tcBorders/>
            <w:shd w:fill="CCEEFF" w:val="clear"/>
            <w:vAlign w:val="bottom"/>
          </w:tcPr>
          <w:p>
            <w:pPr>
              <w:pStyle w:val="TableContents"/>
              <w:bidi w:val="0"/>
              <w:spacing w:before="0" w:after="283"/>
              <w:jc w:val="lef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9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309</w:t>
            </w:r>
          </w:p>
        </w:tc>
        <w:tc>
          <w:tcPr>
            <w:tcW w:w="37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9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519</w:t>
            </w:r>
          </w:p>
        </w:tc>
        <w:tc>
          <w:tcPr>
            <w:tcW w:w="360" w:type="dxa"/>
            <w:tcBorders/>
            <w:shd w:fill="CCEEFF" w:val="clear"/>
            <w:vAlign w:val="bottom"/>
          </w:tcPr>
          <w:p>
            <w:pPr>
              <w:pStyle w:val="TableContents"/>
              <w:bidi w:val="0"/>
              <w:spacing w:before="0" w:after="283"/>
              <w:jc w:val="left"/>
              <w:rPr/>
            </w:pPr>
            <w:r>
              <w:rPr/>
              <w:t> </w:t>
            </w:r>
          </w:p>
        </w:tc>
      </w:tr>
      <w:tr>
        <w:trPr/>
        <w:tc>
          <w:tcPr>
            <w:tcW w:w="648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 </w:t>
            </w:r>
          </w:p>
        </w:tc>
        <w:tc>
          <w:tcPr>
            <w:tcW w:w="37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 </w:t>
            </w:r>
          </w:p>
        </w:tc>
        <w:tc>
          <w:tcPr>
            <w:tcW w:w="360" w:type="dxa"/>
            <w:tcBorders/>
            <w:vAlign w:val="bottom"/>
          </w:tcPr>
          <w:p>
            <w:pPr>
              <w:pStyle w:val="TableContents"/>
              <w:bidi w:val="0"/>
              <w:spacing w:before="0" w:after="283"/>
              <w:jc w:val="left"/>
              <w:rPr/>
            </w:pPr>
            <w:r>
              <w:rPr/>
              <w:t> </w:t>
            </w:r>
          </w:p>
        </w:tc>
      </w:tr>
      <w:tr>
        <w:trPr/>
        <w:tc>
          <w:tcPr>
            <w:tcW w:w="6488" w:type="dxa"/>
            <w:tcBorders/>
            <w:shd w:fill="CCEEFF" w:val="clear"/>
            <w:vAlign w:val="bottom"/>
          </w:tcPr>
          <w:p>
            <w:pPr>
              <w:pStyle w:val="TableContents"/>
              <w:bidi w:val="0"/>
              <w:spacing w:before="0" w:after="0"/>
              <w:ind w:left="144" w:right="0" w:hanging="144"/>
              <w:jc w:val="left"/>
              <w:rPr>
                <w:color w:val="000000"/>
              </w:rPr>
            </w:pPr>
            <w:r>
              <w:rPr>
                <w:color w:val="000000"/>
              </w:rPr>
              <w:t>Ratio of net charge-offs (recoveries) to average loans during the period</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 </w:t>
            </w:r>
          </w:p>
        </w:tc>
        <w:tc>
          <w:tcPr>
            <w:tcW w:w="37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 </w:t>
            </w:r>
          </w:p>
        </w:tc>
        <w:tc>
          <w:tcPr>
            <w:tcW w:w="360" w:type="dxa"/>
            <w:tcBorders/>
            <w:shd w:fill="CCEEFF" w:val="clear"/>
            <w:vAlign w:val="bottom"/>
          </w:tcPr>
          <w:p>
            <w:pPr>
              <w:pStyle w:val="TableContents"/>
              <w:bidi w:val="0"/>
              <w:spacing w:before="0" w:after="283"/>
              <w:jc w:val="left"/>
              <w:rPr/>
            </w:pPr>
            <w:r>
              <w:rPr/>
              <w:t> </w:t>
            </w:r>
          </w:p>
        </w:tc>
      </w:tr>
      <w:tr>
        <w:trPr/>
        <w:tc>
          <w:tcPr>
            <w:tcW w:w="6488" w:type="dxa"/>
            <w:tcBorders/>
            <w:vAlign w:val="bottom"/>
          </w:tcPr>
          <w:p>
            <w:pPr>
              <w:pStyle w:val="TableContents"/>
              <w:bidi w:val="0"/>
              <w:spacing w:before="0" w:after="0"/>
              <w:ind w:left="288" w:right="0" w:hanging="144"/>
              <w:jc w:val="left"/>
              <w:rPr>
                <w:color w:val="000000"/>
              </w:rPr>
            </w:pPr>
            <w:r>
              <w:rPr>
                <w:color w:val="000000"/>
              </w:rPr>
              <w:t>Commercial real estate</w:t>
            </w:r>
          </w:p>
        </w:tc>
        <w:tc>
          <w:tcPr>
            <w:tcW w:w="9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0"/>
              <w:jc w:val="right"/>
              <w:rPr>
                <w:color w:val="000000"/>
              </w:rPr>
            </w:pPr>
            <w:r>
              <w:rPr>
                <w:color w:val="000000"/>
              </w:rPr>
              <w:t>—</w:t>
            </w:r>
          </w:p>
        </w:tc>
        <w:tc>
          <w:tcPr>
            <w:tcW w:w="370" w:type="dxa"/>
            <w:tcBorders/>
            <w:vAlign w:val="bottom"/>
          </w:tcPr>
          <w:p>
            <w:pPr>
              <w:pStyle w:val="TableContents"/>
              <w:bidi w:val="0"/>
              <w:spacing w:before="0" w:after="0"/>
              <w:jc w:val="left"/>
              <w:rPr>
                <w:color w:val="000000"/>
              </w:rPr>
            </w:pPr>
            <w:r>
              <w:rPr>
                <w:color w:val="000000"/>
              </w:rPr>
              <w:t>%</w:t>
            </w:r>
          </w:p>
        </w:tc>
        <w:tc>
          <w:tcPr>
            <w:tcW w:w="10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0"/>
              <w:jc w:val="right"/>
              <w:rPr>
                <w:color w:val="000000"/>
              </w:rPr>
            </w:pPr>
            <w:r>
              <w:rPr>
                <w:color w:val="000000"/>
              </w:rPr>
              <w:t>—</w:t>
            </w:r>
          </w:p>
        </w:tc>
        <w:tc>
          <w:tcPr>
            <w:tcW w:w="360" w:type="dxa"/>
            <w:tcBorders/>
            <w:vAlign w:val="bottom"/>
          </w:tcPr>
          <w:p>
            <w:pPr>
              <w:pStyle w:val="TableContents"/>
              <w:bidi w:val="0"/>
              <w:spacing w:before="0" w:after="0"/>
              <w:jc w:val="left"/>
              <w:rPr>
                <w:color w:val="000000"/>
              </w:rPr>
            </w:pPr>
            <w:r>
              <w:rPr>
                <w:color w:val="000000"/>
              </w:rPr>
              <w:t>%</w:t>
            </w:r>
          </w:p>
        </w:tc>
      </w:tr>
      <w:tr>
        <w:trPr/>
        <w:tc>
          <w:tcPr>
            <w:tcW w:w="6488" w:type="dxa"/>
            <w:tcBorders/>
            <w:shd w:fill="CCEEFF" w:val="clear"/>
            <w:vAlign w:val="bottom"/>
          </w:tcPr>
          <w:p>
            <w:pPr>
              <w:pStyle w:val="TableContents"/>
              <w:bidi w:val="0"/>
              <w:spacing w:before="0" w:after="0"/>
              <w:ind w:left="288" w:right="0" w:hanging="144"/>
              <w:jc w:val="left"/>
              <w:rPr>
                <w:color w:val="000000"/>
              </w:rPr>
            </w:pPr>
            <w:r>
              <w:rPr>
                <w:color w:val="000000"/>
              </w:rPr>
              <w:t>Commercial – specialized</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0"/>
              <w:jc w:val="right"/>
              <w:rPr>
                <w:color w:val="000000"/>
              </w:rPr>
            </w:pPr>
            <w:r>
              <w:rPr>
                <w:color w:val="000000"/>
              </w:rPr>
              <w:t>(0.01</w:t>
            </w:r>
          </w:p>
        </w:tc>
        <w:tc>
          <w:tcPr>
            <w:tcW w:w="370" w:type="dxa"/>
            <w:tcBorders/>
            <w:shd w:fill="CCEEFF" w:val="clear"/>
            <w:vAlign w:val="bottom"/>
          </w:tcPr>
          <w:p>
            <w:pPr>
              <w:pStyle w:val="TableContents"/>
              <w:bidi w:val="0"/>
              <w:spacing w:before="0" w:after="0"/>
              <w:jc w:val="left"/>
              <w:rPr>
                <w:color w:val="000000"/>
              </w:rPr>
            </w:pPr>
            <w:r>
              <w:rPr>
                <w:color w:val="000000"/>
              </w:rPr>
              <w:t>)%</w:t>
            </w:r>
          </w:p>
        </w:tc>
        <w:tc>
          <w:tcPr>
            <w:tcW w:w="10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0"/>
              <w:jc w:val="right"/>
              <w:rPr>
                <w:color w:val="000000"/>
              </w:rPr>
            </w:pPr>
            <w:r>
              <w:rPr>
                <w:color w:val="000000"/>
              </w:rPr>
              <w:t>(0.01</w:t>
            </w:r>
          </w:p>
        </w:tc>
        <w:tc>
          <w:tcPr>
            <w:tcW w:w="360" w:type="dxa"/>
            <w:tcBorders/>
            <w:shd w:fill="CCEEFF" w:val="clear"/>
            <w:vAlign w:val="bottom"/>
          </w:tcPr>
          <w:p>
            <w:pPr>
              <w:pStyle w:val="TableContents"/>
              <w:bidi w:val="0"/>
              <w:spacing w:before="0" w:after="0"/>
              <w:jc w:val="left"/>
              <w:rPr>
                <w:color w:val="000000"/>
              </w:rPr>
            </w:pPr>
            <w:r>
              <w:rPr>
                <w:color w:val="000000"/>
              </w:rPr>
              <w:t>)%</w:t>
            </w:r>
          </w:p>
        </w:tc>
      </w:tr>
      <w:tr>
        <w:trPr/>
        <w:tc>
          <w:tcPr>
            <w:tcW w:w="6488" w:type="dxa"/>
            <w:tcBorders/>
            <w:vAlign w:val="bottom"/>
          </w:tcPr>
          <w:p>
            <w:pPr>
              <w:pStyle w:val="TableContents"/>
              <w:bidi w:val="0"/>
              <w:spacing w:before="0" w:after="0"/>
              <w:ind w:left="288" w:right="0" w:hanging="144"/>
              <w:jc w:val="left"/>
              <w:rPr>
                <w:color w:val="000000"/>
              </w:rPr>
            </w:pPr>
            <w:r>
              <w:rPr>
                <w:color w:val="000000"/>
              </w:rPr>
              <w:t>Commercial – general</w:t>
            </w:r>
          </w:p>
        </w:tc>
        <w:tc>
          <w:tcPr>
            <w:tcW w:w="9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0"/>
              <w:jc w:val="right"/>
              <w:rPr>
                <w:color w:val="000000"/>
              </w:rPr>
            </w:pPr>
            <w:r>
              <w:rPr>
                <w:color w:val="000000"/>
              </w:rPr>
              <w:t>0.02</w:t>
            </w:r>
          </w:p>
        </w:tc>
        <w:tc>
          <w:tcPr>
            <w:tcW w:w="370" w:type="dxa"/>
            <w:tcBorders/>
            <w:vAlign w:val="bottom"/>
          </w:tcPr>
          <w:p>
            <w:pPr>
              <w:pStyle w:val="TableContents"/>
              <w:bidi w:val="0"/>
              <w:spacing w:before="0" w:after="0"/>
              <w:jc w:val="left"/>
              <w:rPr>
                <w:color w:val="000000"/>
              </w:rPr>
            </w:pPr>
            <w:r>
              <w:rPr>
                <w:color w:val="000000"/>
              </w:rPr>
              <w:t>%</w:t>
            </w:r>
          </w:p>
        </w:tc>
        <w:tc>
          <w:tcPr>
            <w:tcW w:w="10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0"/>
              <w:jc w:val="right"/>
              <w:rPr>
                <w:color w:val="000000"/>
              </w:rPr>
            </w:pPr>
            <w:r>
              <w:rPr>
                <w:color w:val="000000"/>
              </w:rPr>
              <w:t>0.01</w:t>
            </w:r>
          </w:p>
        </w:tc>
        <w:tc>
          <w:tcPr>
            <w:tcW w:w="360" w:type="dxa"/>
            <w:tcBorders/>
            <w:vAlign w:val="bottom"/>
          </w:tcPr>
          <w:p>
            <w:pPr>
              <w:pStyle w:val="TableContents"/>
              <w:bidi w:val="0"/>
              <w:spacing w:before="0" w:after="0"/>
              <w:jc w:val="left"/>
              <w:rPr>
                <w:color w:val="000000"/>
              </w:rPr>
            </w:pPr>
            <w:r>
              <w:rPr>
                <w:color w:val="000000"/>
              </w:rPr>
              <w:t>%</w:t>
            </w:r>
          </w:p>
        </w:tc>
      </w:tr>
      <w:tr>
        <w:trPr/>
        <w:tc>
          <w:tcPr>
            <w:tcW w:w="6488" w:type="dxa"/>
            <w:tcBorders/>
            <w:shd w:fill="CCEEFF" w:val="clear"/>
            <w:vAlign w:val="bottom"/>
          </w:tcPr>
          <w:p>
            <w:pPr>
              <w:pStyle w:val="TableContents"/>
              <w:bidi w:val="0"/>
              <w:spacing w:before="0" w:after="0"/>
              <w:ind w:left="288" w:right="0" w:hanging="144"/>
              <w:jc w:val="left"/>
              <w:rPr>
                <w:color w:val="000000"/>
              </w:rPr>
            </w:pPr>
            <w:r>
              <w:rPr>
                <w:color w:val="000000"/>
              </w:rPr>
              <w:t>Consumer:</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 </w:t>
            </w:r>
          </w:p>
        </w:tc>
        <w:tc>
          <w:tcPr>
            <w:tcW w:w="37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 </w:t>
            </w:r>
          </w:p>
        </w:tc>
        <w:tc>
          <w:tcPr>
            <w:tcW w:w="360" w:type="dxa"/>
            <w:tcBorders/>
            <w:shd w:fill="CCEEFF" w:val="clear"/>
            <w:vAlign w:val="bottom"/>
          </w:tcPr>
          <w:p>
            <w:pPr>
              <w:pStyle w:val="TableContents"/>
              <w:bidi w:val="0"/>
              <w:spacing w:before="0" w:after="283"/>
              <w:jc w:val="left"/>
              <w:rPr/>
            </w:pPr>
            <w:r>
              <w:rPr/>
              <w:t> </w:t>
            </w:r>
          </w:p>
        </w:tc>
      </w:tr>
      <w:tr>
        <w:trPr/>
        <w:tc>
          <w:tcPr>
            <w:tcW w:w="6488" w:type="dxa"/>
            <w:tcBorders/>
            <w:vAlign w:val="bottom"/>
          </w:tcPr>
          <w:p>
            <w:pPr>
              <w:pStyle w:val="TableContents"/>
              <w:bidi w:val="0"/>
              <w:spacing w:before="0" w:after="0"/>
              <w:ind w:left="504" w:right="0" w:hanging="144"/>
              <w:jc w:val="left"/>
              <w:rPr>
                <w:color w:val="000000"/>
              </w:rPr>
            </w:pPr>
            <w:r>
              <w:rPr>
                <w:color w:val="000000"/>
              </w:rPr>
              <w:t>1-4 family residential</w:t>
            </w:r>
          </w:p>
        </w:tc>
        <w:tc>
          <w:tcPr>
            <w:tcW w:w="9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0"/>
              <w:jc w:val="right"/>
              <w:rPr>
                <w:color w:val="000000"/>
              </w:rPr>
            </w:pPr>
            <w:r>
              <w:rPr>
                <w:color w:val="000000"/>
              </w:rPr>
              <w:t>(0.05</w:t>
            </w:r>
          </w:p>
        </w:tc>
        <w:tc>
          <w:tcPr>
            <w:tcW w:w="370" w:type="dxa"/>
            <w:tcBorders/>
            <w:vAlign w:val="bottom"/>
          </w:tcPr>
          <w:p>
            <w:pPr>
              <w:pStyle w:val="TableContents"/>
              <w:bidi w:val="0"/>
              <w:spacing w:before="0" w:after="0"/>
              <w:jc w:val="left"/>
              <w:rPr>
                <w:color w:val="000000"/>
              </w:rPr>
            </w:pPr>
            <w:r>
              <w:rPr>
                <w:color w:val="000000"/>
              </w:rPr>
              <w:t>)%</w:t>
            </w:r>
          </w:p>
        </w:tc>
        <w:tc>
          <w:tcPr>
            <w:tcW w:w="10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0"/>
              <w:jc w:val="right"/>
              <w:rPr>
                <w:color w:val="000000"/>
              </w:rPr>
            </w:pPr>
            <w:r>
              <w:rPr>
                <w:color w:val="000000"/>
              </w:rPr>
              <w:t>—</w:t>
            </w:r>
          </w:p>
        </w:tc>
        <w:tc>
          <w:tcPr>
            <w:tcW w:w="360" w:type="dxa"/>
            <w:tcBorders/>
            <w:vAlign w:val="bottom"/>
          </w:tcPr>
          <w:p>
            <w:pPr>
              <w:pStyle w:val="TableContents"/>
              <w:bidi w:val="0"/>
              <w:spacing w:before="0" w:after="0"/>
              <w:jc w:val="left"/>
              <w:rPr>
                <w:color w:val="000000"/>
              </w:rPr>
            </w:pPr>
            <w:r>
              <w:rPr>
                <w:color w:val="000000"/>
              </w:rPr>
              <w:t>%</w:t>
            </w:r>
          </w:p>
        </w:tc>
      </w:tr>
      <w:tr>
        <w:trPr/>
        <w:tc>
          <w:tcPr>
            <w:tcW w:w="6488" w:type="dxa"/>
            <w:tcBorders/>
            <w:shd w:fill="CCEEFF" w:val="clear"/>
            <w:vAlign w:val="bottom"/>
          </w:tcPr>
          <w:p>
            <w:pPr>
              <w:pStyle w:val="TableContents"/>
              <w:bidi w:val="0"/>
              <w:spacing w:before="0" w:after="0"/>
              <w:ind w:left="504" w:right="0" w:hanging="144"/>
              <w:jc w:val="left"/>
              <w:rPr>
                <w:color w:val="000000"/>
              </w:rPr>
            </w:pPr>
            <w:r>
              <w:rPr>
                <w:color w:val="000000"/>
              </w:rPr>
              <w:t>Auto loans</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0"/>
              <w:jc w:val="right"/>
              <w:rPr>
                <w:color w:val="000000"/>
              </w:rPr>
            </w:pPr>
            <w:r>
              <w:rPr>
                <w:color w:val="000000"/>
              </w:rPr>
              <w:t>0.10</w:t>
            </w:r>
          </w:p>
        </w:tc>
        <w:tc>
          <w:tcPr>
            <w:tcW w:w="370" w:type="dxa"/>
            <w:tcBorders/>
            <w:shd w:fill="CCEEFF" w:val="clear"/>
            <w:vAlign w:val="bottom"/>
          </w:tcPr>
          <w:p>
            <w:pPr>
              <w:pStyle w:val="TableContents"/>
              <w:bidi w:val="0"/>
              <w:spacing w:before="0" w:after="0"/>
              <w:jc w:val="left"/>
              <w:rPr>
                <w:color w:val="000000"/>
              </w:rPr>
            </w:pPr>
            <w:r>
              <w:rPr>
                <w:color w:val="000000"/>
              </w:rPr>
              <w:t>%</w:t>
            </w:r>
          </w:p>
        </w:tc>
        <w:tc>
          <w:tcPr>
            <w:tcW w:w="10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0"/>
              <w:jc w:val="right"/>
              <w:rPr>
                <w:color w:val="000000"/>
              </w:rPr>
            </w:pPr>
            <w:r>
              <w:rPr>
                <w:color w:val="000000"/>
              </w:rPr>
              <w:t>0.10</w:t>
            </w:r>
          </w:p>
        </w:tc>
        <w:tc>
          <w:tcPr>
            <w:tcW w:w="360" w:type="dxa"/>
            <w:tcBorders/>
            <w:shd w:fill="CCEEFF" w:val="clear"/>
            <w:vAlign w:val="bottom"/>
          </w:tcPr>
          <w:p>
            <w:pPr>
              <w:pStyle w:val="TableContents"/>
              <w:bidi w:val="0"/>
              <w:spacing w:before="0" w:after="0"/>
              <w:jc w:val="left"/>
              <w:rPr>
                <w:color w:val="000000"/>
              </w:rPr>
            </w:pPr>
            <w:r>
              <w:rPr>
                <w:color w:val="000000"/>
              </w:rPr>
              <w:t>%</w:t>
            </w:r>
          </w:p>
        </w:tc>
      </w:tr>
      <w:tr>
        <w:trPr/>
        <w:tc>
          <w:tcPr>
            <w:tcW w:w="6488" w:type="dxa"/>
            <w:tcBorders/>
            <w:vAlign w:val="bottom"/>
          </w:tcPr>
          <w:p>
            <w:pPr>
              <w:pStyle w:val="TableContents"/>
              <w:bidi w:val="0"/>
              <w:spacing w:before="0" w:after="0"/>
              <w:ind w:left="504" w:right="0" w:hanging="144"/>
              <w:jc w:val="left"/>
              <w:rPr>
                <w:color w:val="000000"/>
              </w:rPr>
            </w:pPr>
            <w:r>
              <w:rPr>
                <w:color w:val="000000"/>
              </w:rPr>
              <w:t>Other consumer</w:t>
            </w:r>
          </w:p>
        </w:tc>
        <w:tc>
          <w:tcPr>
            <w:tcW w:w="9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0"/>
              <w:jc w:val="right"/>
              <w:rPr>
                <w:color w:val="000000"/>
              </w:rPr>
            </w:pPr>
            <w:r>
              <w:rPr>
                <w:color w:val="000000"/>
              </w:rPr>
              <w:t>0.36</w:t>
            </w:r>
          </w:p>
        </w:tc>
        <w:tc>
          <w:tcPr>
            <w:tcW w:w="370" w:type="dxa"/>
            <w:tcBorders/>
            <w:vAlign w:val="bottom"/>
          </w:tcPr>
          <w:p>
            <w:pPr>
              <w:pStyle w:val="TableContents"/>
              <w:bidi w:val="0"/>
              <w:spacing w:before="0" w:after="0"/>
              <w:jc w:val="left"/>
              <w:rPr>
                <w:color w:val="000000"/>
              </w:rPr>
            </w:pPr>
            <w:r>
              <w:rPr>
                <w:color w:val="000000"/>
              </w:rPr>
              <w:t>%</w:t>
            </w:r>
          </w:p>
        </w:tc>
        <w:tc>
          <w:tcPr>
            <w:tcW w:w="10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0"/>
              <w:jc w:val="right"/>
              <w:rPr>
                <w:color w:val="000000"/>
              </w:rPr>
            </w:pPr>
            <w:r>
              <w:rPr>
                <w:color w:val="000000"/>
              </w:rPr>
              <w:t>0.40</w:t>
            </w:r>
          </w:p>
        </w:tc>
        <w:tc>
          <w:tcPr>
            <w:tcW w:w="360" w:type="dxa"/>
            <w:tcBorders/>
            <w:vAlign w:val="bottom"/>
          </w:tcPr>
          <w:p>
            <w:pPr>
              <w:pStyle w:val="TableContents"/>
              <w:bidi w:val="0"/>
              <w:spacing w:before="0" w:after="0"/>
              <w:jc w:val="left"/>
              <w:rPr>
                <w:color w:val="000000"/>
              </w:rPr>
            </w:pPr>
            <w:r>
              <w:rPr>
                <w:color w:val="000000"/>
              </w:rPr>
              <w:t>%</w:t>
            </w:r>
          </w:p>
        </w:tc>
      </w:tr>
      <w:tr>
        <w:trPr/>
        <w:tc>
          <w:tcPr>
            <w:tcW w:w="6488" w:type="dxa"/>
            <w:tcBorders/>
            <w:shd w:fill="CCEEFF" w:val="clear"/>
            <w:vAlign w:val="bottom"/>
          </w:tcPr>
          <w:p>
            <w:pPr>
              <w:pStyle w:val="TableContents"/>
              <w:bidi w:val="0"/>
              <w:spacing w:before="0" w:after="0"/>
              <w:ind w:left="288" w:right="0" w:hanging="144"/>
              <w:jc w:val="left"/>
              <w:rPr>
                <w:color w:val="000000"/>
              </w:rPr>
            </w:pPr>
            <w:r>
              <w:rPr>
                <w:color w:val="000000"/>
              </w:rPr>
              <w:t>Construction</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0"/>
              <w:jc w:val="right"/>
              <w:rPr>
                <w:color w:val="000000"/>
              </w:rPr>
            </w:pPr>
            <w:r>
              <w:rPr>
                <w:color w:val="000000"/>
              </w:rPr>
              <w:t>—</w:t>
            </w:r>
          </w:p>
        </w:tc>
        <w:tc>
          <w:tcPr>
            <w:tcW w:w="370" w:type="dxa"/>
            <w:tcBorders/>
            <w:shd w:fill="CCEEFF" w:val="clear"/>
            <w:vAlign w:val="bottom"/>
          </w:tcPr>
          <w:p>
            <w:pPr>
              <w:pStyle w:val="TableContents"/>
              <w:bidi w:val="0"/>
              <w:spacing w:before="0" w:after="0"/>
              <w:jc w:val="left"/>
              <w:rPr>
                <w:color w:val="000000"/>
              </w:rPr>
            </w:pPr>
            <w:r>
              <w:rPr>
                <w:color w:val="000000"/>
              </w:rPr>
              <w:t>%</w:t>
            </w:r>
          </w:p>
        </w:tc>
        <w:tc>
          <w:tcPr>
            <w:tcW w:w="10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0"/>
              <w:jc w:val="right"/>
              <w:rPr>
                <w:color w:val="000000"/>
              </w:rPr>
            </w:pPr>
            <w:r>
              <w:rPr>
                <w:color w:val="000000"/>
              </w:rPr>
              <w:t>—</w:t>
            </w:r>
          </w:p>
        </w:tc>
        <w:tc>
          <w:tcPr>
            <w:tcW w:w="360" w:type="dxa"/>
            <w:tcBorders/>
            <w:shd w:fill="CCEEFF" w:val="clear"/>
            <w:vAlign w:val="bottom"/>
          </w:tcPr>
          <w:p>
            <w:pPr>
              <w:pStyle w:val="TableContents"/>
              <w:bidi w:val="0"/>
              <w:spacing w:before="0" w:after="0"/>
              <w:jc w:val="left"/>
              <w:rPr>
                <w:color w:val="000000"/>
              </w:rPr>
            </w:pPr>
            <w:r>
              <w:rPr>
                <w:color w:val="000000"/>
              </w:rPr>
              <w:t>%</w:t>
            </w:r>
          </w:p>
        </w:tc>
      </w:tr>
      <w:tr>
        <w:trPr/>
        <w:tc>
          <w:tcPr>
            <w:tcW w:w="6488" w:type="dxa"/>
            <w:tcBorders/>
            <w:vAlign w:val="bottom"/>
          </w:tcPr>
          <w:p>
            <w:pPr>
              <w:pStyle w:val="TableContents"/>
              <w:bidi w:val="0"/>
              <w:spacing w:before="0" w:after="0"/>
              <w:ind w:left="144" w:right="0" w:hanging="144"/>
              <w:jc w:val="left"/>
              <w:rPr>
                <w:color w:val="000000"/>
              </w:rPr>
            </w:pPr>
            <w:r>
              <w:rPr>
                <w:color w:val="000000"/>
              </w:rPr>
              <w:t>Total ratio of net charge-offs (recoveries) to average loans during the period</w:t>
            </w:r>
          </w:p>
        </w:tc>
        <w:tc>
          <w:tcPr>
            <w:tcW w:w="9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0"/>
              <w:jc w:val="right"/>
              <w:rPr>
                <w:color w:val="000000"/>
              </w:rPr>
            </w:pPr>
            <w:r>
              <w:rPr>
                <w:color w:val="000000"/>
              </w:rPr>
              <w:t>0.01</w:t>
            </w:r>
          </w:p>
        </w:tc>
        <w:tc>
          <w:tcPr>
            <w:tcW w:w="370" w:type="dxa"/>
            <w:tcBorders/>
            <w:vAlign w:val="bottom"/>
          </w:tcPr>
          <w:p>
            <w:pPr>
              <w:pStyle w:val="TableContents"/>
              <w:bidi w:val="0"/>
              <w:spacing w:before="0" w:after="0"/>
              <w:jc w:val="left"/>
              <w:rPr>
                <w:color w:val="000000"/>
              </w:rPr>
            </w:pPr>
            <w:r>
              <w:rPr>
                <w:color w:val="000000"/>
              </w:rPr>
              <w:t>%</w:t>
            </w:r>
          </w:p>
        </w:tc>
        <w:tc>
          <w:tcPr>
            <w:tcW w:w="10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0"/>
              <w:jc w:val="right"/>
              <w:rPr>
                <w:color w:val="000000"/>
              </w:rPr>
            </w:pPr>
            <w:r>
              <w:rPr>
                <w:color w:val="000000"/>
              </w:rPr>
              <w:t>0.02</w:t>
            </w:r>
          </w:p>
        </w:tc>
        <w:tc>
          <w:tcPr>
            <w:tcW w:w="360"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center"/>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provides other loan data as of the dates indicated.</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219" w:name="z3f4d2d211dc6461983021ba55ddfdccd"/>
      <w:bookmarkStart w:id="220" w:name="z3f4d2d211dc6461983021ba55ddfdccd"/>
      <w:bookmarkEnd w:id="220"/>
    </w:p>
    <w:tbl>
      <w:tblPr>
        <w:tblW w:w="8954" w:type="dxa"/>
        <w:jc w:val="center"/>
        <w:tblInd w:w="0" w:type="dxa"/>
        <w:tblLayout w:type="fixed"/>
        <w:tblCellMar>
          <w:top w:w="0" w:type="dxa"/>
          <w:left w:w="0" w:type="dxa"/>
          <w:bottom w:w="0" w:type="dxa"/>
          <w:right w:w="0" w:type="dxa"/>
        </w:tblCellMar>
      </w:tblPr>
      <w:tblGrid>
        <w:gridCol w:w="5615"/>
        <w:gridCol w:w="90"/>
        <w:gridCol w:w="170"/>
        <w:gridCol w:w="1010"/>
        <w:gridCol w:w="245"/>
        <w:gridCol w:w="90"/>
        <w:gridCol w:w="208"/>
        <w:gridCol w:w="1236"/>
        <w:gridCol w:w="290"/>
      </w:tblGrid>
      <w:tr>
        <w:trPr/>
        <w:tc>
          <w:tcPr>
            <w:tcW w:w="56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0"/>
              <w:jc w:val="center"/>
              <w:rPr>
                <w:b/>
                <w:color w:val="000000"/>
              </w:rPr>
            </w:pPr>
            <w:r>
              <w:rPr>
                <w:b/>
                <w:color w:val="000000"/>
              </w:rPr>
              <w:t>March 31,</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44" w:type="dxa"/>
            <w:gridSpan w:val="2"/>
            <w:tcBorders/>
            <w:vAlign w:val="bottom"/>
          </w:tcPr>
          <w:p>
            <w:pPr>
              <w:pStyle w:val="TableContents"/>
              <w:bidi w:val="0"/>
              <w:spacing w:before="0" w:after="0"/>
              <w:jc w:val="center"/>
              <w:rPr>
                <w:b/>
                <w:color w:val="000000"/>
              </w:rPr>
            </w:pPr>
            <w:r>
              <w:rPr>
                <w:b/>
                <w:color w:val="000000"/>
              </w:rPr>
              <w:t>December 31,</w:t>
            </w:r>
          </w:p>
        </w:tc>
        <w:tc>
          <w:tcPr>
            <w:tcW w:w="290" w:type="dxa"/>
            <w:tcBorders/>
            <w:vAlign w:val="bottom"/>
          </w:tcPr>
          <w:p>
            <w:pPr>
              <w:pStyle w:val="TableContents"/>
              <w:bidi w:val="0"/>
              <w:spacing w:before="0" w:after="283"/>
              <w:jc w:val="left"/>
              <w:rPr/>
            </w:pPr>
            <w:r>
              <w:rPr/>
              <w:t> </w:t>
            </w:r>
          </w:p>
        </w:tc>
      </w:tr>
      <w:tr>
        <w:trPr/>
        <w:tc>
          <w:tcPr>
            <w:tcW w:w="56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290" w:type="dxa"/>
            <w:tcBorders/>
            <w:vAlign w:val="bottom"/>
          </w:tcPr>
          <w:p>
            <w:pPr>
              <w:pStyle w:val="TableContents"/>
              <w:bidi w:val="0"/>
              <w:spacing w:before="0" w:after="283"/>
              <w:jc w:val="left"/>
              <w:rPr/>
            </w:pPr>
            <w:r>
              <w:rPr/>
              <w:t> </w:t>
            </w:r>
          </w:p>
        </w:tc>
      </w:tr>
      <w:tr>
        <w:trPr/>
        <w:tc>
          <w:tcPr>
            <w:tcW w:w="56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59" w:type="dxa"/>
            <w:gridSpan w:val="6"/>
            <w:tcBorders/>
            <w:vAlign w:val="bottom"/>
          </w:tcPr>
          <w:p>
            <w:pPr>
              <w:pStyle w:val="TableContents"/>
              <w:bidi w:val="0"/>
              <w:spacing w:before="0" w:after="0"/>
              <w:jc w:val="center"/>
              <w:rPr>
                <w:b/>
                <w:color w:val="000000"/>
              </w:rPr>
            </w:pPr>
            <w:r>
              <w:rPr>
                <w:b/>
                <w:color w:val="000000"/>
              </w:rPr>
              <w:t>(Dollars in thousands)</w:t>
            </w:r>
          </w:p>
        </w:tc>
        <w:tc>
          <w:tcPr>
            <w:tcW w:w="290" w:type="dxa"/>
            <w:tcBorders/>
            <w:vAlign w:val="bottom"/>
          </w:tcPr>
          <w:p>
            <w:pPr>
              <w:pStyle w:val="TableContents"/>
              <w:bidi w:val="0"/>
              <w:spacing w:before="0" w:after="283"/>
              <w:jc w:val="left"/>
              <w:rPr/>
            </w:pPr>
            <w:r>
              <w:rPr/>
              <w:t> </w:t>
            </w:r>
          </w:p>
        </w:tc>
      </w:tr>
      <w:tr>
        <w:trPr/>
        <w:tc>
          <w:tcPr>
            <w:tcW w:w="56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44"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r>
      <w:tr>
        <w:trPr/>
        <w:tc>
          <w:tcPr>
            <w:tcW w:w="5615" w:type="dxa"/>
            <w:tcBorders/>
            <w:shd w:fill="CCEEFF" w:val="clear"/>
            <w:vAlign w:val="bottom"/>
          </w:tcPr>
          <w:p>
            <w:pPr>
              <w:pStyle w:val="TableContents"/>
              <w:bidi w:val="0"/>
              <w:spacing w:before="0" w:after="0"/>
              <w:ind w:left="144" w:right="0" w:hanging="144"/>
              <w:jc w:val="left"/>
              <w:rPr>
                <w:color w:val="000000"/>
              </w:rPr>
            </w:pPr>
            <w:r>
              <w:rPr>
                <w:color w:val="000000"/>
              </w:rPr>
              <w:t>Total loans held for investment outstanding</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3,103,529</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0"/>
              <w:jc w:val="left"/>
              <w:rPr>
                <w:color w:val="000000"/>
              </w:rPr>
            </w:pPr>
            <w:r>
              <w:rPr>
                <w:color w:val="000000"/>
              </w:rPr>
              <w:t>$</w:t>
            </w:r>
          </w:p>
        </w:tc>
        <w:tc>
          <w:tcPr>
            <w:tcW w:w="1236" w:type="dxa"/>
            <w:tcBorders/>
            <w:shd w:fill="CCEEFF" w:val="clear"/>
            <w:vAlign w:val="bottom"/>
          </w:tcPr>
          <w:p>
            <w:pPr>
              <w:pStyle w:val="TableContents"/>
              <w:bidi w:val="0"/>
              <w:spacing w:before="0" w:after="0"/>
              <w:jc w:val="right"/>
              <w:rPr>
                <w:color w:val="000000"/>
              </w:rPr>
            </w:pPr>
            <w:r>
              <w:rPr>
                <w:color w:val="000000"/>
              </w:rPr>
              <w:t>3,144,502</w:t>
            </w:r>
          </w:p>
        </w:tc>
        <w:tc>
          <w:tcPr>
            <w:tcW w:w="290" w:type="dxa"/>
            <w:tcBorders/>
            <w:shd w:fill="CCEEFF" w:val="clear"/>
            <w:vAlign w:val="bottom"/>
          </w:tcPr>
          <w:p>
            <w:pPr>
              <w:pStyle w:val="TableContents"/>
              <w:bidi w:val="0"/>
              <w:spacing w:before="0" w:after="283"/>
              <w:jc w:val="left"/>
              <w:rPr/>
            </w:pPr>
            <w:r>
              <w:rPr/>
              <w:t> </w:t>
            </w:r>
          </w:p>
        </w:tc>
      </w:tr>
      <w:tr>
        <w:trPr/>
        <w:tc>
          <w:tcPr>
            <w:tcW w:w="5615" w:type="dxa"/>
            <w:tcBorders/>
            <w:vAlign w:val="bottom"/>
          </w:tcPr>
          <w:p>
            <w:pPr>
              <w:pStyle w:val="TableContents"/>
              <w:bidi w:val="0"/>
              <w:spacing w:before="0" w:after="0"/>
              <w:ind w:left="144" w:right="0" w:hanging="144"/>
              <w:jc w:val="left"/>
              <w:rPr>
                <w:color w:val="000000"/>
              </w:rPr>
            </w:pPr>
            <w:r>
              <w:rPr>
                <w:color w:val="000000"/>
              </w:rPr>
              <w:t>Nonaccrual loans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1010" w:type="dxa"/>
            <w:tcBorders/>
            <w:vAlign w:val="bottom"/>
          </w:tcPr>
          <w:p>
            <w:pPr>
              <w:pStyle w:val="TableContents"/>
              <w:bidi w:val="0"/>
              <w:spacing w:before="0" w:after="0"/>
              <w:jc w:val="right"/>
              <w:rPr>
                <w:color w:val="000000"/>
              </w:rPr>
            </w:pPr>
            <w:r>
              <w:rPr>
                <w:color w:val="000000"/>
              </w:rPr>
              <w:t>3,680</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0"/>
              <w:jc w:val="left"/>
              <w:rPr>
                <w:color w:val="000000"/>
              </w:rPr>
            </w:pPr>
            <w:r>
              <w:rPr>
                <w:color w:val="000000"/>
              </w:rPr>
              <w:t>$</w:t>
            </w:r>
          </w:p>
        </w:tc>
        <w:tc>
          <w:tcPr>
            <w:tcW w:w="1236" w:type="dxa"/>
            <w:tcBorders/>
            <w:vAlign w:val="bottom"/>
          </w:tcPr>
          <w:p>
            <w:pPr>
              <w:pStyle w:val="TableContents"/>
              <w:bidi w:val="0"/>
              <w:spacing w:before="0" w:after="0"/>
              <w:jc w:val="right"/>
              <w:rPr>
                <w:color w:val="000000"/>
              </w:rPr>
            </w:pPr>
            <w:r>
              <w:rPr>
                <w:color w:val="000000"/>
              </w:rPr>
              <w:t>7,070</w:t>
            </w:r>
          </w:p>
        </w:tc>
        <w:tc>
          <w:tcPr>
            <w:tcW w:w="290" w:type="dxa"/>
            <w:tcBorders/>
            <w:vAlign w:val="bottom"/>
          </w:tcPr>
          <w:p>
            <w:pPr>
              <w:pStyle w:val="TableContents"/>
              <w:bidi w:val="0"/>
              <w:spacing w:before="0" w:after="283"/>
              <w:jc w:val="left"/>
              <w:rPr/>
            </w:pPr>
            <w:r>
              <w:rPr/>
              <w:t> </w:t>
            </w:r>
          </w:p>
        </w:tc>
      </w:tr>
      <w:tr>
        <w:trPr/>
        <w:tc>
          <w:tcPr>
            <w:tcW w:w="5615" w:type="dxa"/>
            <w:tcBorders/>
            <w:shd w:fill="CCEEFF" w:val="clear"/>
            <w:vAlign w:val="bottom"/>
          </w:tcPr>
          <w:p>
            <w:pPr>
              <w:pStyle w:val="TableContents"/>
              <w:bidi w:val="0"/>
              <w:spacing w:before="0" w:after="0"/>
              <w:ind w:left="144" w:right="0" w:hanging="144"/>
              <w:jc w:val="left"/>
              <w:rPr>
                <w:color w:val="000000"/>
              </w:rPr>
            </w:pPr>
            <w:r>
              <w:rPr>
                <w:color w:val="000000"/>
              </w:rPr>
              <w:t>Allowance for credit losses on loans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44,822</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0"/>
              <w:jc w:val="left"/>
              <w:rPr>
                <w:color w:val="000000"/>
              </w:rPr>
            </w:pPr>
            <w:r>
              <w:rPr>
                <w:color w:val="000000"/>
              </w:rPr>
              <w:t>$</w:t>
            </w:r>
          </w:p>
        </w:tc>
        <w:tc>
          <w:tcPr>
            <w:tcW w:w="1236" w:type="dxa"/>
            <w:tcBorders/>
            <w:shd w:fill="CCEEFF" w:val="clear"/>
            <w:vAlign w:val="bottom"/>
          </w:tcPr>
          <w:p>
            <w:pPr>
              <w:pStyle w:val="TableContents"/>
              <w:bidi w:val="0"/>
              <w:spacing w:before="0" w:after="0"/>
              <w:jc w:val="right"/>
              <w:rPr>
                <w:color w:val="000000"/>
              </w:rPr>
            </w:pPr>
            <w:r>
              <w:rPr>
                <w:color w:val="000000"/>
              </w:rPr>
              <w:t>45,131</w:t>
            </w:r>
          </w:p>
        </w:tc>
        <w:tc>
          <w:tcPr>
            <w:tcW w:w="290" w:type="dxa"/>
            <w:tcBorders/>
            <w:shd w:fill="CCEEFF" w:val="clear"/>
            <w:vAlign w:val="bottom"/>
          </w:tcPr>
          <w:p>
            <w:pPr>
              <w:pStyle w:val="TableContents"/>
              <w:bidi w:val="0"/>
              <w:spacing w:before="0" w:after="283"/>
              <w:jc w:val="left"/>
              <w:rPr/>
            </w:pPr>
            <w:r>
              <w:rPr/>
              <w:t> </w:t>
            </w:r>
          </w:p>
        </w:tc>
      </w:tr>
      <w:tr>
        <w:trPr/>
        <w:tc>
          <w:tcPr>
            <w:tcW w:w="5615" w:type="dxa"/>
            <w:tcBorders/>
            <w:vAlign w:val="bottom"/>
          </w:tcPr>
          <w:p>
            <w:pPr>
              <w:pStyle w:val="TableContents"/>
              <w:bidi w:val="0"/>
              <w:spacing w:before="0" w:after="0"/>
              <w:ind w:left="144" w:right="0" w:hanging="144"/>
              <w:jc w:val="left"/>
              <w:rPr>
                <w:color w:val="000000"/>
              </w:rPr>
            </w:pPr>
            <w:r>
              <w:rPr>
                <w:color w:val="000000"/>
              </w:rPr>
              <w:t>Ratio of allowance to total loans held for investment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1.44</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0"/>
              <w:jc w:val="right"/>
              <w:rPr>
                <w:color w:val="000000"/>
              </w:rPr>
            </w:pPr>
            <w:r>
              <w:rPr>
                <w:color w:val="000000"/>
              </w:rPr>
              <w:t>1.44</w:t>
            </w:r>
          </w:p>
        </w:tc>
        <w:tc>
          <w:tcPr>
            <w:tcW w:w="290" w:type="dxa"/>
            <w:tcBorders/>
            <w:vAlign w:val="bottom"/>
          </w:tcPr>
          <w:p>
            <w:pPr>
              <w:pStyle w:val="TableContents"/>
              <w:bidi w:val="0"/>
              <w:spacing w:before="0" w:after="0"/>
              <w:jc w:val="left"/>
              <w:rPr>
                <w:color w:val="000000"/>
              </w:rPr>
            </w:pPr>
            <w:r>
              <w:rPr>
                <w:color w:val="000000"/>
              </w:rPr>
              <w:t>%</w:t>
            </w:r>
          </w:p>
        </w:tc>
      </w:tr>
      <w:tr>
        <w:trPr/>
        <w:tc>
          <w:tcPr>
            <w:tcW w:w="5615" w:type="dxa"/>
            <w:tcBorders/>
            <w:shd w:fill="CCEEFF" w:val="clear"/>
            <w:vAlign w:val="bottom"/>
          </w:tcPr>
          <w:p>
            <w:pPr>
              <w:pStyle w:val="TableContents"/>
              <w:bidi w:val="0"/>
              <w:spacing w:before="0" w:after="0"/>
              <w:ind w:left="144" w:right="0" w:hanging="144"/>
              <w:jc w:val="left"/>
              <w:rPr>
                <w:color w:val="000000"/>
              </w:rPr>
            </w:pPr>
            <w:r>
              <w:rPr>
                <w:color w:val="000000"/>
              </w:rPr>
              <w:t>Ratio of allowance to nonaccrual loans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1,217.99</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0"/>
              <w:jc w:val="right"/>
              <w:rPr>
                <w:color w:val="000000"/>
              </w:rPr>
            </w:pPr>
            <w:r>
              <w:rPr>
                <w:color w:val="000000"/>
              </w:rPr>
              <w:t>638.35</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5615" w:type="dxa"/>
            <w:tcBorders/>
            <w:vAlign w:val="bottom"/>
          </w:tcPr>
          <w:p>
            <w:pPr>
              <w:pStyle w:val="TableContents"/>
              <w:bidi w:val="0"/>
              <w:spacing w:before="0" w:after="0"/>
              <w:ind w:left="144" w:right="0" w:hanging="144"/>
              <w:jc w:val="left"/>
              <w:rPr>
                <w:color w:val="000000"/>
              </w:rPr>
            </w:pPr>
            <w:r>
              <w:rPr>
                <w:color w:val="000000"/>
              </w:rPr>
              <w:t>Ratio of nonaccrual loans to total loans held for investment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0.12</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0"/>
              <w:jc w:val="right"/>
              <w:rPr>
                <w:color w:val="000000"/>
              </w:rPr>
            </w:pPr>
            <w:r>
              <w:rPr>
                <w:color w:val="000000"/>
              </w:rPr>
              <w:t>0.22</w:t>
            </w:r>
          </w:p>
        </w:tc>
        <w:tc>
          <w:tcPr>
            <w:tcW w:w="290"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charge-offs totaled $309 thousand and were 0.04% (annualized) of average loans outstanding for the three months ended March 31, 2026, compared to $519 thousand and 0.07% (annualized) for the three months ended March 31, 2025. The decrease in net charge-offs in the first quarter of 2026 was primarily the result of a $283 thousand recovery on a 1-4 family residential loan in the first quarter of 2026. The ACL for loans as a percentage of loans held for investment was 1.44% at March 31, 2026 and 1.44% at December 31, 2025.</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36</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While the entire ACL for loans is available to absorb losses from any part of our loan portfolio, the following table sets forth the allocation of the ACL for loans for the periods presented and the percentage of allowance in each classification to total allowance:</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221" w:name="z415026f15c394f8cba65502c2a028d0a"/>
      <w:bookmarkStart w:id="222" w:name="z415026f15c394f8cba65502c2a028d0a"/>
      <w:bookmarkEnd w:id="222"/>
    </w:p>
    <w:tbl>
      <w:tblPr>
        <w:tblW w:w="8389" w:type="dxa"/>
        <w:jc w:val="center"/>
        <w:tblInd w:w="0" w:type="dxa"/>
        <w:tblLayout w:type="fixed"/>
        <w:tblCellMar>
          <w:top w:w="0" w:type="dxa"/>
          <w:left w:w="0" w:type="dxa"/>
          <w:bottom w:w="0" w:type="dxa"/>
          <w:right w:w="0" w:type="dxa"/>
        </w:tblCellMar>
      </w:tblPr>
      <w:tblGrid>
        <w:gridCol w:w="3110"/>
        <w:gridCol w:w="90"/>
        <w:gridCol w:w="171"/>
        <w:gridCol w:w="719"/>
        <w:gridCol w:w="90"/>
        <w:gridCol w:w="90"/>
        <w:gridCol w:w="151"/>
        <w:gridCol w:w="993"/>
        <w:gridCol w:w="245"/>
        <w:gridCol w:w="90"/>
        <w:gridCol w:w="193"/>
        <w:gridCol w:w="809"/>
        <w:gridCol w:w="102"/>
        <w:gridCol w:w="102"/>
        <w:gridCol w:w="150"/>
        <w:gridCol w:w="994"/>
        <w:gridCol w:w="290"/>
      </w:tblGrid>
      <w:tr>
        <w:trPr/>
        <w:tc>
          <w:tcPr>
            <w:tcW w:w="3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14"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March 31, 2026</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2025</w:t>
            </w:r>
          </w:p>
        </w:tc>
        <w:tc>
          <w:tcPr>
            <w:tcW w:w="290" w:type="dxa"/>
            <w:tcBorders/>
            <w:vAlign w:val="bottom"/>
          </w:tcPr>
          <w:p>
            <w:pPr>
              <w:pStyle w:val="TableContents"/>
              <w:bidi w:val="0"/>
              <w:spacing w:before="0" w:after="283"/>
              <w:jc w:val="left"/>
              <w:rPr/>
            </w:pPr>
            <w:r>
              <w:rPr/>
              <w:t> </w:t>
            </w:r>
          </w:p>
        </w:tc>
      </w:tr>
      <w:tr>
        <w:trPr/>
        <w:tc>
          <w:tcPr>
            <w:tcW w:w="3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of Total</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10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of Total</w:t>
            </w:r>
          </w:p>
        </w:tc>
        <w:tc>
          <w:tcPr>
            <w:tcW w:w="290" w:type="dxa"/>
            <w:tcBorders/>
            <w:vAlign w:val="bottom"/>
          </w:tcPr>
          <w:p>
            <w:pPr>
              <w:pStyle w:val="TableContents"/>
              <w:bidi w:val="0"/>
              <w:spacing w:before="0" w:after="283"/>
              <w:jc w:val="left"/>
              <w:rPr/>
            </w:pPr>
            <w:r>
              <w:rPr/>
              <w:t> </w:t>
            </w:r>
          </w:p>
        </w:tc>
      </w:tr>
      <w:tr>
        <w:trPr/>
        <w:tc>
          <w:tcPr>
            <w:tcW w:w="3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899" w:type="dxa"/>
            <w:gridSpan w:val="14"/>
            <w:tcBorders/>
            <w:vAlign w:val="bottom"/>
          </w:tcPr>
          <w:p>
            <w:pPr>
              <w:pStyle w:val="TableContents"/>
              <w:bidi w:val="0"/>
              <w:spacing w:before="0" w:after="0"/>
              <w:jc w:val="center"/>
              <w:rPr>
                <w:b/>
                <w:color w:val="000000"/>
              </w:rPr>
            </w:pPr>
            <w:r>
              <w:rPr>
                <w:b/>
                <w:color w:val="000000"/>
              </w:rPr>
              <w:t>(Dollars in thousands)</w:t>
            </w:r>
          </w:p>
        </w:tc>
        <w:tc>
          <w:tcPr>
            <w:tcW w:w="290" w:type="dxa"/>
            <w:tcBorders/>
            <w:vAlign w:val="bottom"/>
          </w:tcPr>
          <w:p>
            <w:pPr>
              <w:pStyle w:val="TableContents"/>
              <w:bidi w:val="0"/>
              <w:spacing w:before="0" w:after="283"/>
              <w:jc w:val="left"/>
              <w:rPr/>
            </w:pPr>
            <w:r>
              <w:rPr/>
              <w:t> </w:t>
            </w:r>
          </w:p>
        </w:tc>
      </w:tr>
      <w:tr>
        <w:trPr/>
        <w:tc>
          <w:tcPr>
            <w:tcW w:w="3110" w:type="dxa"/>
            <w:tcBorders/>
            <w:shd w:fill="CCEEFF" w:val="clear"/>
            <w:vAlign w:val="bottom"/>
          </w:tcPr>
          <w:p>
            <w:pPr>
              <w:pStyle w:val="TableContents"/>
              <w:bidi w:val="0"/>
              <w:spacing w:before="0" w:after="0"/>
              <w:ind w:left="144" w:right="0" w:hanging="144"/>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pPr>
            <w:r>
              <w:rPr/>
              <w:t>$</w:t>
            </w:r>
          </w:p>
        </w:tc>
        <w:tc>
          <w:tcPr>
            <w:tcW w:w="719" w:type="dxa"/>
            <w:tcBorders/>
            <w:shd w:fill="CCEEFF" w:val="clear"/>
            <w:vAlign w:val="bottom"/>
          </w:tcPr>
          <w:p>
            <w:pPr>
              <w:pStyle w:val="TableContents"/>
              <w:bidi w:val="0"/>
              <w:spacing w:before="0" w:after="0"/>
              <w:jc w:val="right"/>
              <w:rPr/>
            </w:pPr>
            <w:r>
              <w:rPr/>
              <w:t>15,017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pPr>
            <w:r>
              <w:rPr/>
              <w:t>33.5</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0"/>
              <w:jc w:val="left"/>
              <w:rPr/>
            </w:pPr>
            <w:r>
              <w:rPr/>
              <w:t>$</w:t>
            </w:r>
          </w:p>
        </w:tc>
        <w:tc>
          <w:tcPr>
            <w:tcW w:w="809" w:type="dxa"/>
            <w:tcBorders/>
            <w:shd w:fill="CCEEFF" w:val="clear"/>
            <w:vAlign w:val="bottom"/>
          </w:tcPr>
          <w:p>
            <w:pPr>
              <w:pStyle w:val="TableContents"/>
              <w:bidi w:val="0"/>
              <w:spacing w:before="0" w:after="0"/>
              <w:jc w:val="right"/>
              <w:rPr/>
            </w:pPr>
            <w:r>
              <w:rPr/>
              <w:t>15,214</w:t>
            </w:r>
          </w:p>
        </w:tc>
        <w:tc>
          <w:tcPr>
            <w:tcW w:w="10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0"/>
              <w:jc w:val="right"/>
              <w:rPr/>
            </w:pPr>
            <w:r>
              <w:rPr/>
              <w:t>33.8</w:t>
            </w:r>
          </w:p>
        </w:tc>
        <w:tc>
          <w:tcPr>
            <w:tcW w:w="290" w:type="dxa"/>
            <w:tcBorders/>
            <w:shd w:fill="CCEEFF" w:val="clear"/>
            <w:vAlign w:val="bottom"/>
          </w:tcPr>
          <w:p>
            <w:pPr>
              <w:pStyle w:val="TableContents"/>
              <w:bidi w:val="0"/>
              <w:spacing w:before="0" w:after="0"/>
              <w:jc w:val="left"/>
              <w:rPr/>
            </w:pPr>
            <w:r>
              <w:rPr/>
              <w:t>%</w:t>
            </w:r>
          </w:p>
        </w:tc>
      </w:tr>
      <w:tr>
        <w:trPr/>
        <w:tc>
          <w:tcPr>
            <w:tcW w:w="3110" w:type="dxa"/>
            <w:tcBorders/>
            <w:vAlign w:val="bottom"/>
          </w:tcPr>
          <w:p>
            <w:pPr>
              <w:pStyle w:val="TableContents"/>
              <w:bidi w:val="0"/>
              <w:spacing w:before="0" w:after="0"/>
              <w:ind w:left="144" w:right="0" w:hanging="144"/>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pPr>
            <w:r>
              <w:rPr/>
              <w:t>5,351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pPr>
            <w:r>
              <w:rPr/>
              <w:t>11.9</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0"/>
              <w:jc w:val="right"/>
              <w:rPr/>
            </w:pPr>
            <w:r>
              <w:rPr/>
              <w:t>5,231</w:t>
            </w:r>
          </w:p>
        </w:tc>
        <w:tc>
          <w:tcPr>
            <w:tcW w:w="10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0"/>
              <w:jc w:val="right"/>
              <w:rPr/>
            </w:pPr>
            <w:r>
              <w:rPr/>
              <w:t>11.6</w:t>
            </w:r>
          </w:p>
        </w:tc>
        <w:tc>
          <w:tcPr>
            <w:tcW w:w="290" w:type="dxa"/>
            <w:tcBorders/>
            <w:vAlign w:val="bottom"/>
          </w:tcPr>
          <w:p>
            <w:pPr>
              <w:pStyle w:val="TableContents"/>
              <w:bidi w:val="0"/>
              <w:spacing w:before="0" w:after="0"/>
              <w:jc w:val="left"/>
              <w:rPr/>
            </w:pPr>
            <w:r>
              <w:rPr/>
              <w:t>%</w:t>
            </w:r>
          </w:p>
        </w:tc>
      </w:tr>
      <w:tr>
        <w:trPr/>
        <w:tc>
          <w:tcPr>
            <w:tcW w:w="3110" w:type="dxa"/>
            <w:tcBorders/>
            <w:shd w:fill="CCEEFF" w:val="clear"/>
            <w:vAlign w:val="bottom"/>
          </w:tcPr>
          <w:p>
            <w:pPr>
              <w:pStyle w:val="TableContents"/>
              <w:bidi w:val="0"/>
              <w:spacing w:before="0" w:after="0"/>
              <w:ind w:left="144" w:right="0" w:hanging="144"/>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pPr>
            <w:r>
              <w:rPr/>
              <w:t>7,384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pPr>
            <w:r>
              <w:rPr/>
              <w:t>16.5</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0"/>
              <w:jc w:val="right"/>
              <w:rPr/>
            </w:pPr>
            <w:r>
              <w:rPr/>
              <w:t>7,448</w:t>
            </w:r>
          </w:p>
        </w:tc>
        <w:tc>
          <w:tcPr>
            <w:tcW w:w="10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0"/>
              <w:jc w:val="right"/>
              <w:rPr/>
            </w:pPr>
            <w:r>
              <w:rPr/>
              <w:t>16.5</w:t>
            </w:r>
          </w:p>
        </w:tc>
        <w:tc>
          <w:tcPr>
            <w:tcW w:w="290" w:type="dxa"/>
            <w:tcBorders/>
            <w:shd w:fill="CCEEFF" w:val="clear"/>
            <w:vAlign w:val="bottom"/>
          </w:tcPr>
          <w:p>
            <w:pPr>
              <w:pStyle w:val="TableContents"/>
              <w:bidi w:val="0"/>
              <w:spacing w:before="0" w:after="0"/>
              <w:jc w:val="left"/>
              <w:rPr/>
            </w:pPr>
            <w:r>
              <w:rPr/>
              <w:t>%</w:t>
            </w:r>
          </w:p>
        </w:tc>
      </w:tr>
      <w:tr>
        <w:trPr/>
        <w:tc>
          <w:tcPr>
            <w:tcW w:w="3110" w:type="dxa"/>
            <w:tcBorders/>
            <w:vAlign w:val="bottom"/>
          </w:tcPr>
          <w:p>
            <w:pPr>
              <w:pStyle w:val="TableContents"/>
              <w:bidi w:val="0"/>
              <w:spacing w:before="0" w:after="0"/>
              <w:ind w:left="144" w:right="0" w:hanging="144"/>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10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r>
      <w:tr>
        <w:trPr/>
        <w:tc>
          <w:tcPr>
            <w:tcW w:w="3110" w:type="dxa"/>
            <w:tcBorders/>
            <w:shd w:fill="CCEEFF" w:val="clear"/>
            <w:vAlign w:val="bottom"/>
          </w:tcPr>
          <w:p>
            <w:pPr>
              <w:pStyle w:val="TableContents"/>
              <w:bidi w:val="0"/>
              <w:spacing w:before="0" w:after="0"/>
              <w:ind w:left="288" w:right="0" w:hanging="144"/>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pPr>
            <w:r>
              <w:rPr/>
              <w:t>10,803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pPr>
            <w:r>
              <w:rPr/>
              <w:t>24.0</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0"/>
              <w:jc w:val="right"/>
              <w:rPr/>
            </w:pPr>
            <w:r>
              <w:rPr/>
              <w:t>11,103</w:t>
            </w:r>
          </w:p>
        </w:tc>
        <w:tc>
          <w:tcPr>
            <w:tcW w:w="10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0"/>
              <w:jc w:val="right"/>
              <w:rPr/>
            </w:pPr>
            <w:r>
              <w:rPr/>
              <w:t>24.6</w:t>
            </w:r>
          </w:p>
        </w:tc>
        <w:tc>
          <w:tcPr>
            <w:tcW w:w="290" w:type="dxa"/>
            <w:tcBorders/>
            <w:shd w:fill="CCEEFF" w:val="clear"/>
            <w:vAlign w:val="bottom"/>
          </w:tcPr>
          <w:p>
            <w:pPr>
              <w:pStyle w:val="TableContents"/>
              <w:bidi w:val="0"/>
              <w:spacing w:before="0" w:after="0"/>
              <w:jc w:val="left"/>
              <w:rPr/>
            </w:pPr>
            <w:r>
              <w:rPr/>
              <w:t>%</w:t>
            </w:r>
          </w:p>
        </w:tc>
      </w:tr>
      <w:tr>
        <w:trPr/>
        <w:tc>
          <w:tcPr>
            <w:tcW w:w="3110" w:type="dxa"/>
            <w:tcBorders/>
            <w:vAlign w:val="bottom"/>
          </w:tcPr>
          <w:p>
            <w:pPr>
              <w:pStyle w:val="TableContents"/>
              <w:bidi w:val="0"/>
              <w:spacing w:before="0" w:after="0"/>
              <w:ind w:left="288" w:right="0" w:hanging="144"/>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pPr>
            <w:r>
              <w:rPr/>
              <w:t>3,298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pPr>
            <w:r>
              <w:rPr/>
              <w:t>7.4</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0"/>
              <w:jc w:val="right"/>
              <w:rPr/>
            </w:pPr>
            <w:r>
              <w:rPr/>
              <w:t>3,033</w:t>
            </w:r>
          </w:p>
        </w:tc>
        <w:tc>
          <w:tcPr>
            <w:tcW w:w="10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0"/>
              <w:jc w:val="right"/>
              <w:rPr/>
            </w:pPr>
            <w:r>
              <w:rPr/>
              <w:t>6.7</w:t>
            </w:r>
          </w:p>
        </w:tc>
        <w:tc>
          <w:tcPr>
            <w:tcW w:w="290" w:type="dxa"/>
            <w:tcBorders/>
            <w:vAlign w:val="bottom"/>
          </w:tcPr>
          <w:p>
            <w:pPr>
              <w:pStyle w:val="TableContents"/>
              <w:bidi w:val="0"/>
              <w:spacing w:before="0" w:after="0"/>
              <w:jc w:val="left"/>
              <w:rPr/>
            </w:pPr>
            <w:r>
              <w:rPr/>
              <w:t>%</w:t>
            </w:r>
          </w:p>
        </w:tc>
      </w:tr>
      <w:tr>
        <w:trPr/>
        <w:tc>
          <w:tcPr>
            <w:tcW w:w="3110" w:type="dxa"/>
            <w:tcBorders/>
            <w:shd w:fill="CCEEFF" w:val="clear"/>
            <w:vAlign w:val="bottom"/>
          </w:tcPr>
          <w:p>
            <w:pPr>
              <w:pStyle w:val="TableContents"/>
              <w:bidi w:val="0"/>
              <w:spacing w:before="0" w:after="0"/>
              <w:ind w:left="288" w:right="0" w:hanging="144"/>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pPr>
            <w:r>
              <w:rPr/>
              <w:t>1,057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pPr>
            <w:r>
              <w:rPr/>
              <w:t>2.4</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0"/>
              <w:jc w:val="right"/>
              <w:rPr/>
            </w:pPr>
            <w:r>
              <w:rPr/>
              <w:t>1,150</w:t>
            </w:r>
          </w:p>
        </w:tc>
        <w:tc>
          <w:tcPr>
            <w:tcW w:w="10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0"/>
              <w:jc w:val="right"/>
              <w:rPr/>
            </w:pPr>
            <w:r>
              <w:rPr/>
              <w:t>2.5</w:t>
            </w:r>
          </w:p>
        </w:tc>
        <w:tc>
          <w:tcPr>
            <w:tcW w:w="290" w:type="dxa"/>
            <w:tcBorders/>
            <w:shd w:fill="CCEEFF" w:val="clear"/>
            <w:vAlign w:val="bottom"/>
          </w:tcPr>
          <w:p>
            <w:pPr>
              <w:pStyle w:val="TableContents"/>
              <w:bidi w:val="0"/>
              <w:spacing w:before="0" w:after="0"/>
              <w:jc w:val="left"/>
              <w:rPr/>
            </w:pPr>
            <w:r>
              <w:rPr/>
              <w:t>%</w:t>
            </w:r>
          </w:p>
        </w:tc>
      </w:tr>
      <w:tr>
        <w:trPr/>
        <w:tc>
          <w:tcPr>
            <w:tcW w:w="3110" w:type="dxa"/>
            <w:tcBorders/>
            <w:vAlign w:val="bottom"/>
          </w:tcPr>
          <w:p>
            <w:pPr>
              <w:pStyle w:val="TableContents"/>
              <w:bidi w:val="0"/>
              <w:spacing w:before="0" w:after="0"/>
              <w:ind w:left="144" w:right="0" w:hanging="144"/>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171" w:type="dxa"/>
            <w:tcBorders>
              <w:bottom w:val="single" w:sz="12" w:space="0" w:color="000000"/>
            </w:tcBorders>
            <w:tcMar>
              <w:bottom w:w="28" w:type="dxa"/>
            </w:tcMar>
            <w:vAlign w:val="bottom"/>
          </w:tcPr>
          <w:p>
            <w:pPr>
              <w:pStyle w:val="TableContents"/>
              <w:bidi w:val="0"/>
              <w:spacing w:before="0" w:after="283"/>
              <w:jc w:val="left"/>
              <w:rPr/>
            </w:pPr>
            <w:r>
              <w:rPr/>
              <w:t> </w:t>
            </w:r>
          </w:p>
        </w:tc>
        <w:tc>
          <w:tcPr>
            <w:tcW w:w="719" w:type="dxa"/>
            <w:tcBorders>
              <w:bottom w:val="single" w:sz="12" w:space="0" w:color="000000"/>
            </w:tcBorders>
            <w:tcMar>
              <w:bottom w:w="28" w:type="dxa"/>
            </w:tcMar>
            <w:vAlign w:val="bottom"/>
          </w:tcPr>
          <w:p>
            <w:pPr>
              <w:pStyle w:val="TableContents"/>
              <w:bidi w:val="0"/>
              <w:spacing w:before="0" w:after="0"/>
              <w:jc w:val="right"/>
              <w:rPr/>
            </w:pPr>
            <w:r>
              <w:rPr/>
              <w:t>1,912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tcMar>
              <w:bottom w:w="28" w:type="dxa"/>
            </w:tcMar>
            <w:vAlign w:val="bottom"/>
          </w:tcPr>
          <w:p>
            <w:pPr>
              <w:pStyle w:val="TableContents"/>
              <w:bidi w:val="0"/>
              <w:spacing w:before="0" w:after="0"/>
              <w:jc w:val="right"/>
              <w:rPr/>
            </w:pPr>
            <w:r>
              <w:rPr/>
              <w:t>4.3</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93" w:type="dxa"/>
            <w:tcBorders>
              <w:bottom w:val="single" w:sz="12" w:space="0" w:color="000000"/>
            </w:tcBorders>
            <w:tcMar>
              <w:bottom w:w="28" w:type="dxa"/>
            </w:tcMar>
            <w:vAlign w:val="bottom"/>
          </w:tcPr>
          <w:p>
            <w:pPr>
              <w:pStyle w:val="TableContents"/>
              <w:bidi w:val="0"/>
              <w:spacing w:before="0" w:after="283"/>
              <w:jc w:val="left"/>
              <w:rPr/>
            </w:pPr>
            <w:r>
              <w:rPr/>
              <w:t> </w:t>
            </w:r>
          </w:p>
        </w:tc>
        <w:tc>
          <w:tcPr>
            <w:tcW w:w="809" w:type="dxa"/>
            <w:tcBorders>
              <w:bottom w:val="single" w:sz="12" w:space="0" w:color="000000"/>
            </w:tcBorders>
            <w:tcMar>
              <w:bottom w:w="28" w:type="dxa"/>
            </w:tcMar>
            <w:vAlign w:val="bottom"/>
          </w:tcPr>
          <w:p>
            <w:pPr>
              <w:pStyle w:val="TableContents"/>
              <w:bidi w:val="0"/>
              <w:spacing w:before="0" w:after="0"/>
              <w:jc w:val="right"/>
              <w:rPr/>
            </w:pPr>
            <w:r>
              <w:rPr/>
              <w:t>1,952</w:t>
            </w:r>
          </w:p>
        </w:tc>
        <w:tc>
          <w:tcPr>
            <w:tcW w:w="10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994" w:type="dxa"/>
            <w:tcBorders>
              <w:bottom w:val="single" w:sz="12" w:space="0" w:color="000000"/>
            </w:tcBorders>
            <w:tcMar>
              <w:bottom w:w="28" w:type="dxa"/>
            </w:tcMar>
            <w:vAlign w:val="bottom"/>
          </w:tcPr>
          <w:p>
            <w:pPr>
              <w:pStyle w:val="TableContents"/>
              <w:bidi w:val="0"/>
              <w:spacing w:before="0" w:after="0"/>
              <w:jc w:val="right"/>
              <w:rPr/>
            </w:pPr>
            <w:r>
              <w:rPr/>
              <w:t>4.3</w:t>
            </w:r>
          </w:p>
        </w:tc>
        <w:tc>
          <w:tcPr>
            <w:tcW w:w="290" w:type="dxa"/>
            <w:tcBorders/>
            <w:vAlign w:val="bottom"/>
          </w:tcPr>
          <w:p>
            <w:pPr>
              <w:pStyle w:val="TableContents"/>
              <w:bidi w:val="0"/>
              <w:spacing w:before="0" w:after="0"/>
              <w:jc w:val="left"/>
              <w:rPr/>
            </w:pPr>
            <w:r>
              <w:rPr/>
              <w:t>%</w:t>
            </w:r>
          </w:p>
        </w:tc>
      </w:tr>
      <w:tr>
        <w:trPr/>
        <w:tc>
          <w:tcPr>
            <w:tcW w:w="3110" w:type="dxa"/>
            <w:tcBorders/>
            <w:shd w:fill="CCEEFF" w:val="clear"/>
            <w:vAlign w:val="bottom"/>
          </w:tcPr>
          <w:p>
            <w:pPr>
              <w:pStyle w:val="TableContents"/>
              <w:bidi w:val="0"/>
              <w:spacing w:before="0" w:after="0"/>
              <w:ind w:left="144" w:right="0" w:hanging="144"/>
              <w:jc w:val="left"/>
              <w:rPr>
                <w:color w:val="000000"/>
              </w:rPr>
            </w:pPr>
            <w:r>
              <w:rPr>
                <w:color w:val="000000"/>
              </w:rPr>
              <w:t>Total allowance for credit losses</w:t>
            </w:r>
          </w:p>
        </w:tc>
        <w:tc>
          <w:tcPr>
            <w:tcW w:w="90" w:type="dxa"/>
            <w:tcBorders/>
            <w:shd w:fill="CCEEFF" w:val="clear"/>
            <w:vAlign w:val="bottom"/>
          </w:tcPr>
          <w:p>
            <w:pPr>
              <w:pStyle w:val="TableContents"/>
              <w:bidi w:val="0"/>
              <w:spacing w:before="0" w:after="283"/>
              <w:jc w:val="left"/>
              <w:rPr/>
            </w:pPr>
            <w:r>
              <w:rPr/>
              <w:t> </w:t>
            </w:r>
          </w:p>
        </w:tc>
        <w:tc>
          <w:tcPr>
            <w:tcW w:w="17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19" w:type="dxa"/>
            <w:tcBorders>
              <w:bottom w:val="double" w:sz="8" w:space="0" w:color="000000"/>
            </w:tcBorders>
            <w:shd w:fill="CCEEFF" w:val="clear"/>
            <w:tcMar>
              <w:bottom w:w="28" w:type="dxa"/>
            </w:tcMar>
            <w:vAlign w:val="bottom"/>
          </w:tcPr>
          <w:p>
            <w:pPr>
              <w:pStyle w:val="TableContents"/>
              <w:bidi w:val="0"/>
              <w:spacing w:before="0" w:after="0"/>
              <w:jc w:val="right"/>
              <w:rPr/>
            </w:pPr>
            <w:r>
              <w:rPr/>
              <w:t>44,822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93" w:type="dxa"/>
            <w:tcBorders>
              <w:bottom w:val="double" w:sz="8" w:space="0" w:color="000000"/>
            </w:tcBorders>
            <w:shd w:fill="CCEEFF" w:val="clear"/>
            <w:tcMar>
              <w:bottom w:w="28" w:type="dxa"/>
            </w:tcMar>
            <w:vAlign w:val="bottom"/>
          </w:tcPr>
          <w:p>
            <w:pPr>
              <w:pStyle w:val="TableContents"/>
              <w:bidi w:val="0"/>
              <w:spacing w:before="0" w:after="0"/>
              <w:jc w:val="right"/>
              <w:rPr/>
            </w:pPr>
            <w:r>
              <w:rPr/>
              <w:t>100.0</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9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09" w:type="dxa"/>
            <w:tcBorders>
              <w:bottom w:val="double" w:sz="8" w:space="0" w:color="000000"/>
            </w:tcBorders>
            <w:shd w:fill="CCEEFF" w:val="clear"/>
            <w:tcMar>
              <w:bottom w:w="28" w:type="dxa"/>
            </w:tcMar>
            <w:vAlign w:val="bottom"/>
          </w:tcPr>
          <w:p>
            <w:pPr>
              <w:pStyle w:val="TableContents"/>
              <w:bidi w:val="0"/>
              <w:spacing w:before="0" w:after="0"/>
              <w:jc w:val="right"/>
              <w:rPr/>
            </w:pPr>
            <w:r>
              <w:rPr/>
              <w:t>45,131</w:t>
            </w:r>
          </w:p>
        </w:tc>
        <w:tc>
          <w:tcPr>
            <w:tcW w:w="10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5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94" w:type="dxa"/>
            <w:tcBorders>
              <w:bottom w:val="double" w:sz="8" w:space="0" w:color="000000"/>
            </w:tcBorders>
            <w:shd w:fill="CCEEFF" w:val="clear"/>
            <w:tcMar>
              <w:bottom w:w="28" w:type="dxa"/>
            </w:tcMar>
            <w:vAlign w:val="bottom"/>
          </w:tcPr>
          <w:p>
            <w:pPr>
              <w:pStyle w:val="TableContents"/>
              <w:bidi w:val="0"/>
              <w:spacing w:before="0" w:after="0"/>
              <w:jc w:val="right"/>
              <w:rPr/>
            </w:pPr>
            <w:r>
              <w:rPr/>
              <w:t>100.0</w:t>
            </w:r>
          </w:p>
        </w:tc>
        <w:tc>
          <w:tcPr>
            <w:tcW w:w="290" w:type="dxa"/>
            <w:tcBorders/>
            <w:shd w:fill="CCEEFF" w:val="clear"/>
            <w:vAlign w:val="bottom"/>
          </w:tcPr>
          <w:p>
            <w:pPr>
              <w:pStyle w:val="TableContents"/>
              <w:bidi w:val="0"/>
              <w:spacing w:before="0" w:after="0"/>
              <w:jc w:val="left"/>
              <w:rPr/>
            </w:pPr>
            <w:r>
              <w:rPr/>
              <w:t>%</w:t>
            </w:r>
          </w:p>
        </w:tc>
      </w:tr>
    </w:tbl>
    <w:p>
      <w:pPr>
        <w:pStyle w:val="TextBody"/>
        <w:bidi w:val="0"/>
        <w:spacing w:before="0" w:after="0"/>
        <w:jc w:val="center"/>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Asset Quality</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Loans are considered delinquent when principal or interest payments are past due 30 days or more. Delinquent loans may remain on accrual status between 30 days and 90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Loans that exhibit characteristics different from their pool characteristics are evaluated on an individual basis. Loans evaluated individually are not included in the collective ACL evaluation. Income from loans on nonaccrual status is recognized to the extent cash is received and when the loan’s principal balance is deemed collectible. Depending on a particular loan’s circumstances, we analyze loans for specific allowance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 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specific allowance amount on a collateral-dependent loan is charged-off to the allowance if deemed not collectible and the impairment amount on a loan that is not collateral-dependent is set up as a specific reserve.</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Real estate we acquire as a result of foreclosure or by deed-in-lieu of foreclosure is classified as other real estate owned (“OREO”) until sold and is initially recorded at fair value less costs to sell when acquired, establishing a new cost basis. OREO and repossessed assets are reported as foreclosed assets.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Nonperforming loans include nonaccrual loans and loans past due 90 days or more. Nonperforming assets consist of nonperforming loans plus foreclosed assets.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At March 31, 2026, our total nonaccrual loans were $3.7 million, or 0.12% of total loans held for investment, as compared to $7.1 million, or 0.22% of total loans held for investment, at December 31, 2025. These loans within this amount that exceeded $250 thousand were specifically analyzed and specific valuation allowances were established as necessary and included in the ACL for loans as of March 31, 2026 to cover any probable loss. The decrease of $3.4 million is primarily the result of a $3.9 million loan on nonaccrual status at December 31, 2025 being repaid in full during the first quarter of 2026. This decrease was partially offset by other loans being placed on nonaccrual status during the first quarter of 2026.</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Nonperforming loans were $5.1 million at March 31, 2026 and $9.8 million at December 31, 2025. This decrease is mainly due to the nonaccrual changes noted above and a reduction of $1.4 million in loans past due 90 days or more.</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Occasionally, the Company modifies loans to borrowers in financial distress by providing principal forgiveness, term extensions, an other than insignificant payment delay, or interest rate reduction. When principal forgiveness is provided, the amount of forgiveness is charged-off against the ACL for loans. Typically, one type of concession, such as term extension, is granted initially. If the borrower continues to experience financial difficulty, another concession, such as principal forgiveness, may be granted. In some cases, the Company provides multiple types of concessions on one loan. The Company closely monitors the performance of loans that are modified to borrowers experiencing financial difficulty to understand the effectiveness of its modification efforts. Upon the Company’s determination that a modified loan has subsequently been deemed to not be fully collectible, the uncollectible amount is written off. Therefore, the amortized cost basis of the loan is reduced by the uncollectible amount and the ACL for loans is adjusted by the same amount.</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37</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 borrower on a modified accruing loan has demonstrated performance under the previous terms, is not experiencing financial difficulty and shows the capacity to continue to perform under the restructured terms, the loan will remain on accrual status. Otherwise, the loan will be placed on nonaccrual status until the borrower demonstrates a sustained period of performance, which generally requires six consecutive months of payments.</w:t>
      </w:r>
    </w:p>
    <w:p>
      <w:pPr>
        <w:pStyle w:val="TextBody"/>
        <w:bidi w:val="0"/>
        <w:spacing w:before="0" w:after="0"/>
        <w:jc w:val="center"/>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Securities Portfolio</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securities portfolio is the second largest component of the Company’s interest-earning assets, and the structure and composition of this portfolio is important to an analysis of the financial condition of the Company. The securities portfolio serves the following purposes: (i) it provides a source of pledged assets for securing certain deposits and borrowed funds, as may be required by law or by specific agreement with a depositor or lender; (ii) it provides liquidity to even out cash flows from the loan and deposit activities of customers; (iii) it can be used as an interest rate risk management tool, since it provides a large base of assets, the maturity and interest rate characteristics of which can be changed more readily than the loan portfolio to better match changes in the deposit base and other funding sources of the Company; and (iv) it is an alternative interest-earning asset when loan demand is weak or when deposits grow more rapidly than loans.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securities portfolio consists of securities classified as either held-to-maturity or available-for-sale. Securities consist primarily of state and municipal securities, mortgage-backed securities and U.S. government sponsored agency securities. We determine the appropriate classification at the time of purchase. All held-to-maturity securities are reported at amortized cost, adjusted for premiums and discounts that are recognized in interest income using the interest method over the period to maturity. All available-for-sale securities are reported at fair value.</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Total securities at March 31, 2026 were $602.9 million, representing an increase of $35.3 million, or 6.2%, compared to $567.5 million at December 31, 2025. The increase was primarily due to $37.0 million in purchases, net of maturities, prepayments and calls and a $1.1 million increase in the fair value of securities available for sale at March 31, 2026 as compared to December 31, 2025.</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Certain securities have fair values less than amortized cost and, therefore, contain unrealized losses. At March 31, 2026, the fair value of the Company’s available for sale securities was $71.1 million lower than the amortized cost. At March 31, 2026, the Company evaluated whether the decline in fair value has resulted from credit losses or other factors. Within this evaluation, management considers the extent to which fair value is less than amortized cost, any changes to the rating of the security by rating agency, and adverse conditions specifically related to the security, among other factors. Based on management’s evaluation no unrealized losses on securities were determined to be due to credit loss. Additionally, we anticipate full recovery of amortized cost with respect to these securities by maturity, or sooner in the event of a more favorable market interest rate environment. We do not intend to sell these securities and it is not probable that we will be required to sell them before recovery of the amortized cost basis, which may be at maturity, thus no ACL or losses have been recognized or realized in the consolidated financial statements for securities in the portfolio.</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sets forth certain information regarding contractual maturities and the weighted average yields of our investment securities as of the date presented. Expected maturities may differ from contractual maturities if borrowers have the right to call or prepay an obligation with or without call or prepayment penalties.</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223" w:name="z9a2c8801d4bd40308d8d65284a80baff"/>
      <w:bookmarkStart w:id="224" w:name="z9a2c8801d4bd40308d8d65284a80baff"/>
      <w:bookmarkEnd w:id="224"/>
    </w:p>
    <w:tbl>
      <w:tblPr>
        <w:tblW w:w="12431" w:type="dxa"/>
        <w:jc w:val="center"/>
        <w:tblInd w:w="0" w:type="dxa"/>
        <w:tblLayout w:type="fixed"/>
        <w:tblCellMar>
          <w:top w:w="0" w:type="dxa"/>
          <w:left w:w="0" w:type="dxa"/>
          <w:bottom w:w="0" w:type="dxa"/>
          <w:right w:w="0" w:type="dxa"/>
        </w:tblCellMar>
      </w:tblPr>
      <w:tblGrid>
        <w:gridCol w:w="1706"/>
        <w:gridCol w:w="90"/>
        <w:gridCol w:w="218"/>
        <w:gridCol w:w="912"/>
        <w:gridCol w:w="90"/>
        <w:gridCol w:w="90"/>
        <w:gridCol w:w="164"/>
        <w:gridCol w:w="861"/>
        <w:gridCol w:w="245"/>
        <w:gridCol w:w="90"/>
        <w:gridCol w:w="252"/>
        <w:gridCol w:w="878"/>
        <w:gridCol w:w="90"/>
        <w:gridCol w:w="90"/>
        <w:gridCol w:w="164"/>
        <w:gridCol w:w="861"/>
        <w:gridCol w:w="245"/>
        <w:gridCol w:w="90"/>
        <w:gridCol w:w="211"/>
        <w:gridCol w:w="919"/>
        <w:gridCol w:w="90"/>
        <w:gridCol w:w="90"/>
        <w:gridCol w:w="164"/>
        <w:gridCol w:w="861"/>
        <w:gridCol w:w="245"/>
        <w:gridCol w:w="90"/>
        <w:gridCol w:w="192"/>
        <w:gridCol w:w="938"/>
        <w:gridCol w:w="90"/>
        <w:gridCol w:w="90"/>
        <w:gridCol w:w="164"/>
        <w:gridCol w:w="861"/>
        <w:gridCol w:w="290"/>
      </w:tblGrid>
      <w:tr>
        <w:trPr/>
        <w:tc>
          <w:tcPr>
            <w:tcW w:w="170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345" w:type="dxa"/>
            <w:gridSpan w:val="3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As of March 31, 2026</w:t>
            </w:r>
          </w:p>
        </w:tc>
        <w:tc>
          <w:tcPr>
            <w:tcW w:w="290" w:type="dxa"/>
            <w:tcBorders/>
            <w:vAlign w:val="bottom"/>
          </w:tcPr>
          <w:p>
            <w:pPr>
              <w:pStyle w:val="TableContents"/>
              <w:bidi w:val="0"/>
              <w:spacing w:before="0" w:after="283"/>
              <w:jc w:val="left"/>
              <w:rPr/>
            </w:pPr>
            <w:r>
              <w:rPr/>
              <w:t> </w:t>
            </w:r>
          </w:p>
        </w:tc>
      </w:tr>
      <w:tr>
        <w:trPr/>
        <w:tc>
          <w:tcPr>
            <w:tcW w:w="170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3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Due in One</w:t>
            </w:r>
          </w:p>
          <w:p>
            <w:pPr>
              <w:pStyle w:val="TableContents"/>
              <w:bidi w:val="0"/>
              <w:spacing w:before="0" w:after="0"/>
              <w:jc w:val="center"/>
              <w:rPr>
                <w:b/>
                <w:color w:val="000000"/>
              </w:rPr>
            </w:pPr>
            <w:r>
              <w:rPr>
                <w:b/>
                <w:color w:val="000000"/>
              </w:rPr>
              <w:t>Year or Less</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3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Due after One Year</w:t>
            </w:r>
          </w:p>
          <w:p>
            <w:pPr>
              <w:pStyle w:val="TableContents"/>
              <w:bidi w:val="0"/>
              <w:spacing w:before="0" w:after="0"/>
              <w:jc w:val="center"/>
              <w:rPr>
                <w:b/>
                <w:color w:val="000000"/>
              </w:rPr>
            </w:pPr>
            <w:r>
              <w:rPr>
                <w:b/>
                <w:color w:val="000000"/>
              </w:rPr>
              <w:t>Through Five Years</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3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Due after Five Years</w:t>
            </w:r>
          </w:p>
          <w:p>
            <w:pPr>
              <w:pStyle w:val="TableContents"/>
              <w:bidi w:val="0"/>
              <w:spacing w:before="0" w:after="0"/>
              <w:jc w:val="center"/>
              <w:rPr>
                <w:b/>
                <w:color w:val="000000"/>
              </w:rPr>
            </w:pPr>
            <w:r>
              <w:rPr>
                <w:b/>
                <w:color w:val="000000"/>
              </w:rPr>
              <w:t>Through Ten Years</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3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Due after</w:t>
            </w:r>
          </w:p>
          <w:p>
            <w:pPr>
              <w:pStyle w:val="TableContents"/>
              <w:bidi w:val="0"/>
              <w:spacing w:before="0" w:after="0"/>
              <w:jc w:val="center"/>
              <w:rPr>
                <w:b/>
                <w:color w:val="000000"/>
              </w:rPr>
            </w:pPr>
            <w:r>
              <w:rPr>
                <w:b/>
                <w:color w:val="000000"/>
              </w:rPr>
              <w:t>Ten Years</w:t>
            </w:r>
          </w:p>
        </w:tc>
        <w:tc>
          <w:tcPr>
            <w:tcW w:w="290" w:type="dxa"/>
            <w:tcBorders/>
            <w:vAlign w:val="bottom"/>
          </w:tcPr>
          <w:p>
            <w:pPr>
              <w:pStyle w:val="TableContents"/>
              <w:bidi w:val="0"/>
              <w:spacing w:before="0" w:after="283"/>
              <w:jc w:val="left"/>
              <w:rPr/>
            </w:pPr>
            <w:r>
              <w:rPr/>
              <w:t> </w:t>
            </w:r>
          </w:p>
        </w:tc>
      </w:tr>
      <w:tr>
        <w:trPr/>
        <w:tc>
          <w:tcPr>
            <w:tcW w:w="170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Yield</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Yield</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Yield</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Yield</w:t>
            </w:r>
          </w:p>
        </w:tc>
        <w:tc>
          <w:tcPr>
            <w:tcW w:w="290" w:type="dxa"/>
            <w:tcBorders/>
            <w:vAlign w:val="bottom"/>
          </w:tcPr>
          <w:p>
            <w:pPr>
              <w:pStyle w:val="TableContents"/>
              <w:bidi w:val="0"/>
              <w:spacing w:before="0" w:after="283"/>
              <w:jc w:val="left"/>
              <w:rPr/>
            </w:pPr>
            <w:r>
              <w:rPr/>
              <w:t> </w:t>
            </w:r>
          </w:p>
        </w:tc>
      </w:tr>
      <w:tr>
        <w:trPr/>
        <w:tc>
          <w:tcPr>
            <w:tcW w:w="170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345" w:type="dxa"/>
            <w:gridSpan w:val="30"/>
            <w:tcBorders/>
            <w:vAlign w:val="bottom"/>
          </w:tcPr>
          <w:p>
            <w:pPr>
              <w:pStyle w:val="TableContents"/>
              <w:bidi w:val="0"/>
              <w:spacing w:before="0" w:after="0"/>
              <w:jc w:val="center"/>
              <w:rPr>
                <w:b/>
                <w:color w:val="000000"/>
              </w:rPr>
            </w:pPr>
            <w:r>
              <w:rPr>
                <w:b/>
                <w:color w:val="000000"/>
              </w:rPr>
              <w:t>(Dollars in thousands)</w:t>
            </w:r>
          </w:p>
        </w:tc>
        <w:tc>
          <w:tcPr>
            <w:tcW w:w="290" w:type="dxa"/>
            <w:tcBorders/>
            <w:vAlign w:val="bottom"/>
          </w:tcPr>
          <w:p>
            <w:pPr>
              <w:pStyle w:val="TableContents"/>
              <w:bidi w:val="0"/>
              <w:spacing w:before="0" w:after="283"/>
              <w:jc w:val="left"/>
              <w:rPr/>
            </w:pPr>
            <w:r>
              <w:rPr/>
              <w:t> </w:t>
            </w:r>
          </w:p>
        </w:tc>
      </w:tr>
      <w:tr>
        <w:trPr/>
        <w:tc>
          <w:tcPr>
            <w:tcW w:w="1706" w:type="dxa"/>
            <w:tcBorders/>
            <w:vAlign w:val="bottom"/>
          </w:tcPr>
          <w:p>
            <w:pPr>
              <w:pStyle w:val="TableContents"/>
              <w:bidi w:val="0"/>
              <w:spacing w:before="0" w:after="0"/>
              <w:ind w:left="144" w:right="0" w:hanging="144"/>
              <w:jc w:val="left"/>
              <w:rPr>
                <w:b/>
                <w:color w:val="000000"/>
              </w:rPr>
            </w:pPr>
            <w:r>
              <w:rPr>
                <w:b/>
                <w:color w:val="000000"/>
              </w:rPr>
              <w:t>Available-for-sale</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r>
      <w:tr>
        <w:trPr/>
        <w:tc>
          <w:tcPr>
            <w:tcW w:w="1706" w:type="dxa"/>
            <w:tcBorders/>
            <w:shd w:fill="CCEEFF" w:val="clear"/>
            <w:vAlign w:val="bottom"/>
          </w:tcPr>
          <w:p>
            <w:pPr>
              <w:pStyle w:val="TableContents"/>
              <w:bidi w:val="0"/>
              <w:spacing w:before="0" w:after="0"/>
              <w:ind w:left="360" w:right="0" w:hanging="180"/>
              <w:jc w:val="left"/>
              <w:rPr>
                <w:color w:val="000000"/>
              </w:rPr>
            </w:pPr>
            <w:r>
              <w:rPr>
                <w:color w:val="000000"/>
              </w:rPr>
              <w:t>U.S government and agencies</w:t>
            </w:r>
          </w:p>
        </w:tc>
        <w:tc>
          <w:tcPr>
            <w:tcW w:w="9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0"/>
              <w:jc w:val="left"/>
              <w:rPr/>
            </w:pPr>
            <w:r>
              <w:rPr/>
              <w:t>$</w:t>
            </w:r>
          </w:p>
        </w:tc>
        <w:tc>
          <w:tcPr>
            <w:tcW w:w="912" w:type="dxa"/>
            <w:tcBorders/>
            <w:shd w:fill="CCEEFF" w:val="clear"/>
            <w:vAlign w:val="bottom"/>
          </w:tcPr>
          <w:p>
            <w:pPr>
              <w:pStyle w:val="TableContents"/>
              <w:bidi w:val="0"/>
              <w:spacing w:before="0" w:after="0"/>
              <w:jc w:val="right"/>
              <w:rPr/>
            </w:pPr>
            <w:r>
              <w:rPr/>
              <w:t>49,990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pPr>
            <w:r>
              <w:rPr/>
              <w:t>3.61</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0"/>
              <w:jc w:val="left"/>
              <w:rPr/>
            </w:pPr>
            <w:r>
              <w:rPr/>
              <w:t>$</w:t>
            </w:r>
          </w:p>
        </w:tc>
        <w:tc>
          <w:tcPr>
            <w:tcW w:w="87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pPr>
            <w:r>
              <w:rPr/>
              <w:t>—</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0"/>
              <w:jc w:val="left"/>
              <w:rPr/>
            </w:pPr>
            <w:r>
              <w:rPr/>
              <w:t>$</w:t>
            </w:r>
          </w:p>
        </w:tc>
        <w:tc>
          <w:tcPr>
            <w:tcW w:w="919"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pPr>
            <w:r>
              <w:rPr/>
              <w:t>—</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0"/>
              <w:jc w:val="left"/>
              <w:rPr/>
            </w:pPr>
            <w:r>
              <w:rPr/>
              <w:t>$</w:t>
            </w:r>
          </w:p>
        </w:tc>
        <w:tc>
          <w:tcPr>
            <w:tcW w:w="93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pPr>
            <w:r>
              <w:rPr/>
              <w:t>—</w:t>
            </w:r>
          </w:p>
        </w:tc>
        <w:tc>
          <w:tcPr>
            <w:tcW w:w="290" w:type="dxa"/>
            <w:tcBorders/>
            <w:shd w:fill="CCEEFF" w:val="clear"/>
            <w:vAlign w:val="bottom"/>
          </w:tcPr>
          <w:p>
            <w:pPr>
              <w:pStyle w:val="TableContents"/>
              <w:bidi w:val="0"/>
              <w:spacing w:before="0" w:after="0"/>
              <w:jc w:val="left"/>
              <w:rPr/>
            </w:pPr>
            <w:r>
              <w:rPr/>
              <w:t>%</w:t>
            </w:r>
          </w:p>
        </w:tc>
      </w:tr>
      <w:tr>
        <w:trPr/>
        <w:tc>
          <w:tcPr>
            <w:tcW w:w="1706" w:type="dxa"/>
            <w:tcBorders/>
            <w:vAlign w:val="bottom"/>
          </w:tcPr>
          <w:p>
            <w:pPr>
              <w:pStyle w:val="TableContents"/>
              <w:bidi w:val="0"/>
              <w:spacing w:before="0" w:after="0"/>
              <w:ind w:left="360" w:right="0" w:hanging="180"/>
              <w:jc w:val="left"/>
              <w:rPr>
                <w:color w:val="000000"/>
              </w:rPr>
            </w:pPr>
            <w:r>
              <w:rPr>
                <w:color w:val="000000"/>
              </w:rPr>
              <w:t>State and municipal</w:t>
            </w:r>
          </w:p>
        </w:tc>
        <w:tc>
          <w:tcPr>
            <w:tcW w:w="9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pPr>
            <w:r>
              <w:rPr/>
              <w:t>—</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0"/>
              <w:jc w:val="right"/>
              <w:rPr/>
            </w:pPr>
            <w:r>
              <w:rPr/>
              <w:t>5,071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pPr>
            <w:r>
              <w:rPr/>
              <w:t>3.01</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0"/>
              <w:jc w:val="right"/>
              <w:rPr/>
            </w:pPr>
            <w:r>
              <w:rPr/>
              <w:t>13,909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pPr>
            <w:r>
              <w:rPr/>
              <w:t>2.53</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pPr>
            <w:r>
              <w:rPr/>
              <w:t>179,294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pPr>
            <w:r>
              <w:rPr/>
              <w:t>2.37</w:t>
            </w:r>
          </w:p>
        </w:tc>
        <w:tc>
          <w:tcPr>
            <w:tcW w:w="290" w:type="dxa"/>
            <w:tcBorders/>
            <w:vAlign w:val="bottom"/>
          </w:tcPr>
          <w:p>
            <w:pPr>
              <w:pStyle w:val="TableContents"/>
              <w:bidi w:val="0"/>
              <w:spacing w:before="0" w:after="0"/>
              <w:jc w:val="left"/>
              <w:rPr/>
            </w:pPr>
            <w:r>
              <w:rPr/>
              <w:t>%</w:t>
            </w:r>
          </w:p>
        </w:tc>
      </w:tr>
      <w:tr>
        <w:trPr/>
        <w:tc>
          <w:tcPr>
            <w:tcW w:w="1706" w:type="dxa"/>
            <w:tcBorders/>
            <w:shd w:fill="CCEEFF" w:val="clear"/>
            <w:vAlign w:val="bottom"/>
          </w:tcPr>
          <w:p>
            <w:pPr>
              <w:pStyle w:val="TableContents"/>
              <w:bidi w:val="0"/>
              <w:spacing w:before="0" w:after="0"/>
              <w:ind w:left="360" w:right="0" w:hanging="180"/>
              <w:jc w:val="left"/>
              <w:rPr>
                <w:color w:val="000000"/>
              </w:rPr>
            </w:pPr>
            <w:r>
              <w:rPr>
                <w:color w:val="000000"/>
              </w:rPr>
              <w:t>Residential mortgage-backed securities</w:t>
            </w:r>
          </w:p>
        </w:tc>
        <w:tc>
          <w:tcPr>
            <w:tcW w:w="9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0"/>
              <w:jc w:val="right"/>
              <w:rPr/>
            </w:pPr>
            <w:r>
              <w:rPr/>
              <w:t>81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pPr>
            <w:r>
              <w:rPr/>
              <w:t>1.72</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0"/>
              <w:jc w:val="right"/>
              <w:rPr/>
            </w:pPr>
            <w:r>
              <w:rPr/>
              <w:t>975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pPr>
            <w:r>
              <w:rPr/>
              <w:t>2.17</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0"/>
              <w:jc w:val="right"/>
              <w:rPr/>
            </w:pPr>
            <w:r>
              <w:rPr/>
              <w:t>325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pPr>
            <w:r>
              <w:rPr/>
              <w:t>3.01</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pPr>
            <w:r>
              <w:rPr/>
              <w:t>293,676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pPr>
            <w:r>
              <w:rPr/>
              <w:t>2.29</w:t>
            </w:r>
          </w:p>
        </w:tc>
        <w:tc>
          <w:tcPr>
            <w:tcW w:w="290" w:type="dxa"/>
            <w:tcBorders/>
            <w:shd w:fill="CCEEFF" w:val="clear"/>
            <w:vAlign w:val="bottom"/>
          </w:tcPr>
          <w:p>
            <w:pPr>
              <w:pStyle w:val="TableContents"/>
              <w:bidi w:val="0"/>
              <w:spacing w:before="0" w:after="0"/>
              <w:jc w:val="left"/>
              <w:rPr/>
            </w:pPr>
            <w:r>
              <w:rPr/>
              <w:t>%</w:t>
            </w:r>
          </w:p>
        </w:tc>
      </w:tr>
      <w:tr>
        <w:trPr/>
        <w:tc>
          <w:tcPr>
            <w:tcW w:w="1706" w:type="dxa"/>
            <w:tcBorders/>
            <w:vAlign w:val="bottom"/>
          </w:tcPr>
          <w:p>
            <w:pPr>
              <w:pStyle w:val="TableContents"/>
              <w:bidi w:val="0"/>
              <w:spacing w:before="0" w:after="0"/>
              <w:ind w:left="360" w:right="0" w:hanging="180"/>
              <w:jc w:val="left"/>
              <w:rPr>
                <w:color w:val="000000"/>
              </w:rPr>
            </w:pPr>
            <w:r>
              <w:rPr>
                <w:color w:val="000000"/>
              </w:rPr>
              <w:t>Commercial mortgage-backed securities</w:t>
            </w:r>
          </w:p>
        </w:tc>
        <w:tc>
          <w:tcPr>
            <w:tcW w:w="9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pPr>
            <w:r>
              <w:rPr/>
              <w:t>—</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0"/>
              <w:jc w:val="right"/>
              <w:rPr/>
            </w:pPr>
            <w:r>
              <w:rPr/>
              <w:t>1,524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pPr>
            <w:r>
              <w:rPr/>
              <w:t>4.04</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0"/>
              <w:jc w:val="right"/>
              <w:rPr/>
            </w:pPr>
            <w:r>
              <w:rPr/>
              <w:t>46,898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pPr>
            <w:r>
              <w:rPr/>
              <w:t>2.31</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pPr>
            <w:r>
              <w:rPr/>
              <w:t>1,502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pPr>
            <w:r>
              <w:rPr/>
              <w:t>4.55</w:t>
            </w:r>
          </w:p>
        </w:tc>
        <w:tc>
          <w:tcPr>
            <w:tcW w:w="290" w:type="dxa"/>
            <w:tcBorders/>
            <w:vAlign w:val="bottom"/>
          </w:tcPr>
          <w:p>
            <w:pPr>
              <w:pStyle w:val="TableContents"/>
              <w:bidi w:val="0"/>
              <w:spacing w:before="0" w:after="0"/>
              <w:jc w:val="left"/>
              <w:rPr/>
            </w:pPr>
            <w:r>
              <w:rPr/>
              <w:t>%</w:t>
            </w:r>
          </w:p>
        </w:tc>
      </w:tr>
      <w:tr>
        <w:trPr/>
        <w:tc>
          <w:tcPr>
            <w:tcW w:w="1706" w:type="dxa"/>
            <w:tcBorders/>
            <w:shd w:fill="CCEEFF" w:val="clear"/>
            <w:vAlign w:val="bottom"/>
          </w:tcPr>
          <w:p>
            <w:pPr>
              <w:pStyle w:val="TableContents"/>
              <w:bidi w:val="0"/>
              <w:spacing w:before="0" w:after="0"/>
              <w:ind w:left="360" w:right="0" w:hanging="180"/>
              <w:jc w:val="left"/>
              <w:rPr>
                <w:color w:val="000000"/>
              </w:rPr>
            </w:pPr>
            <w:r>
              <w:rPr>
                <w:color w:val="000000"/>
              </w:rPr>
              <w:t>Collateralized mortgage obligations</w:t>
            </w:r>
          </w:p>
        </w:tc>
        <w:tc>
          <w:tcPr>
            <w:tcW w:w="9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pPr>
            <w:r>
              <w:rPr/>
              <w:t>—</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pPr>
            <w:r>
              <w:rPr/>
              <w:t>—</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0"/>
              <w:jc w:val="right"/>
              <w:rPr/>
            </w:pPr>
            <w:r>
              <w:rPr/>
              <w:t>63,134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pPr>
            <w:r>
              <w:rPr/>
              <w:t>4.32</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pPr>
            <w:r>
              <w:rPr/>
              <w:t>4,072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pPr>
            <w:r>
              <w:rPr/>
              <w:t>5.23</w:t>
            </w:r>
          </w:p>
        </w:tc>
        <w:tc>
          <w:tcPr>
            <w:tcW w:w="290" w:type="dxa"/>
            <w:tcBorders/>
            <w:shd w:fill="CCEEFF" w:val="clear"/>
            <w:vAlign w:val="bottom"/>
          </w:tcPr>
          <w:p>
            <w:pPr>
              <w:pStyle w:val="TableContents"/>
              <w:bidi w:val="0"/>
              <w:spacing w:before="0" w:after="0"/>
              <w:jc w:val="left"/>
              <w:rPr/>
            </w:pPr>
            <w:r>
              <w:rPr/>
              <w:t>%</w:t>
            </w:r>
          </w:p>
        </w:tc>
      </w:tr>
      <w:tr>
        <w:trPr/>
        <w:tc>
          <w:tcPr>
            <w:tcW w:w="1706" w:type="dxa"/>
            <w:tcBorders/>
            <w:vAlign w:val="bottom"/>
          </w:tcPr>
          <w:p>
            <w:pPr>
              <w:pStyle w:val="TableContents"/>
              <w:bidi w:val="0"/>
              <w:spacing w:before="0" w:after="0"/>
              <w:ind w:left="360" w:right="0" w:hanging="180"/>
              <w:jc w:val="left"/>
              <w:rPr>
                <w:color w:val="000000"/>
              </w:rPr>
            </w:pPr>
            <w:r>
              <w:rPr>
                <w:color w:val="000000"/>
              </w:rPr>
              <w:t>Asset-backed and other amortizing securities</w:t>
            </w:r>
          </w:p>
        </w:tc>
        <w:tc>
          <w:tcPr>
            <w:tcW w:w="9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pPr>
            <w:r>
              <w:rPr/>
              <w:t>—</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0"/>
              <w:jc w:val="right"/>
              <w:rPr/>
            </w:pPr>
            <w:r>
              <w:rPr/>
              <w:t>254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pPr>
            <w:r>
              <w:rPr/>
              <w:t>3.00</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0"/>
              <w:jc w:val="right"/>
              <w:rPr/>
            </w:pPr>
            <w:r>
              <w:rPr/>
              <w:t>1,850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pPr>
            <w:r>
              <w:rPr/>
              <w:t>3.20</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pPr>
            <w:r>
              <w:rPr/>
              <w:t>11,446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pPr>
            <w:r>
              <w:rPr/>
              <w:t>2.75</w:t>
            </w:r>
          </w:p>
        </w:tc>
        <w:tc>
          <w:tcPr>
            <w:tcW w:w="290" w:type="dxa"/>
            <w:tcBorders/>
            <w:vAlign w:val="bottom"/>
          </w:tcPr>
          <w:p>
            <w:pPr>
              <w:pStyle w:val="TableContents"/>
              <w:bidi w:val="0"/>
              <w:spacing w:before="0" w:after="0"/>
              <w:jc w:val="left"/>
              <w:rPr/>
            </w:pPr>
            <w:r>
              <w:rPr/>
              <w:t>%</w:t>
            </w:r>
          </w:p>
        </w:tc>
      </w:tr>
      <w:tr>
        <w:trPr/>
        <w:tc>
          <w:tcPr>
            <w:tcW w:w="1706" w:type="dxa"/>
            <w:tcBorders/>
            <w:shd w:fill="CCEEFF" w:val="clear"/>
            <w:vAlign w:val="bottom"/>
          </w:tcPr>
          <w:p>
            <w:pPr>
              <w:pStyle w:val="TableContents"/>
              <w:bidi w:val="0"/>
              <w:spacing w:before="0" w:after="0"/>
              <w:ind w:left="360" w:right="0" w:hanging="180"/>
              <w:jc w:val="left"/>
              <w:rPr>
                <w:color w:val="000000"/>
              </w:rPr>
            </w:pPr>
            <w:r>
              <w:rPr>
                <w:color w:val="000000"/>
              </w:rPr>
              <w:t>Other securities</w:t>
            </w:r>
          </w:p>
        </w:tc>
        <w:tc>
          <w:tcPr>
            <w:tcW w:w="90" w:type="dxa"/>
            <w:tcBorders/>
            <w:shd w:fill="CCEEFF" w:val="clear"/>
            <w:vAlign w:val="bottom"/>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2"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1"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8"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1"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1"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1"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290" w:type="dxa"/>
            <w:tcBorders/>
            <w:shd w:fill="CCEEFF" w:val="clear"/>
            <w:vAlign w:val="bottom"/>
          </w:tcPr>
          <w:p>
            <w:pPr>
              <w:pStyle w:val="TableContents"/>
              <w:bidi w:val="0"/>
              <w:spacing w:before="0" w:after="0"/>
              <w:jc w:val="left"/>
              <w:rPr/>
            </w:pPr>
            <w:r>
              <w:rPr/>
              <w:t>%</w:t>
            </w:r>
          </w:p>
        </w:tc>
      </w:tr>
      <w:tr>
        <w:trPr/>
        <w:tc>
          <w:tcPr>
            <w:tcW w:w="1706" w:type="dxa"/>
            <w:tcBorders/>
            <w:vAlign w:val="bottom"/>
          </w:tcPr>
          <w:p>
            <w:pPr>
              <w:pStyle w:val="TableContents"/>
              <w:bidi w:val="0"/>
              <w:spacing w:before="0" w:after="0"/>
              <w:ind w:left="540" w:right="0" w:hanging="180"/>
              <w:jc w:val="left"/>
              <w:rPr>
                <w:color w:val="000000"/>
              </w:rPr>
            </w:pPr>
            <w:r>
              <w:rPr>
                <w:color w:val="000000"/>
              </w:rPr>
              <w:t>Total available-for-sale</w:t>
            </w:r>
          </w:p>
        </w:tc>
        <w:tc>
          <w:tcPr>
            <w:tcW w:w="90" w:type="dxa"/>
            <w:tcBorders/>
            <w:vAlign w:val="bottom"/>
          </w:tcPr>
          <w:p>
            <w:pPr>
              <w:pStyle w:val="TableContents"/>
              <w:bidi w:val="0"/>
              <w:spacing w:before="0" w:after="283"/>
              <w:jc w:val="left"/>
              <w:rPr/>
            </w:pPr>
            <w:r>
              <w:rPr/>
              <w:t> </w:t>
            </w:r>
          </w:p>
        </w:tc>
        <w:tc>
          <w:tcPr>
            <w:tcW w:w="218" w:type="dxa"/>
            <w:tcBorders>
              <w:bottom w:val="double" w:sz="8" w:space="0" w:color="000000"/>
            </w:tcBorders>
            <w:tcMar>
              <w:bottom w:w="28" w:type="dxa"/>
            </w:tcMar>
            <w:vAlign w:val="bottom"/>
          </w:tcPr>
          <w:p>
            <w:pPr>
              <w:pStyle w:val="TableContents"/>
              <w:bidi w:val="0"/>
              <w:spacing w:before="0" w:after="0"/>
              <w:jc w:val="left"/>
              <w:rPr/>
            </w:pPr>
            <w:r>
              <w:rPr/>
              <w:t>$</w:t>
            </w:r>
          </w:p>
        </w:tc>
        <w:tc>
          <w:tcPr>
            <w:tcW w:w="912" w:type="dxa"/>
            <w:tcBorders>
              <w:bottom w:val="double" w:sz="8" w:space="0" w:color="000000"/>
            </w:tcBorders>
            <w:tcMar>
              <w:bottom w:w="28" w:type="dxa"/>
            </w:tcMar>
            <w:vAlign w:val="bottom"/>
          </w:tcPr>
          <w:p>
            <w:pPr>
              <w:pStyle w:val="TableContents"/>
              <w:bidi w:val="0"/>
              <w:spacing w:before="0" w:after="0"/>
              <w:jc w:val="right"/>
              <w:rPr/>
            </w:pPr>
            <w:r>
              <w:rPr/>
              <w:t>50,071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bottom w:val="double" w:sz="8" w:space="0" w:color="000000"/>
            </w:tcBorders>
            <w:tcMar>
              <w:bottom w:w="28" w:type="dxa"/>
            </w:tcMar>
            <w:vAlign w:val="bottom"/>
          </w:tcPr>
          <w:p>
            <w:pPr>
              <w:pStyle w:val="TableContents"/>
              <w:bidi w:val="0"/>
              <w:spacing w:before="0" w:after="283"/>
              <w:jc w:val="left"/>
              <w:rPr/>
            </w:pPr>
            <w:r>
              <w:rPr/>
              <w:t> </w:t>
            </w:r>
          </w:p>
        </w:tc>
        <w:tc>
          <w:tcPr>
            <w:tcW w:w="861" w:type="dxa"/>
            <w:tcBorders>
              <w:bottom w:val="double" w:sz="8" w:space="0" w:color="000000"/>
            </w:tcBorders>
            <w:tcMar>
              <w:bottom w:w="28" w:type="dxa"/>
            </w:tcMar>
            <w:vAlign w:val="bottom"/>
          </w:tcPr>
          <w:p>
            <w:pPr>
              <w:pStyle w:val="TableContents"/>
              <w:bidi w:val="0"/>
              <w:spacing w:before="0" w:after="0"/>
              <w:jc w:val="right"/>
              <w:rPr/>
            </w:pPr>
            <w:r>
              <w:rPr/>
              <w:t>3.61</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52" w:type="dxa"/>
            <w:tcBorders>
              <w:bottom w:val="double" w:sz="8" w:space="0" w:color="000000"/>
            </w:tcBorders>
            <w:tcMar>
              <w:bottom w:w="28" w:type="dxa"/>
            </w:tcMar>
            <w:vAlign w:val="bottom"/>
          </w:tcPr>
          <w:p>
            <w:pPr>
              <w:pStyle w:val="TableContents"/>
              <w:bidi w:val="0"/>
              <w:spacing w:before="0" w:after="0"/>
              <w:jc w:val="left"/>
              <w:rPr/>
            </w:pPr>
            <w:r>
              <w:rPr/>
              <w:t>$</w:t>
            </w:r>
          </w:p>
        </w:tc>
        <w:tc>
          <w:tcPr>
            <w:tcW w:w="878" w:type="dxa"/>
            <w:tcBorders>
              <w:bottom w:val="double" w:sz="8" w:space="0" w:color="000000"/>
            </w:tcBorders>
            <w:tcMar>
              <w:bottom w:w="28" w:type="dxa"/>
            </w:tcMar>
            <w:vAlign w:val="bottom"/>
          </w:tcPr>
          <w:p>
            <w:pPr>
              <w:pStyle w:val="TableContents"/>
              <w:bidi w:val="0"/>
              <w:spacing w:before="0" w:after="0"/>
              <w:jc w:val="right"/>
              <w:rPr/>
            </w:pPr>
            <w:r>
              <w:rPr/>
              <w:t>7,824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bottom w:val="double" w:sz="8" w:space="0" w:color="000000"/>
            </w:tcBorders>
            <w:tcMar>
              <w:bottom w:w="28" w:type="dxa"/>
            </w:tcMar>
            <w:vAlign w:val="bottom"/>
          </w:tcPr>
          <w:p>
            <w:pPr>
              <w:pStyle w:val="TableContents"/>
              <w:bidi w:val="0"/>
              <w:spacing w:before="0" w:after="283"/>
              <w:jc w:val="left"/>
              <w:rPr/>
            </w:pPr>
            <w:r>
              <w:rPr/>
              <w:t> </w:t>
            </w:r>
          </w:p>
        </w:tc>
        <w:tc>
          <w:tcPr>
            <w:tcW w:w="861" w:type="dxa"/>
            <w:tcBorders>
              <w:bottom w:val="double" w:sz="8" w:space="0" w:color="000000"/>
            </w:tcBorders>
            <w:tcMar>
              <w:bottom w:w="28" w:type="dxa"/>
            </w:tcMar>
            <w:vAlign w:val="bottom"/>
          </w:tcPr>
          <w:p>
            <w:pPr>
              <w:pStyle w:val="TableContents"/>
              <w:bidi w:val="0"/>
              <w:spacing w:before="0" w:after="0"/>
              <w:jc w:val="right"/>
              <w:rPr/>
            </w:pPr>
            <w:r>
              <w:rPr/>
              <w:t>3.11</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11" w:type="dxa"/>
            <w:tcBorders>
              <w:bottom w:val="double" w:sz="8" w:space="0" w:color="000000"/>
            </w:tcBorders>
            <w:tcMar>
              <w:bottom w:w="28" w:type="dxa"/>
            </w:tcMar>
            <w:vAlign w:val="bottom"/>
          </w:tcPr>
          <w:p>
            <w:pPr>
              <w:pStyle w:val="TableContents"/>
              <w:bidi w:val="0"/>
              <w:spacing w:before="0" w:after="0"/>
              <w:jc w:val="left"/>
              <w:rPr/>
            </w:pPr>
            <w:r>
              <w:rPr/>
              <w:t>$</w:t>
            </w:r>
          </w:p>
        </w:tc>
        <w:tc>
          <w:tcPr>
            <w:tcW w:w="919" w:type="dxa"/>
            <w:tcBorders>
              <w:bottom w:val="double" w:sz="8" w:space="0" w:color="000000"/>
            </w:tcBorders>
            <w:tcMar>
              <w:bottom w:w="28" w:type="dxa"/>
            </w:tcMar>
            <w:vAlign w:val="bottom"/>
          </w:tcPr>
          <w:p>
            <w:pPr>
              <w:pStyle w:val="TableContents"/>
              <w:bidi w:val="0"/>
              <w:spacing w:before="0" w:after="0"/>
              <w:jc w:val="right"/>
              <w:rPr/>
            </w:pPr>
            <w:r>
              <w:rPr/>
              <w:t>126,116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bottom w:val="double" w:sz="8" w:space="0" w:color="000000"/>
            </w:tcBorders>
            <w:tcMar>
              <w:bottom w:w="28" w:type="dxa"/>
            </w:tcMar>
            <w:vAlign w:val="bottom"/>
          </w:tcPr>
          <w:p>
            <w:pPr>
              <w:pStyle w:val="TableContents"/>
              <w:bidi w:val="0"/>
              <w:spacing w:before="0" w:after="283"/>
              <w:jc w:val="left"/>
              <w:rPr/>
            </w:pPr>
            <w:r>
              <w:rPr/>
              <w:t> </w:t>
            </w:r>
          </w:p>
        </w:tc>
        <w:tc>
          <w:tcPr>
            <w:tcW w:w="861" w:type="dxa"/>
            <w:tcBorders>
              <w:bottom w:val="double" w:sz="8" w:space="0" w:color="000000"/>
            </w:tcBorders>
            <w:tcMar>
              <w:bottom w:w="28" w:type="dxa"/>
            </w:tcMar>
            <w:vAlign w:val="bottom"/>
          </w:tcPr>
          <w:p>
            <w:pPr>
              <w:pStyle w:val="TableContents"/>
              <w:bidi w:val="0"/>
              <w:spacing w:before="0" w:after="0"/>
              <w:jc w:val="right"/>
              <w:rPr/>
            </w:pPr>
            <w:r>
              <w:rPr/>
              <w:t>3.35</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92" w:type="dxa"/>
            <w:tcBorders>
              <w:bottom w:val="double" w:sz="8" w:space="0" w:color="000000"/>
            </w:tcBorders>
            <w:tcMar>
              <w:bottom w:w="28" w:type="dxa"/>
            </w:tcMar>
            <w:vAlign w:val="bottom"/>
          </w:tcPr>
          <w:p>
            <w:pPr>
              <w:pStyle w:val="TableContents"/>
              <w:bidi w:val="0"/>
              <w:spacing w:before="0" w:after="0"/>
              <w:jc w:val="left"/>
              <w:rPr/>
            </w:pPr>
            <w:r>
              <w:rPr/>
              <w:t>$</w:t>
            </w:r>
          </w:p>
        </w:tc>
        <w:tc>
          <w:tcPr>
            <w:tcW w:w="938" w:type="dxa"/>
            <w:tcBorders>
              <w:bottom w:val="double" w:sz="8" w:space="0" w:color="000000"/>
            </w:tcBorders>
            <w:tcMar>
              <w:bottom w:w="28" w:type="dxa"/>
            </w:tcMar>
            <w:vAlign w:val="bottom"/>
          </w:tcPr>
          <w:p>
            <w:pPr>
              <w:pStyle w:val="TableContents"/>
              <w:bidi w:val="0"/>
              <w:spacing w:before="0" w:after="0"/>
              <w:jc w:val="right"/>
              <w:rPr/>
            </w:pPr>
            <w:r>
              <w:rPr/>
              <w:t>489,990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bottom w:val="double" w:sz="8" w:space="0" w:color="000000"/>
            </w:tcBorders>
            <w:tcMar>
              <w:bottom w:w="28" w:type="dxa"/>
            </w:tcMar>
            <w:vAlign w:val="bottom"/>
          </w:tcPr>
          <w:p>
            <w:pPr>
              <w:pStyle w:val="TableContents"/>
              <w:bidi w:val="0"/>
              <w:spacing w:before="0" w:after="283"/>
              <w:jc w:val="left"/>
              <w:rPr/>
            </w:pPr>
            <w:r>
              <w:rPr/>
              <w:t> </w:t>
            </w:r>
          </w:p>
        </w:tc>
        <w:tc>
          <w:tcPr>
            <w:tcW w:w="861" w:type="dxa"/>
            <w:tcBorders>
              <w:bottom w:val="double" w:sz="8" w:space="0" w:color="000000"/>
            </w:tcBorders>
            <w:tcMar>
              <w:bottom w:w="28" w:type="dxa"/>
            </w:tcMar>
            <w:vAlign w:val="bottom"/>
          </w:tcPr>
          <w:p>
            <w:pPr>
              <w:pStyle w:val="TableContents"/>
              <w:bidi w:val="0"/>
              <w:spacing w:before="0" w:after="0"/>
              <w:jc w:val="right"/>
              <w:rPr/>
            </w:pPr>
            <w:r>
              <w:rPr/>
              <w:t>2.36</w:t>
            </w:r>
          </w:p>
        </w:tc>
        <w:tc>
          <w:tcPr>
            <w:tcW w:w="290" w:type="dxa"/>
            <w:tcBorders/>
            <w:vAlign w:val="bottom"/>
          </w:tcPr>
          <w:p>
            <w:pPr>
              <w:pStyle w:val="TableContents"/>
              <w:bidi w:val="0"/>
              <w:spacing w:before="0" w:after="0"/>
              <w:jc w:val="left"/>
              <w:rPr/>
            </w:pPr>
            <w:r>
              <w:rPr/>
              <w:t>%</w:t>
            </w:r>
          </w:p>
        </w:tc>
      </w:tr>
    </w:tbl>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38</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Normal"/>
        <w:bidi w:val="0"/>
        <w:spacing w:before="0" w:after="0"/>
        <w:jc w:val="center"/>
        <w:rPr>
          <w:sz w:val="4"/>
          <w:szCs w:val="4"/>
        </w:rPr>
      </w:pPr>
      <w:r>
        <w:rPr>
          <w:sz w:val="4"/>
          <w:szCs w:val="4"/>
        </w:rPr>
      </w:r>
      <w:bookmarkStart w:id="225" w:name="z08361f1b300247119261ef3742069008"/>
      <w:bookmarkStart w:id="226" w:name="z08361f1b300247119261ef3742069008"/>
      <w:bookmarkEnd w:id="226"/>
    </w:p>
    <w:tbl>
      <w:tblPr>
        <w:tblW w:w="12431" w:type="dxa"/>
        <w:jc w:val="center"/>
        <w:tblInd w:w="0" w:type="dxa"/>
        <w:tblLayout w:type="fixed"/>
        <w:tblCellMar>
          <w:top w:w="0" w:type="dxa"/>
          <w:left w:w="0" w:type="dxa"/>
          <w:bottom w:w="0" w:type="dxa"/>
          <w:right w:w="0" w:type="dxa"/>
        </w:tblCellMar>
      </w:tblPr>
      <w:tblGrid>
        <w:gridCol w:w="1706"/>
        <w:gridCol w:w="90"/>
        <w:gridCol w:w="331"/>
        <w:gridCol w:w="799"/>
        <w:gridCol w:w="90"/>
        <w:gridCol w:w="90"/>
        <w:gridCol w:w="164"/>
        <w:gridCol w:w="861"/>
        <w:gridCol w:w="245"/>
        <w:gridCol w:w="90"/>
        <w:gridCol w:w="222"/>
        <w:gridCol w:w="908"/>
        <w:gridCol w:w="90"/>
        <w:gridCol w:w="90"/>
        <w:gridCol w:w="164"/>
        <w:gridCol w:w="861"/>
        <w:gridCol w:w="245"/>
        <w:gridCol w:w="90"/>
        <w:gridCol w:w="211"/>
        <w:gridCol w:w="919"/>
        <w:gridCol w:w="90"/>
        <w:gridCol w:w="90"/>
        <w:gridCol w:w="164"/>
        <w:gridCol w:w="861"/>
        <w:gridCol w:w="245"/>
        <w:gridCol w:w="90"/>
        <w:gridCol w:w="192"/>
        <w:gridCol w:w="938"/>
        <w:gridCol w:w="90"/>
        <w:gridCol w:w="90"/>
        <w:gridCol w:w="164"/>
        <w:gridCol w:w="861"/>
        <w:gridCol w:w="290"/>
      </w:tblGrid>
      <w:tr>
        <w:trPr/>
        <w:tc>
          <w:tcPr>
            <w:tcW w:w="170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345" w:type="dxa"/>
            <w:gridSpan w:val="3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As of December 31, 2025</w:t>
            </w:r>
          </w:p>
        </w:tc>
        <w:tc>
          <w:tcPr>
            <w:tcW w:w="290" w:type="dxa"/>
            <w:tcBorders/>
            <w:vAlign w:val="bottom"/>
          </w:tcPr>
          <w:p>
            <w:pPr>
              <w:pStyle w:val="TableContents"/>
              <w:bidi w:val="0"/>
              <w:spacing w:before="0" w:after="283"/>
              <w:jc w:val="left"/>
              <w:rPr/>
            </w:pPr>
            <w:r>
              <w:rPr/>
              <w:t> </w:t>
            </w:r>
          </w:p>
        </w:tc>
      </w:tr>
      <w:tr>
        <w:trPr/>
        <w:tc>
          <w:tcPr>
            <w:tcW w:w="170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3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Due in One</w:t>
            </w:r>
          </w:p>
          <w:p>
            <w:pPr>
              <w:pStyle w:val="TableContents"/>
              <w:bidi w:val="0"/>
              <w:spacing w:before="0" w:after="0"/>
              <w:jc w:val="center"/>
              <w:rPr>
                <w:b/>
                <w:color w:val="000000"/>
              </w:rPr>
            </w:pPr>
            <w:r>
              <w:rPr>
                <w:b/>
                <w:color w:val="000000"/>
              </w:rPr>
              <w:t>Year or Less</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3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Due after One Year</w:t>
            </w:r>
          </w:p>
          <w:p>
            <w:pPr>
              <w:pStyle w:val="TableContents"/>
              <w:bidi w:val="0"/>
              <w:spacing w:before="0" w:after="0"/>
              <w:jc w:val="center"/>
              <w:rPr>
                <w:b/>
                <w:color w:val="000000"/>
              </w:rPr>
            </w:pPr>
            <w:r>
              <w:rPr>
                <w:b/>
                <w:color w:val="000000"/>
              </w:rPr>
              <w:t>Through Five Years</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3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Due after Five Years</w:t>
            </w:r>
          </w:p>
          <w:p>
            <w:pPr>
              <w:pStyle w:val="TableContents"/>
              <w:bidi w:val="0"/>
              <w:spacing w:before="0" w:after="0"/>
              <w:jc w:val="center"/>
              <w:rPr>
                <w:b/>
                <w:color w:val="000000"/>
              </w:rPr>
            </w:pPr>
            <w:r>
              <w:rPr>
                <w:b/>
                <w:color w:val="000000"/>
              </w:rPr>
              <w:t>Through Ten Years</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3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Due after</w:t>
            </w:r>
          </w:p>
          <w:p>
            <w:pPr>
              <w:pStyle w:val="TableContents"/>
              <w:bidi w:val="0"/>
              <w:spacing w:before="0" w:after="0"/>
              <w:jc w:val="center"/>
              <w:rPr>
                <w:b/>
                <w:color w:val="000000"/>
              </w:rPr>
            </w:pPr>
            <w:r>
              <w:rPr>
                <w:b/>
                <w:color w:val="000000"/>
              </w:rPr>
              <w:t>Ten Years</w:t>
            </w:r>
          </w:p>
        </w:tc>
        <w:tc>
          <w:tcPr>
            <w:tcW w:w="290" w:type="dxa"/>
            <w:tcBorders/>
            <w:vAlign w:val="bottom"/>
          </w:tcPr>
          <w:p>
            <w:pPr>
              <w:pStyle w:val="TableContents"/>
              <w:bidi w:val="0"/>
              <w:spacing w:before="0" w:after="283"/>
              <w:jc w:val="left"/>
              <w:rPr/>
            </w:pPr>
            <w:r>
              <w:rPr/>
              <w:t> </w:t>
            </w:r>
          </w:p>
        </w:tc>
      </w:tr>
      <w:tr>
        <w:trPr/>
        <w:tc>
          <w:tcPr>
            <w:tcW w:w="170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Yield</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Yield</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Yield</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Yield</w:t>
            </w:r>
          </w:p>
        </w:tc>
        <w:tc>
          <w:tcPr>
            <w:tcW w:w="290" w:type="dxa"/>
            <w:tcBorders/>
            <w:vAlign w:val="bottom"/>
          </w:tcPr>
          <w:p>
            <w:pPr>
              <w:pStyle w:val="TableContents"/>
              <w:bidi w:val="0"/>
              <w:spacing w:before="0" w:after="283"/>
              <w:jc w:val="left"/>
              <w:rPr/>
            </w:pPr>
            <w:r>
              <w:rPr/>
              <w:t> </w:t>
            </w:r>
          </w:p>
        </w:tc>
      </w:tr>
      <w:tr>
        <w:trPr/>
        <w:tc>
          <w:tcPr>
            <w:tcW w:w="170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345" w:type="dxa"/>
            <w:gridSpan w:val="30"/>
            <w:tcBorders/>
            <w:vAlign w:val="bottom"/>
          </w:tcPr>
          <w:p>
            <w:pPr>
              <w:pStyle w:val="TableContents"/>
              <w:bidi w:val="0"/>
              <w:spacing w:before="0" w:after="0"/>
              <w:jc w:val="center"/>
              <w:rPr>
                <w:b/>
                <w:color w:val="000000"/>
              </w:rPr>
            </w:pPr>
            <w:r>
              <w:rPr>
                <w:b/>
                <w:color w:val="000000"/>
              </w:rPr>
              <w:t>(Dollars in thousands)</w:t>
            </w:r>
          </w:p>
        </w:tc>
        <w:tc>
          <w:tcPr>
            <w:tcW w:w="290" w:type="dxa"/>
            <w:tcBorders/>
            <w:vAlign w:val="bottom"/>
          </w:tcPr>
          <w:p>
            <w:pPr>
              <w:pStyle w:val="TableContents"/>
              <w:bidi w:val="0"/>
              <w:spacing w:before="0" w:after="283"/>
              <w:jc w:val="left"/>
              <w:rPr/>
            </w:pPr>
            <w:r>
              <w:rPr/>
              <w:t> </w:t>
            </w:r>
          </w:p>
        </w:tc>
      </w:tr>
      <w:tr>
        <w:trPr/>
        <w:tc>
          <w:tcPr>
            <w:tcW w:w="1706" w:type="dxa"/>
            <w:tcBorders/>
            <w:vAlign w:val="bottom"/>
          </w:tcPr>
          <w:p>
            <w:pPr>
              <w:pStyle w:val="TableContents"/>
              <w:bidi w:val="0"/>
              <w:spacing w:before="0" w:after="0"/>
              <w:ind w:left="144" w:right="0" w:hanging="144"/>
              <w:jc w:val="left"/>
              <w:rPr>
                <w:b/>
                <w:color w:val="000000"/>
              </w:rPr>
            </w:pPr>
            <w:r>
              <w:rPr>
                <w:b/>
                <w:color w:val="000000"/>
              </w:rPr>
              <w:t>Available-for-sale</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r>
      <w:tr>
        <w:trPr/>
        <w:tc>
          <w:tcPr>
            <w:tcW w:w="1706" w:type="dxa"/>
            <w:tcBorders/>
            <w:shd w:fill="CCEEFF" w:val="clear"/>
            <w:vAlign w:val="bottom"/>
          </w:tcPr>
          <w:p>
            <w:pPr>
              <w:pStyle w:val="TableContents"/>
              <w:bidi w:val="0"/>
              <w:spacing w:before="0" w:after="0"/>
              <w:ind w:left="360" w:right="0" w:hanging="180"/>
              <w:jc w:val="left"/>
              <w:rPr>
                <w:color w:val="000000"/>
              </w:rPr>
            </w:pPr>
            <w:r>
              <w:rPr>
                <w:color w:val="000000"/>
              </w:rPr>
              <w:t>State and municipal</w:t>
            </w:r>
          </w:p>
        </w:tc>
        <w:tc>
          <w:tcPr>
            <w:tcW w:w="90"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0"/>
              <w:jc w:val="left"/>
              <w:rPr/>
            </w:pPr>
            <w:r>
              <w:rPr/>
              <w:t>$</w:t>
            </w:r>
          </w:p>
        </w:tc>
        <w:tc>
          <w:tcPr>
            <w:tcW w:w="799" w:type="dxa"/>
            <w:tcBorders/>
            <w:shd w:fill="CCEEFF" w:val="clear"/>
            <w:vAlign w:val="bottom"/>
          </w:tcPr>
          <w:p>
            <w:pPr>
              <w:pStyle w:val="TableContents"/>
              <w:bidi w:val="0"/>
              <w:spacing w:before="0" w:after="0"/>
              <w:jc w:val="right"/>
              <w:rPr/>
            </w:pPr>
            <w:r>
              <w:rPr/>
              <w:t>545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pPr>
            <w:r>
              <w:rPr/>
              <w:t>3.46</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0"/>
              <w:jc w:val="left"/>
              <w:rPr/>
            </w:pPr>
            <w:r>
              <w:rPr/>
              <w:t>$</w:t>
            </w:r>
          </w:p>
        </w:tc>
        <w:tc>
          <w:tcPr>
            <w:tcW w:w="908" w:type="dxa"/>
            <w:tcBorders/>
            <w:shd w:fill="CCEEFF" w:val="clear"/>
            <w:vAlign w:val="bottom"/>
          </w:tcPr>
          <w:p>
            <w:pPr>
              <w:pStyle w:val="TableContents"/>
              <w:bidi w:val="0"/>
              <w:spacing w:before="0" w:after="0"/>
              <w:jc w:val="right"/>
              <w:rPr/>
            </w:pPr>
            <w:r>
              <w:rPr/>
              <w:t>5,079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pPr>
            <w:r>
              <w:rPr/>
              <w:t>2.72</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0"/>
              <w:jc w:val="left"/>
              <w:rPr/>
            </w:pPr>
            <w:r>
              <w:rPr/>
              <w:t>$</w:t>
            </w:r>
          </w:p>
        </w:tc>
        <w:tc>
          <w:tcPr>
            <w:tcW w:w="919" w:type="dxa"/>
            <w:tcBorders/>
            <w:shd w:fill="CCEEFF" w:val="clear"/>
            <w:vAlign w:val="bottom"/>
          </w:tcPr>
          <w:p>
            <w:pPr>
              <w:pStyle w:val="TableContents"/>
              <w:bidi w:val="0"/>
              <w:spacing w:before="0" w:after="0"/>
              <w:jc w:val="right"/>
              <w:rPr/>
            </w:pPr>
            <w:r>
              <w:rPr/>
              <w:t>12,841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pPr>
            <w:r>
              <w:rPr/>
              <w:t>2.40</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0"/>
              <w:jc w:val="left"/>
              <w:rPr/>
            </w:pPr>
            <w:r>
              <w:rPr/>
              <w:t>$</w:t>
            </w:r>
          </w:p>
        </w:tc>
        <w:tc>
          <w:tcPr>
            <w:tcW w:w="938" w:type="dxa"/>
            <w:tcBorders/>
            <w:shd w:fill="CCEEFF" w:val="clear"/>
            <w:vAlign w:val="bottom"/>
          </w:tcPr>
          <w:p>
            <w:pPr>
              <w:pStyle w:val="TableContents"/>
              <w:bidi w:val="0"/>
              <w:spacing w:before="0" w:after="0"/>
              <w:jc w:val="right"/>
              <w:rPr/>
            </w:pPr>
            <w:r>
              <w:rPr/>
              <w:t>180,952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pPr>
            <w:r>
              <w:rPr/>
              <w:t>2.38</w:t>
            </w:r>
          </w:p>
        </w:tc>
        <w:tc>
          <w:tcPr>
            <w:tcW w:w="290" w:type="dxa"/>
            <w:tcBorders/>
            <w:shd w:fill="CCEEFF" w:val="clear"/>
            <w:vAlign w:val="bottom"/>
          </w:tcPr>
          <w:p>
            <w:pPr>
              <w:pStyle w:val="TableContents"/>
              <w:bidi w:val="0"/>
              <w:spacing w:before="0" w:after="0"/>
              <w:jc w:val="left"/>
              <w:rPr/>
            </w:pPr>
            <w:r>
              <w:rPr/>
              <w:t>%</w:t>
            </w:r>
          </w:p>
        </w:tc>
      </w:tr>
      <w:tr>
        <w:trPr/>
        <w:tc>
          <w:tcPr>
            <w:tcW w:w="1706" w:type="dxa"/>
            <w:tcBorders/>
            <w:vAlign w:val="bottom"/>
          </w:tcPr>
          <w:p>
            <w:pPr>
              <w:pStyle w:val="TableContents"/>
              <w:bidi w:val="0"/>
              <w:spacing w:before="0" w:after="0"/>
              <w:ind w:left="360" w:right="0" w:hanging="180"/>
              <w:jc w:val="left"/>
              <w:rPr>
                <w:color w:val="000000"/>
              </w:rPr>
            </w:pPr>
            <w:r>
              <w:rPr>
                <w:color w:val="000000"/>
              </w:rPr>
              <w:t>Residential mortgage-backed securities</w:t>
            </w:r>
          </w:p>
        </w:tc>
        <w:tc>
          <w:tcPr>
            <w:tcW w:w="90"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0"/>
              <w:jc w:val="right"/>
              <w:rPr/>
            </w:pPr>
            <w:r>
              <w:rPr/>
              <w:t>41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pPr>
            <w:r>
              <w:rPr/>
              <w:t>1.33</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0"/>
              <w:jc w:val="right"/>
              <w:rPr/>
            </w:pPr>
            <w:r>
              <w:rPr/>
              <w:t>1,040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pPr>
            <w:r>
              <w:rPr/>
              <w:t>2.06</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0"/>
              <w:jc w:val="right"/>
              <w:rPr/>
            </w:pPr>
            <w:r>
              <w:rPr/>
              <w:t>518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pPr>
            <w:r>
              <w:rPr/>
              <w:t>2.97</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pPr>
            <w:r>
              <w:rPr/>
              <w:t>301,112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pPr>
            <w:r>
              <w:rPr/>
              <w:t>2.29</w:t>
            </w:r>
          </w:p>
        </w:tc>
        <w:tc>
          <w:tcPr>
            <w:tcW w:w="290" w:type="dxa"/>
            <w:tcBorders/>
            <w:vAlign w:val="bottom"/>
          </w:tcPr>
          <w:p>
            <w:pPr>
              <w:pStyle w:val="TableContents"/>
              <w:bidi w:val="0"/>
              <w:spacing w:before="0" w:after="0"/>
              <w:jc w:val="left"/>
              <w:rPr/>
            </w:pPr>
            <w:r>
              <w:rPr/>
              <w:t>%</w:t>
            </w:r>
          </w:p>
        </w:tc>
      </w:tr>
      <w:tr>
        <w:trPr/>
        <w:tc>
          <w:tcPr>
            <w:tcW w:w="1706" w:type="dxa"/>
            <w:tcBorders/>
            <w:shd w:fill="CCEEFF" w:val="clear"/>
            <w:vAlign w:val="bottom"/>
          </w:tcPr>
          <w:p>
            <w:pPr>
              <w:pStyle w:val="TableContents"/>
              <w:bidi w:val="0"/>
              <w:spacing w:before="0" w:after="0"/>
              <w:ind w:left="360" w:right="0" w:hanging="180"/>
              <w:jc w:val="left"/>
              <w:rPr>
                <w:color w:val="000000"/>
              </w:rPr>
            </w:pPr>
            <w:r>
              <w:rPr>
                <w:color w:val="000000"/>
              </w:rPr>
              <w:t>Commercial mortgage-backed securities</w:t>
            </w:r>
          </w:p>
        </w:tc>
        <w:tc>
          <w:tcPr>
            <w:tcW w:w="90"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pPr>
            <w:r>
              <w:rPr/>
              <w:t>—</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0"/>
              <w:jc w:val="right"/>
              <w:rPr/>
            </w:pPr>
            <w:r>
              <w:rPr/>
              <w:t>1,525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pPr>
            <w:r>
              <w:rPr/>
              <w:t>4.03</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0"/>
              <w:jc w:val="right"/>
              <w:rPr/>
            </w:pPr>
            <w:r>
              <w:rPr/>
              <w:t>47,244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pPr>
            <w:r>
              <w:rPr/>
              <w:t>2.31</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pPr>
            <w:r>
              <w:rPr/>
              <w:t>—</w:t>
            </w:r>
          </w:p>
        </w:tc>
        <w:tc>
          <w:tcPr>
            <w:tcW w:w="290" w:type="dxa"/>
            <w:tcBorders/>
            <w:shd w:fill="CCEEFF" w:val="clear"/>
            <w:vAlign w:val="bottom"/>
          </w:tcPr>
          <w:p>
            <w:pPr>
              <w:pStyle w:val="TableContents"/>
              <w:bidi w:val="0"/>
              <w:spacing w:before="0" w:after="0"/>
              <w:jc w:val="left"/>
              <w:rPr/>
            </w:pPr>
            <w:r>
              <w:rPr/>
              <w:t>%</w:t>
            </w:r>
          </w:p>
        </w:tc>
      </w:tr>
      <w:tr>
        <w:trPr/>
        <w:tc>
          <w:tcPr>
            <w:tcW w:w="1706" w:type="dxa"/>
            <w:tcBorders/>
            <w:vAlign w:val="bottom"/>
          </w:tcPr>
          <w:p>
            <w:pPr>
              <w:pStyle w:val="TableContents"/>
              <w:bidi w:val="0"/>
              <w:spacing w:before="0" w:after="0"/>
              <w:ind w:left="360" w:right="0" w:hanging="180"/>
              <w:jc w:val="left"/>
              <w:rPr>
                <w:color w:val="000000"/>
              </w:rPr>
            </w:pPr>
            <w:r>
              <w:rPr>
                <w:color w:val="000000"/>
              </w:rPr>
              <w:t>Collateralized mortgage obligations</w:t>
            </w:r>
          </w:p>
        </w:tc>
        <w:tc>
          <w:tcPr>
            <w:tcW w:w="90"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pPr>
            <w:r>
              <w:rPr/>
              <w:t>—</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pPr>
            <w:r>
              <w:rPr/>
              <w:t>—</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0"/>
              <w:jc w:val="right"/>
              <w:rPr/>
            </w:pPr>
            <w:r>
              <w:rPr/>
              <w:t>63,398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pPr>
            <w:r>
              <w:rPr/>
              <w:t>4.56</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pPr>
            <w:r>
              <w:rPr/>
              <w:t>4,310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pPr>
            <w:r>
              <w:rPr/>
              <w:t>5.30</w:t>
            </w:r>
          </w:p>
        </w:tc>
        <w:tc>
          <w:tcPr>
            <w:tcW w:w="290" w:type="dxa"/>
            <w:tcBorders/>
            <w:vAlign w:val="bottom"/>
          </w:tcPr>
          <w:p>
            <w:pPr>
              <w:pStyle w:val="TableContents"/>
              <w:bidi w:val="0"/>
              <w:spacing w:before="0" w:after="0"/>
              <w:jc w:val="left"/>
              <w:rPr/>
            </w:pPr>
            <w:r>
              <w:rPr/>
              <w:t>%</w:t>
            </w:r>
          </w:p>
        </w:tc>
      </w:tr>
      <w:tr>
        <w:trPr/>
        <w:tc>
          <w:tcPr>
            <w:tcW w:w="1706" w:type="dxa"/>
            <w:tcBorders/>
            <w:shd w:fill="CCEEFF" w:val="clear"/>
            <w:vAlign w:val="bottom"/>
          </w:tcPr>
          <w:p>
            <w:pPr>
              <w:pStyle w:val="TableContents"/>
              <w:bidi w:val="0"/>
              <w:spacing w:before="0" w:after="0"/>
              <w:ind w:left="360" w:right="0" w:hanging="180"/>
              <w:jc w:val="left"/>
              <w:rPr>
                <w:color w:val="000000"/>
              </w:rPr>
            </w:pPr>
            <w:r>
              <w:rPr>
                <w:color w:val="000000"/>
              </w:rPr>
              <w:t>Asset-backed and other amortizing securities</w:t>
            </w:r>
          </w:p>
        </w:tc>
        <w:tc>
          <w:tcPr>
            <w:tcW w:w="90"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pPr>
            <w:r>
              <w:rPr/>
              <w:t>—</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0"/>
              <w:jc w:val="right"/>
              <w:rPr/>
            </w:pPr>
            <w:r>
              <w:rPr/>
              <w:t>254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pPr>
            <w:r>
              <w:rPr/>
              <w:t>2.99</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0"/>
              <w:jc w:val="right"/>
              <w:rPr/>
            </w:pPr>
            <w:r>
              <w:rPr/>
              <w:t>2,069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pPr>
            <w:r>
              <w:rPr/>
              <w:t>3.19</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pPr>
            <w:r>
              <w:rPr/>
              <w:t>11,649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pPr>
            <w:r>
              <w:rPr/>
              <w:t>2.75</w:t>
            </w:r>
          </w:p>
        </w:tc>
        <w:tc>
          <w:tcPr>
            <w:tcW w:w="290" w:type="dxa"/>
            <w:tcBorders/>
            <w:shd w:fill="CCEEFF" w:val="clear"/>
            <w:vAlign w:val="bottom"/>
          </w:tcPr>
          <w:p>
            <w:pPr>
              <w:pStyle w:val="TableContents"/>
              <w:bidi w:val="0"/>
              <w:spacing w:before="0" w:after="0"/>
              <w:jc w:val="left"/>
              <w:rPr/>
            </w:pPr>
            <w:r>
              <w:rPr/>
              <w:t>%</w:t>
            </w:r>
          </w:p>
        </w:tc>
      </w:tr>
      <w:tr>
        <w:trPr/>
        <w:tc>
          <w:tcPr>
            <w:tcW w:w="1706" w:type="dxa"/>
            <w:tcBorders/>
            <w:vAlign w:val="bottom"/>
          </w:tcPr>
          <w:p>
            <w:pPr>
              <w:pStyle w:val="TableContents"/>
              <w:bidi w:val="0"/>
              <w:spacing w:before="0" w:after="0"/>
              <w:ind w:left="360" w:right="0" w:hanging="180"/>
              <w:jc w:val="left"/>
              <w:rPr>
                <w:color w:val="000000"/>
              </w:rPr>
            </w:pPr>
            <w:r>
              <w:rPr>
                <w:color w:val="000000"/>
              </w:rPr>
              <w:t>Other securities</w:t>
            </w:r>
          </w:p>
        </w:tc>
        <w:tc>
          <w:tcPr>
            <w:tcW w:w="90" w:type="dxa"/>
            <w:tcBorders/>
            <w:vAlign w:val="bottom"/>
          </w:tcPr>
          <w:p>
            <w:pPr>
              <w:pStyle w:val="TableContents"/>
              <w:bidi w:val="0"/>
              <w:spacing w:before="0" w:after="283"/>
              <w:jc w:val="left"/>
              <w:rPr/>
            </w:pPr>
            <w:r>
              <w:rPr/>
              <w:t> </w:t>
            </w:r>
          </w:p>
        </w:tc>
        <w:tc>
          <w:tcPr>
            <w:tcW w:w="331" w:type="dxa"/>
            <w:tcBorders>
              <w:bottom w:val="single" w:sz="12" w:space="0" w:color="000000"/>
            </w:tcBorders>
            <w:tcMar>
              <w:bottom w:w="28" w:type="dxa"/>
            </w:tcMar>
            <w:vAlign w:val="bottom"/>
          </w:tcPr>
          <w:p>
            <w:pPr>
              <w:pStyle w:val="TableContents"/>
              <w:bidi w:val="0"/>
              <w:spacing w:before="0" w:after="283"/>
              <w:jc w:val="left"/>
              <w:rPr/>
            </w:pPr>
            <w:r>
              <w:rPr/>
              <w:t> </w:t>
            </w:r>
          </w:p>
        </w:tc>
        <w:tc>
          <w:tcPr>
            <w:tcW w:w="799"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bottom w:val="single" w:sz="12" w:space="0" w:color="000000"/>
            </w:tcBorders>
            <w:tcMar>
              <w:bottom w:w="28" w:type="dxa"/>
            </w:tcMar>
            <w:vAlign w:val="bottom"/>
          </w:tcPr>
          <w:p>
            <w:pPr>
              <w:pStyle w:val="TableContents"/>
              <w:bidi w:val="0"/>
              <w:spacing w:before="0" w:after="283"/>
              <w:jc w:val="left"/>
              <w:rPr/>
            </w:pPr>
            <w:r>
              <w:rPr/>
              <w:t> </w:t>
            </w:r>
          </w:p>
        </w:tc>
        <w:tc>
          <w:tcPr>
            <w:tcW w:w="861" w:type="dxa"/>
            <w:tcBorders>
              <w:bottom w:val="single" w:sz="12" w:space="0" w:color="000000"/>
            </w:tcBorders>
            <w:tcMar>
              <w:bottom w:w="28" w:type="dxa"/>
            </w:tcMar>
            <w:vAlign w:val="bottom"/>
          </w:tcPr>
          <w:p>
            <w:pPr>
              <w:pStyle w:val="TableContents"/>
              <w:bidi w:val="0"/>
              <w:spacing w:before="0" w:after="0"/>
              <w:jc w:val="right"/>
              <w:rPr/>
            </w:pPr>
            <w:r>
              <w:rPr/>
              <w:t>—</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22" w:type="dxa"/>
            <w:tcBorders>
              <w:bottom w:val="single" w:sz="12" w:space="0" w:color="000000"/>
            </w:tcBorders>
            <w:tcMar>
              <w:bottom w:w="28" w:type="dxa"/>
            </w:tcMar>
            <w:vAlign w:val="bottom"/>
          </w:tcPr>
          <w:p>
            <w:pPr>
              <w:pStyle w:val="TableContents"/>
              <w:bidi w:val="0"/>
              <w:spacing w:before="0" w:after="283"/>
              <w:jc w:val="left"/>
              <w:rPr/>
            </w:pPr>
            <w:r>
              <w:rPr/>
              <w:t> </w:t>
            </w:r>
          </w:p>
        </w:tc>
        <w:tc>
          <w:tcPr>
            <w:tcW w:w="908" w:type="dxa"/>
            <w:tcBorders>
              <w:bottom w:val="single" w:sz="12" w:space="0" w:color="000000"/>
            </w:tcBorders>
            <w:tcMar>
              <w:bottom w:w="28" w:type="dxa"/>
            </w:tcMar>
            <w:vAlign w:val="bottom"/>
          </w:tcPr>
          <w:p>
            <w:pPr>
              <w:pStyle w:val="TableContents"/>
              <w:bidi w:val="0"/>
              <w:spacing w:before="0" w:after="0"/>
              <w:jc w:val="right"/>
              <w:rPr/>
            </w:pPr>
            <w:r>
              <w:rPr/>
              <w:t>5,000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bottom w:val="single" w:sz="12" w:space="0" w:color="000000"/>
            </w:tcBorders>
            <w:tcMar>
              <w:bottom w:w="28" w:type="dxa"/>
            </w:tcMar>
            <w:vAlign w:val="bottom"/>
          </w:tcPr>
          <w:p>
            <w:pPr>
              <w:pStyle w:val="TableContents"/>
              <w:bidi w:val="0"/>
              <w:spacing w:before="0" w:after="283"/>
              <w:jc w:val="left"/>
              <w:rPr/>
            </w:pPr>
            <w:r>
              <w:rPr/>
              <w:t> </w:t>
            </w:r>
          </w:p>
        </w:tc>
        <w:tc>
          <w:tcPr>
            <w:tcW w:w="861" w:type="dxa"/>
            <w:tcBorders>
              <w:bottom w:val="single" w:sz="12" w:space="0" w:color="000000"/>
            </w:tcBorders>
            <w:tcMar>
              <w:bottom w:w="28" w:type="dxa"/>
            </w:tcMar>
            <w:vAlign w:val="bottom"/>
          </w:tcPr>
          <w:p>
            <w:pPr>
              <w:pStyle w:val="TableContents"/>
              <w:bidi w:val="0"/>
              <w:spacing w:before="0" w:after="0"/>
              <w:jc w:val="right"/>
              <w:rPr/>
            </w:pPr>
            <w:r>
              <w:rPr/>
              <w:t>7.53</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w:t>
            </w:r>
          </w:p>
        </w:tc>
        <w:tc>
          <w:tcPr>
            <w:tcW w:w="919"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bottom w:val="single" w:sz="12" w:space="0" w:color="000000"/>
            </w:tcBorders>
            <w:tcMar>
              <w:bottom w:w="28" w:type="dxa"/>
            </w:tcMar>
            <w:vAlign w:val="bottom"/>
          </w:tcPr>
          <w:p>
            <w:pPr>
              <w:pStyle w:val="TableContents"/>
              <w:bidi w:val="0"/>
              <w:spacing w:before="0" w:after="283"/>
              <w:jc w:val="left"/>
              <w:rPr/>
            </w:pPr>
            <w:r>
              <w:rPr/>
              <w:t> </w:t>
            </w:r>
          </w:p>
        </w:tc>
        <w:tc>
          <w:tcPr>
            <w:tcW w:w="861" w:type="dxa"/>
            <w:tcBorders>
              <w:bottom w:val="single" w:sz="12" w:space="0" w:color="000000"/>
            </w:tcBorders>
            <w:tcMar>
              <w:bottom w:w="28" w:type="dxa"/>
            </w:tcMar>
            <w:vAlign w:val="bottom"/>
          </w:tcPr>
          <w:p>
            <w:pPr>
              <w:pStyle w:val="TableContents"/>
              <w:bidi w:val="0"/>
              <w:spacing w:before="0" w:after="0"/>
              <w:jc w:val="right"/>
              <w:rPr/>
            </w:pPr>
            <w:r>
              <w:rPr/>
              <w:t>—</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 w:type="dxa"/>
            <w:tcBorders>
              <w:bottom w:val="single" w:sz="12" w:space="0" w:color="000000"/>
            </w:tcBorders>
            <w:tcMar>
              <w:bottom w:w="28" w:type="dxa"/>
            </w:tcMar>
            <w:vAlign w:val="bottom"/>
          </w:tcPr>
          <w:p>
            <w:pPr>
              <w:pStyle w:val="TableContents"/>
              <w:bidi w:val="0"/>
              <w:spacing w:before="0" w:after="283"/>
              <w:jc w:val="left"/>
              <w:rPr/>
            </w:pPr>
            <w:r>
              <w:rPr/>
              <w:t> </w:t>
            </w:r>
          </w:p>
        </w:tc>
        <w:tc>
          <w:tcPr>
            <w:tcW w:w="861" w:type="dxa"/>
            <w:tcBorders>
              <w:bottom w:val="single" w:sz="12" w:space="0" w:color="000000"/>
            </w:tcBorders>
            <w:tcMar>
              <w:bottom w:w="28" w:type="dxa"/>
            </w:tcMar>
            <w:vAlign w:val="bottom"/>
          </w:tcPr>
          <w:p>
            <w:pPr>
              <w:pStyle w:val="TableContents"/>
              <w:bidi w:val="0"/>
              <w:spacing w:before="0" w:after="0"/>
              <w:jc w:val="right"/>
              <w:rPr/>
            </w:pPr>
            <w:r>
              <w:rPr/>
              <w:t>—</w:t>
            </w:r>
          </w:p>
        </w:tc>
        <w:tc>
          <w:tcPr>
            <w:tcW w:w="290" w:type="dxa"/>
            <w:tcBorders/>
            <w:vAlign w:val="bottom"/>
          </w:tcPr>
          <w:p>
            <w:pPr>
              <w:pStyle w:val="TableContents"/>
              <w:bidi w:val="0"/>
              <w:spacing w:before="0" w:after="0"/>
              <w:jc w:val="left"/>
              <w:rPr/>
            </w:pPr>
            <w:r>
              <w:rPr/>
              <w:t>%</w:t>
            </w:r>
          </w:p>
        </w:tc>
      </w:tr>
      <w:tr>
        <w:trPr/>
        <w:tc>
          <w:tcPr>
            <w:tcW w:w="1706" w:type="dxa"/>
            <w:tcBorders/>
            <w:shd w:fill="CCEEFF" w:val="clear"/>
            <w:vAlign w:val="bottom"/>
          </w:tcPr>
          <w:p>
            <w:pPr>
              <w:pStyle w:val="TableContents"/>
              <w:bidi w:val="0"/>
              <w:spacing w:before="0" w:after="0"/>
              <w:ind w:left="360" w:right="0" w:hanging="0"/>
              <w:jc w:val="left"/>
              <w:rPr>
                <w:color w:val="000000"/>
              </w:rPr>
            </w:pPr>
            <w:r>
              <w:rPr>
                <w:color w:val="000000"/>
              </w:rPr>
              <w:t>Total available-for-sale</w:t>
            </w:r>
          </w:p>
        </w:tc>
        <w:tc>
          <w:tcPr>
            <w:tcW w:w="90" w:type="dxa"/>
            <w:tcBorders/>
            <w:shd w:fill="CCEEFF" w:val="clear"/>
            <w:vAlign w:val="bottom"/>
          </w:tcPr>
          <w:p>
            <w:pPr>
              <w:pStyle w:val="TableContents"/>
              <w:bidi w:val="0"/>
              <w:spacing w:before="0" w:after="283"/>
              <w:jc w:val="left"/>
              <w:rPr/>
            </w:pPr>
            <w:r>
              <w:rPr/>
              <w:t> </w:t>
            </w:r>
          </w:p>
        </w:tc>
        <w:tc>
          <w:tcPr>
            <w:tcW w:w="33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99" w:type="dxa"/>
            <w:tcBorders>
              <w:bottom w:val="double" w:sz="8" w:space="0" w:color="000000"/>
            </w:tcBorders>
            <w:shd w:fill="CCEEFF" w:val="clear"/>
            <w:tcMar>
              <w:bottom w:w="28" w:type="dxa"/>
            </w:tcMar>
            <w:vAlign w:val="bottom"/>
          </w:tcPr>
          <w:p>
            <w:pPr>
              <w:pStyle w:val="TableContents"/>
              <w:bidi w:val="0"/>
              <w:spacing w:before="0" w:after="0"/>
              <w:jc w:val="right"/>
              <w:rPr/>
            </w:pPr>
            <w:r>
              <w:rPr/>
              <w:t>586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61" w:type="dxa"/>
            <w:tcBorders>
              <w:bottom w:val="double" w:sz="8" w:space="0" w:color="000000"/>
            </w:tcBorders>
            <w:shd w:fill="CCEEFF" w:val="clear"/>
            <w:tcMar>
              <w:bottom w:w="28" w:type="dxa"/>
            </w:tcMar>
            <w:vAlign w:val="bottom"/>
          </w:tcPr>
          <w:p>
            <w:pPr>
              <w:pStyle w:val="TableContents"/>
              <w:bidi w:val="0"/>
              <w:spacing w:before="0" w:after="0"/>
              <w:jc w:val="right"/>
              <w:rPr/>
            </w:pPr>
            <w:r>
              <w:rPr/>
              <w:t>3.31</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22"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08" w:type="dxa"/>
            <w:tcBorders>
              <w:bottom w:val="double" w:sz="8" w:space="0" w:color="000000"/>
            </w:tcBorders>
            <w:shd w:fill="CCEEFF" w:val="clear"/>
            <w:tcMar>
              <w:bottom w:w="28" w:type="dxa"/>
            </w:tcMar>
            <w:vAlign w:val="bottom"/>
          </w:tcPr>
          <w:p>
            <w:pPr>
              <w:pStyle w:val="TableContents"/>
              <w:bidi w:val="0"/>
              <w:spacing w:before="0" w:after="0"/>
              <w:jc w:val="right"/>
              <w:rPr/>
            </w:pPr>
            <w:r>
              <w:rPr/>
              <w:t>12,898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61" w:type="dxa"/>
            <w:tcBorders>
              <w:bottom w:val="double" w:sz="8" w:space="0" w:color="000000"/>
            </w:tcBorders>
            <w:shd w:fill="CCEEFF" w:val="clear"/>
            <w:tcMar>
              <w:bottom w:w="28" w:type="dxa"/>
            </w:tcMar>
            <w:vAlign w:val="bottom"/>
          </w:tcPr>
          <w:p>
            <w:pPr>
              <w:pStyle w:val="TableContents"/>
              <w:bidi w:val="0"/>
              <w:spacing w:before="0" w:after="0"/>
              <w:jc w:val="right"/>
              <w:rPr/>
            </w:pPr>
            <w:r>
              <w:rPr/>
              <w:t>4.69</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19" w:type="dxa"/>
            <w:tcBorders>
              <w:bottom w:val="double" w:sz="8" w:space="0" w:color="000000"/>
            </w:tcBorders>
            <w:shd w:fill="CCEEFF" w:val="clear"/>
            <w:tcMar>
              <w:bottom w:w="28" w:type="dxa"/>
            </w:tcMar>
            <w:vAlign w:val="bottom"/>
          </w:tcPr>
          <w:p>
            <w:pPr>
              <w:pStyle w:val="TableContents"/>
              <w:bidi w:val="0"/>
              <w:spacing w:before="0" w:after="0"/>
              <w:jc w:val="right"/>
              <w:rPr/>
            </w:pPr>
            <w:r>
              <w:rPr/>
              <w:t>126,070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61" w:type="dxa"/>
            <w:tcBorders>
              <w:bottom w:val="double" w:sz="8" w:space="0" w:color="000000"/>
            </w:tcBorders>
            <w:shd w:fill="CCEEFF" w:val="clear"/>
            <w:tcMar>
              <w:bottom w:w="28" w:type="dxa"/>
            </w:tcMar>
            <w:vAlign w:val="bottom"/>
          </w:tcPr>
          <w:p>
            <w:pPr>
              <w:pStyle w:val="TableContents"/>
              <w:bidi w:val="0"/>
              <w:spacing w:before="0" w:after="0"/>
              <w:jc w:val="right"/>
              <w:rPr/>
            </w:pPr>
            <w:r>
              <w:rPr/>
              <w:t>3.47</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92"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38" w:type="dxa"/>
            <w:tcBorders>
              <w:bottom w:val="double" w:sz="8" w:space="0" w:color="000000"/>
            </w:tcBorders>
            <w:shd w:fill="CCEEFF" w:val="clear"/>
            <w:tcMar>
              <w:bottom w:w="28" w:type="dxa"/>
            </w:tcMar>
            <w:vAlign w:val="bottom"/>
          </w:tcPr>
          <w:p>
            <w:pPr>
              <w:pStyle w:val="TableContents"/>
              <w:bidi w:val="0"/>
              <w:spacing w:before="0" w:after="0"/>
              <w:jc w:val="right"/>
              <w:rPr/>
            </w:pPr>
            <w:r>
              <w:rPr/>
              <w:t>498,023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61" w:type="dxa"/>
            <w:tcBorders>
              <w:bottom w:val="double" w:sz="8" w:space="0" w:color="000000"/>
            </w:tcBorders>
            <w:shd w:fill="CCEEFF" w:val="clear"/>
            <w:tcMar>
              <w:bottom w:w="28" w:type="dxa"/>
            </w:tcMar>
            <w:vAlign w:val="bottom"/>
          </w:tcPr>
          <w:p>
            <w:pPr>
              <w:pStyle w:val="TableContents"/>
              <w:bidi w:val="0"/>
              <w:spacing w:before="0" w:after="0"/>
              <w:jc w:val="right"/>
              <w:rPr/>
            </w:pPr>
            <w:r>
              <w:rPr/>
              <w:t>2.36</w:t>
            </w:r>
          </w:p>
        </w:tc>
        <w:tc>
          <w:tcPr>
            <w:tcW w:w="290" w:type="dxa"/>
            <w:tcBorders/>
            <w:shd w:fill="CCEEFF" w:val="clear"/>
            <w:vAlign w:val="bottom"/>
          </w:tcPr>
          <w:p>
            <w:pPr>
              <w:pStyle w:val="TableContents"/>
              <w:bidi w:val="0"/>
              <w:spacing w:before="0" w:after="0"/>
              <w:jc w:val="left"/>
              <w:rPr/>
            </w:pPr>
            <w:r>
              <w:rPr/>
              <w:t>%</w:t>
            </w:r>
          </w:p>
        </w:tc>
      </w:tr>
    </w:tbl>
    <w:p>
      <w:pPr>
        <w:pStyle w:val="TextBody"/>
        <w:bidi w:val="0"/>
        <w:spacing w:before="0" w:after="0"/>
        <w:jc w:val="center"/>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Deposits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Total deposits at March 31, 2026 were $4.03 billion, representing an increase of $153.5 million, or 4.0%, compared to $3.87 billion at December 31, 2025. The increase in deposits was mainly due to a seasonal increase in public fund deposits and organic growth occurring broadly across retail and commercial deposits, with growth in both noninterest-bearing and interest-bearing deposits. As of March 31, 2026, 25.6% of total deposits were comprised of noninterest-bearing demand accounts, 63.4% of interest-bearing non-maturity accounts and 11.0% of time deposits.</w:t>
      </w:r>
    </w:p>
    <w:p>
      <w:pPr>
        <w:pStyle w:val="TextBody"/>
        <w:bidi w:val="0"/>
        <w:spacing w:before="0" w:after="0"/>
        <w:jc w:val="center"/>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shows the deposit mix as of the dates presented:</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227" w:name="z4d75ad4eee0649408405d6dc753e4cf6"/>
      <w:bookmarkStart w:id="228" w:name="z4d75ad4eee0649408405d6dc753e4cf6"/>
      <w:bookmarkEnd w:id="228"/>
    </w:p>
    <w:tbl>
      <w:tblPr>
        <w:tblW w:w="9283" w:type="dxa"/>
        <w:jc w:val="center"/>
        <w:tblInd w:w="0" w:type="dxa"/>
        <w:tblLayout w:type="fixed"/>
        <w:tblCellMar>
          <w:top w:w="0" w:type="dxa"/>
          <w:left w:w="0" w:type="dxa"/>
          <w:bottom w:w="0" w:type="dxa"/>
          <w:right w:w="0" w:type="dxa"/>
        </w:tblCellMar>
      </w:tblPr>
      <w:tblGrid>
        <w:gridCol w:w="3560"/>
        <w:gridCol w:w="90"/>
        <w:gridCol w:w="170"/>
        <w:gridCol w:w="1010"/>
        <w:gridCol w:w="90"/>
        <w:gridCol w:w="90"/>
        <w:gridCol w:w="151"/>
        <w:gridCol w:w="993"/>
        <w:gridCol w:w="245"/>
        <w:gridCol w:w="90"/>
        <w:gridCol w:w="170"/>
        <w:gridCol w:w="1010"/>
        <w:gridCol w:w="90"/>
        <w:gridCol w:w="90"/>
        <w:gridCol w:w="151"/>
        <w:gridCol w:w="993"/>
        <w:gridCol w:w="290"/>
      </w:tblGrid>
      <w:tr>
        <w:trPr/>
        <w:tc>
          <w:tcPr>
            <w:tcW w:w="35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04"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March 31, 2026</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04"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2025</w:t>
            </w:r>
          </w:p>
        </w:tc>
        <w:tc>
          <w:tcPr>
            <w:tcW w:w="290" w:type="dxa"/>
            <w:tcBorders/>
            <w:vAlign w:val="bottom"/>
          </w:tcPr>
          <w:p>
            <w:pPr>
              <w:pStyle w:val="TableContents"/>
              <w:bidi w:val="0"/>
              <w:spacing w:before="0" w:after="283"/>
              <w:jc w:val="left"/>
              <w:rPr/>
            </w:pPr>
            <w:r>
              <w:rPr/>
              <w:t> </w:t>
            </w:r>
          </w:p>
        </w:tc>
      </w:tr>
      <w:tr>
        <w:trPr/>
        <w:tc>
          <w:tcPr>
            <w:tcW w:w="35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of Total</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of Total</w:t>
            </w:r>
          </w:p>
        </w:tc>
        <w:tc>
          <w:tcPr>
            <w:tcW w:w="290" w:type="dxa"/>
            <w:tcBorders/>
            <w:vAlign w:val="bottom"/>
          </w:tcPr>
          <w:p>
            <w:pPr>
              <w:pStyle w:val="TableContents"/>
              <w:bidi w:val="0"/>
              <w:spacing w:before="0" w:after="283"/>
              <w:jc w:val="left"/>
              <w:rPr/>
            </w:pPr>
            <w:r>
              <w:rPr/>
              <w:t> </w:t>
            </w:r>
          </w:p>
        </w:tc>
      </w:tr>
      <w:tr>
        <w:trPr/>
        <w:tc>
          <w:tcPr>
            <w:tcW w:w="35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343" w:type="dxa"/>
            <w:gridSpan w:val="14"/>
            <w:tcBorders/>
            <w:vAlign w:val="bottom"/>
          </w:tcPr>
          <w:p>
            <w:pPr>
              <w:pStyle w:val="TableContents"/>
              <w:bidi w:val="0"/>
              <w:spacing w:before="0" w:after="0"/>
              <w:jc w:val="center"/>
              <w:rPr>
                <w:b/>
                <w:color w:val="000000"/>
              </w:rPr>
            </w:pPr>
            <w:r>
              <w:rPr>
                <w:b/>
                <w:color w:val="000000"/>
              </w:rPr>
              <w:t>(Dollars in thousands)</w:t>
            </w:r>
          </w:p>
        </w:tc>
        <w:tc>
          <w:tcPr>
            <w:tcW w:w="290" w:type="dxa"/>
            <w:tcBorders/>
            <w:vAlign w:val="bottom"/>
          </w:tcPr>
          <w:p>
            <w:pPr>
              <w:pStyle w:val="TableContents"/>
              <w:bidi w:val="0"/>
              <w:spacing w:before="0" w:after="283"/>
              <w:jc w:val="left"/>
              <w:rPr/>
            </w:pPr>
            <w:r>
              <w:rPr/>
              <w:t> </w:t>
            </w:r>
          </w:p>
        </w:tc>
      </w:tr>
      <w:tr>
        <w:trPr/>
        <w:tc>
          <w:tcPr>
            <w:tcW w:w="3560" w:type="dxa"/>
            <w:tcBorders/>
            <w:shd w:fill="CCEEFF" w:val="clear"/>
            <w:vAlign w:val="bottom"/>
          </w:tcPr>
          <w:p>
            <w:pPr>
              <w:pStyle w:val="TableContents"/>
              <w:bidi w:val="0"/>
              <w:spacing w:before="0" w:after="0"/>
              <w:ind w:left="144" w:right="0" w:hanging="144"/>
              <w:jc w:val="left"/>
              <w:rPr>
                <w:color w:val="000000"/>
              </w:rPr>
            </w:pPr>
            <w:r>
              <w:rPr>
                <w:color w:val="000000"/>
              </w:rPr>
              <w:t>Noninterest-bearing deposits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010" w:type="dxa"/>
            <w:tcBorders/>
            <w:shd w:fill="CCEEFF" w:val="clear"/>
            <w:vAlign w:val="bottom"/>
          </w:tcPr>
          <w:p>
            <w:pPr>
              <w:pStyle w:val="TableContents"/>
              <w:bidi w:val="0"/>
              <w:spacing w:before="0" w:after="0"/>
              <w:jc w:val="right"/>
              <w:rPr/>
            </w:pPr>
            <w:r>
              <w:rPr/>
              <w:t>1,034,117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pPr>
            <w:r>
              <w:rPr/>
              <w:t>25.6</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010" w:type="dxa"/>
            <w:tcBorders/>
            <w:shd w:fill="CCEEFF" w:val="clear"/>
            <w:vAlign w:val="bottom"/>
          </w:tcPr>
          <w:p>
            <w:pPr>
              <w:pStyle w:val="TableContents"/>
              <w:bidi w:val="0"/>
              <w:spacing w:before="0" w:after="0"/>
              <w:jc w:val="right"/>
              <w:rPr/>
            </w:pPr>
            <w:r>
              <w:rPr/>
              <w:t>1,023,517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pPr>
            <w:r>
              <w:rPr/>
              <w:t>26.4</w:t>
            </w:r>
          </w:p>
        </w:tc>
        <w:tc>
          <w:tcPr>
            <w:tcW w:w="290" w:type="dxa"/>
            <w:tcBorders/>
            <w:shd w:fill="CCEEFF" w:val="clear"/>
            <w:vAlign w:val="bottom"/>
          </w:tcPr>
          <w:p>
            <w:pPr>
              <w:pStyle w:val="TableContents"/>
              <w:bidi w:val="0"/>
              <w:spacing w:before="0" w:after="0"/>
              <w:jc w:val="left"/>
              <w:rPr/>
            </w:pPr>
            <w:r>
              <w:rPr/>
              <w:t>%</w:t>
            </w:r>
          </w:p>
        </w:tc>
      </w:tr>
      <w:tr>
        <w:trPr/>
        <w:tc>
          <w:tcPr>
            <w:tcW w:w="3560" w:type="dxa"/>
            <w:tcBorders/>
            <w:vAlign w:val="bottom"/>
          </w:tcPr>
          <w:p>
            <w:pPr>
              <w:pStyle w:val="TableContents"/>
              <w:bidi w:val="0"/>
              <w:spacing w:before="0" w:after="0"/>
              <w:jc w:val="left"/>
              <w:rPr>
                <w:color w:val="000000"/>
              </w:rPr>
            </w:pPr>
            <w:r>
              <w:rPr>
                <w:color w:val="000000"/>
              </w:rPr>
              <w:t>NOW and other transaction accounts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1,276,159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pPr>
            <w:r>
              <w:rPr/>
              <w:t>31.7</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1,307,596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pPr>
            <w:r>
              <w:rPr/>
              <w:t>33.8</w:t>
            </w:r>
          </w:p>
        </w:tc>
        <w:tc>
          <w:tcPr>
            <w:tcW w:w="290" w:type="dxa"/>
            <w:tcBorders/>
            <w:vAlign w:val="bottom"/>
          </w:tcPr>
          <w:p>
            <w:pPr>
              <w:pStyle w:val="TableContents"/>
              <w:bidi w:val="0"/>
              <w:spacing w:before="0" w:after="0"/>
              <w:jc w:val="left"/>
              <w:rPr/>
            </w:pPr>
            <w:r>
              <w:rPr/>
              <w:t>%</w:t>
            </w:r>
          </w:p>
        </w:tc>
      </w:tr>
      <w:tr>
        <w:trPr/>
        <w:tc>
          <w:tcPr>
            <w:tcW w:w="3560" w:type="dxa"/>
            <w:tcBorders/>
            <w:shd w:fill="CCEEFF" w:val="clear"/>
            <w:vAlign w:val="bottom"/>
          </w:tcPr>
          <w:p>
            <w:pPr>
              <w:pStyle w:val="TableContents"/>
              <w:bidi w:val="0"/>
              <w:spacing w:before="0" w:after="0"/>
              <w:jc w:val="left"/>
              <w:rPr>
                <w:color w:val="000000"/>
              </w:rPr>
            </w:pPr>
            <w:r>
              <w:rPr>
                <w:color w:val="000000"/>
              </w:rPr>
              <w:t>Money market and other savings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1,275,974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pPr>
            <w:r>
              <w:rPr/>
              <w:t>31.7</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1,111,529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pPr>
            <w:r>
              <w:rPr/>
              <w:t>28.7</w:t>
            </w:r>
          </w:p>
        </w:tc>
        <w:tc>
          <w:tcPr>
            <w:tcW w:w="290" w:type="dxa"/>
            <w:tcBorders/>
            <w:shd w:fill="CCEEFF" w:val="clear"/>
            <w:vAlign w:val="bottom"/>
          </w:tcPr>
          <w:p>
            <w:pPr>
              <w:pStyle w:val="TableContents"/>
              <w:bidi w:val="0"/>
              <w:spacing w:before="0" w:after="0"/>
              <w:jc w:val="left"/>
              <w:rPr/>
            </w:pPr>
            <w:r>
              <w:rPr/>
              <w:t>%</w:t>
            </w:r>
          </w:p>
        </w:tc>
      </w:tr>
      <w:tr>
        <w:trPr/>
        <w:tc>
          <w:tcPr>
            <w:tcW w:w="3560" w:type="dxa"/>
            <w:tcBorders/>
            <w:vAlign w:val="bottom"/>
          </w:tcPr>
          <w:p>
            <w:pPr>
              <w:pStyle w:val="TableContents"/>
              <w:bidi w:val="0"/>
              <w:spacing w:before="0" w:after="0"/>
              <w:jc w:val="left"/>
              <w:rPr>
                <w:color w:val="000000"/>
              </w:rPr>
            </w:pPr>
            <w:r>
              <w:rPr>
                <w:color w:val="000000"/>
              </w:rPr>
              <w:t>Time deposits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441,336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tcMar>
              <w:bottom w:w="28" w:type="dxa"/>
            </w:tcMar>
            <w:vAlign w:val="bottom"/>
          </w:tcPr>
          <w:p>
            <w:pPr>
              <w:pStyle w:val="TableContents"/>
              <w:bidi w:val="0"/>
              <w:spacing w:before="0" w:after="0"/>
              <w:jc w:val="right"/>
              <w:rPr/>
            </w:pPr>
            <w:r>
              <w:rPr/>
              <w:t>11.0</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431,435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tcMar>
              <w:bottom w:w="28" w:type="dxa"/>
            </w:tcMar>
            <w:vAlign w:val="bottom"/>
          </w:tcPr>
          <w:p>
            <w:pPr>
              <w:pStyle w:val="TableContents"/>
              <w:bidi w:val="0"/>
              <w:spacing w:before="0" w:after="0"/>
              <w:jc w:val="right"/>
              <w:rPr/>
            </w:pPr>
            <w:r>
              <w:rPr/>
              <w:t>11.1</w:t>
            </w:r>
          </w:p>
        </w:tc>
        <w:tc>
          <w:tcPr>
            <w:tcW w:w="290" w:type="dxa"/>
            <w:tcBorders/>
            <w:vAlign w:val="bottom"/>
          </w:tcPr>
          <w:p>
            <w:pPr>
              <w:pStyle w:val="TableContents"/>
              <w:bidi w:val="0"/>
              <w:spacing w:before="0" w:after="0"/>
              <w:jc w:val="left"/>
              <w:rPr/>
            </w:pPr>
            <w:r>
              <w:rPr/>
              <w:t>%</w:t>
            </w:r>
          </w:p>
        </w:tc>
      </w:tr>
      <w:tr>
        <w:trPr/>
        <w:tc>
          <w:tcPr>
            <w:tcW w:w="3560" w:type="dxa"/>
            <w:tcBorders/>
            <w:shd w:fill="CCEEFF" w:val="clear"/>
            <w:vAlign w:val="bottom"/>
          </w:tcPr>
          <w:p>
            <w:pPr>
              <w:pStyle w:val="TableContents"/>
              <w:bidi w:val="0"/>
              <w:spacing w:before="0" w:after="0"/>
              <w:ind w:left="360" w:right="0" w:hanging="0"/>
              <w:jc w:val="left"/>
              <w:rPr>
                <w:color w:val="000000"/>
              </w:rPr>
            </w:pPr>
            <w:r>
              <w:rPr>
                <w:color w:val="000000"/>
              </w:rPr>
              <w:t>Total deposits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pPr>
            <w:r>
              <w:rPr/>
              <w:t>4,027,586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93" w:type="dxa"/>
            <w:tcBorders>
              <w:bottom w:val="double" w:sz="8" w:space="0" w:color="000000"/>
            </w:tcBorders>
            <w:shd w:fill="CCEEFF" w:val="clear"/>
            <w:tcMar>
              <w:bottom w:w="28" w:type="dxa"/>
            </w:tcMar>
            <w:vAlign w:val="bottom"/>
          </w:tcPr>
          <w:p>
            <w:pPr>
              <w:pStyle w:val="TableContents"/>
              <w:bidi w:val="0"/>
              <w:spacing w:before="0" w:after="0"/>
              <w:jc w:val="right"/>
              <w:rPr/>
            </w:pPr>
            <w:r>
              <w:rPr/>
              <w:t>100.0</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pPr>
            <w:r>
              <w:rPr/>
              <w:t>3,874,077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93" w:type="dxa"/>
            <w:tcBorders>
              <w:bottom w:val="double" w:sz="8" w:space="0" w:color="000000"/>
            </w:tcBorders>
            <w:shd w:fill="CCEEFF" w:val="clear"/>
            <w:tcMar>
              <w:bottom w:w="28" w:type="dxa"/>
            </w:tcMar>
            <w:vAlign w:val="bottom"/>
          </w:tcPr>
          <w:p>
            <w:pPr>
              <w:pStyle w:val="TableContents"/>
              <w:bidi w:val="0"/>
              <w:spacing w:before="0" w:after="0"/>
              <w:jc w:val="right"/>
              <w:rPr/>
            </w:pPr>
            <w:r>
              <w:rPr/>
              <w:t>100.0</w:t>
            </w:r>
          </w:p>
        </w:tc>
        <w:tc>
          <w:tcPr>
            <w:tcW w:w="290" w:type="dxa"/>
            <w:tcBorders/>
            <w:shd w:fill="CCEEFF" w:val="clear"/>
            <w:vAlign w:val="bottom"/>
          </w:tcPr>
          <w:p>
            <w:pPr>
              <w:pStyle w:val="TableContents"/>
              <w:bidi w:val="0"/>
              <w:spacing w:before="0" w:after="0"/>
              <w:jc w:val="left"/>
              <w:rPr/>
            </w:pPr>
            <w:r>
              <w:rPr/>
              <w:t>%</w:t>
            </w:r>
          </w:p>
        </w:tc>
      </w:tr>
    </w:tbl>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summarizes our average deposit balances and weighted average rates paid on deposits, on an annualized basis, for the periods indicated.</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229" w:name="ze1ea044fdc3645f8936c10cbd4d6cf86"/>
      <w:bookmarkStart w:id="230" w:name="ze1ea044fdc3645f8936c10cbd4d6cf86"/>
      <w:bookmarkEnd w:id="230"/>
    </w:p>
    <w:tbl>
      <w:tblPr>
        <w:tblW w:w="10205" w:type="dxa"/>
        <w:jc w:val="center"/>
        <w:tblInd w:w="0" w:type="dxa"/>
        <w:tblLayout w:type="fixed"/>
        <w:tblCellMar>
          <w:top w:w="0" w:type="dxa"/>
          <w:left w:w="0" w:type="dxa"/>
          <w:bottom w:w="0" w:type="dxa"/>
          <w:right w:w="0" w:type="dxa"/>
        </w:tblCellMar>
      </w:tblPr>
      <w:tblGrid>
        <w:gridCol w:w="3716"/>
        <w:gridCol w:w="90"/>
        <w:gridCol w:w="191"/>
        <w:gridCol w:w="1140"/>
        <w:gridCol w:w="101"/>
        <w:gridCol w:w="101"/>
        <w:gridCol w:w="216"/>
        <w:gridCol w:w="1134"/>
        <w:gridCol w:w="245"/>
        <w:gridCol w:w="90"/>
        <w:gridCol w:w="191"/>
        <w:gridCol w:w="1140"/>
        <w:gridCol w:w="101"/>
        <w:gridCol w:w="101"/>
        <w:gridCol w:w="216"/>
        <w:gridCol w:w="1134"/>
        <w:gridCol w:w="298"/>
      </w:tblGrid>
      <w:tr>
        <w:trPr/>
        <w:tc>
          <w:tcPr>
            <w:tcW w:w="371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83" w:type="dxa"/>
            <w:gridSpan w:val="6"/>
            <w:tcBorders/>
            <w:vAlign w:val="bottom"/>
          </w:tcPr>
          <w:p>
            <w:pPr>
              <w:pStyle w:val="TableContents"/>
              <w:bidi w:val="0"/>
              <w:spacing w:before="0" w:after="0"/>
              <w:jc w:val="center"/>
              <w:rPr>
                <w:b/>
                <w:color w:val="000000"/>
              </w:rPr>
            </w:pPr>
            <w:r>
              <w:rPr>
                <w:b/>
                <w:color w:val="000000"/>
              </w:rPr>
              <w:t>Three Months Ended</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83" w:type="dxa"/>
            <w:gridSpan w:val="6"/>
            <w:tcBorders/>
            <w:vAlign w:val="bottom"/>
          </w:tcPr>
          <w:p>
            <w:pPr>
              <w:pStyle w:val="TableContents"/>
              <w:bidi w:val="0"/>
              <w:spacing w:before="0" w:after="0"/>
              <w:jc w:val="center"/>
              <w:rPr>
                <w:b/>
                <w:color w:val="000000"/>
              </w:rPr>
            </w:pPr>
            <w:r>
              <w:rPr>
                <w:b/>
                <w:color w:val="000000"/>
              </w:rPr>
              <w:t>Three Months Ended</w:t>
            </w:r>
          </w:p>
        </w:tc>
        <w:tc>
          <w:tcPr>
            <w:tcW w:w="298" w:type="dxa"/>
            <w:tcBorders/>
            <w:vAlign w:val="bottom"/>
          </w:tcPr>
          <w:p>
            <w:pPr>
              <w:pStyle w:val="TableContents"/>
              <w:bidi w:val="0"/>
              <w:spacing w:before="0" w:after="283"/>
              <w:jc w:val="left"/>
              <w:rPr/>
            </w:pPr>
            <w:r>
              <w:rPr/>
              <w:t> </w:t>
            </w:r>
          </w:p>
        </w:tc>
      </w:tr>
      <w:tr>
        <w:trPr/>
        <w:tc>
          <w:tcPr>
            <w:tcW w:w="371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83"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March 31, 2026</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83"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March 31, 2025</w:t>
            </w:r>
          </w:p>
        </w:tc>
        <w:tc>
          <w:tcPr>
            <w:tcW w:w="298" w:type="dxa"/>
            <w:tcBorders/>
            <w:vAlign w:val="bottom"/>
          </w:tcPr>
          <w:p>
            <w:pPr>
              <w:pStyle w:val="TableContents"/>
              <w:bidi w:val="0"/>
              <w:spacing w:before="0" w:after="283"/>
              <w:jc w:val="left"/>
              <w:rPr/>
            </w:pPr>
            <w:r>
              <w:rPr/>
              <w:t> </w:t>
            </w:r>
          </w:p>
        </w:tc>
      </w:tr>
      <w:tr>
        <w:trPr/>
        <w:tc>
          <w:tcPr>
            <w:tcW w:w="371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Balance</w:t>
            </w:r>
          </w:p>
        </w:tc>
        <w:tc>
          <w:tcPr>
            <w:tcW w:w="101"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35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Average Rate</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Average</w:t>
            </w:r>
          </w:p>
          <w:p>
            <w:pPr>
              <w:pStyle w:val="TableContents"/>
              <w:bidi w:val="0"/>
              <w:spacing w:before="0" w:after="0"/>
              <w:ind w:left="0" w:right="0" w:hanging="140"/>
              <w:jc w:val="center"/>
              <w:rPr>
                <w:b/>
                <w:color w:val="000000"/>
              </w:rPr>
            </w:pPr>
            <w:r>
              <w:rPr>
                <w:b/>
                <w:color w:val="000000"/>
              </w:rPr>
              <w:t>Balance</w:t>
            </w:r>
          </w:p>
        </w:tc>
        <w:tc>
          <w:tcPr>
            <w:tcW w:w="101"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35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ind w:left="0" w:right="0" w:hanging="140"/>
              <w:jc w:val="center"/>
              <w:rPr>
                <w:b/>
                <w:color w:val="000000"/>
              </w:rPr>
            </w:pPr>
            <w:r>
              <w:rPr>
                <w:b/>
                <w:color w:val="000000"/>
              </w:rPr>
              <w:t>Average Rate</w:t>
            </w:r>
          </w:p>
        </w:tc>
        <w:tc>
          <w:tcPr>
            <w:tcW w:w="298" w:type="dxa"/>
            <w:tcBorders/>
            <w:vAlign w:val="bottom"/>
          </w:tcPr>
          <w:p>
            <w:pPr>
              <w:pStyle w:val="TableContents"/>
              <w:bidi w:val="0"/>
              <w:spacing w:before="0" w:after="283"/>
              <w:jc w:val="left"/>
              <w:rPr/>
            </w:pPr>
            <w:r>
              <w:rPr/>
              <w:t> </w:t>
            </w:r>
          </w:p>
        </w:tc>
      </w:tr>
      <w:tr>
        <w:trPr/>
        <w:tc>
          <w:tcPr>
            <w:tcW w:w="371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101" w:type="dxa"/>
            <w:gridSpan w:val="14"/>
            <w:tcBorders/>
            <w:vAlign w:val="bottom"/>
          </w:tcPr>
          <w:p>
            <w:pPr>
              <w:pStyle w:val="TableContents"/>
              <w:bidi w:val="0"/>
              <w:spacing w:before="0" w:after="0"/>
              <w:ind w:left="0" w:right="0" w:hanging="140"/>
              <w:jc w:val="center"/>
              <w:rPr>
                <w:b/>
                <w:color w:val="000000"/>
              </w:rPr>
            </w:pPr>
            <w:r>
              <w:rPr>
                <w:b/>
                <w:color w:val="000000"/>
              </w:rPr>
              <w:t>(Dollars in thousands)</w:t>
            </w:r>
          </w:p>
        </w:tc>
        <w:tc>
          <w:tcPr>
            <w:tcW w:w="298" w:type="dxa"/>
            <w:tcBorders/>
            <w:vAlign w:val="bottom"/>
          </w:tcPr>
          <w:p>
            <w:pPr>
              <w:pStyle w:val="TableContents"/>
              <w:bidi w:val="0"/>
              <w:spacing w:before="0" w:after="283"/>
              <w:jc w:val="left"/>
              <w:rPr/>
            </w:pPr>
            <w:r>
              <w:rPr/>
              <w:t> </w:t>
            </w:r>
          </w:p>
        </w:tc>
      </w:tr>
      <w:tr>
        <w:trPr/>
        <w:tc>
          <w:tcPr>
            <w:tcW w:w="3716" w:type="dxa"/>
            <w:tcBorders/>
            <w:shd w:fill="CCEEFF" w:val="clear"/>
            <w:vAlign w:val="bottom"/>
          </w:tcPr>
          <w:p>
            <w:pPr>
              <w:pStyle w:val="TableContents"/>
              <w:bidi w:val="0"/>
              <w:spacing w:before="0" w:after="0"/>
              <w:ind w:left="144" w:right="0" w:hanging="144"/>
              <w:jc w:val="left"/>
              <w:rPr>
                <w:color w:val="000000"/>
              </w:rPr>
            </w:pPr>
            <w:r>
              <w:rPr>
                <w:color w:val="000000"/>
              </w:rPr>
              <w:t>Noninterest-bearing deposits</w:t>
            </w:r>
          </w:p>
        </w:tc>
        <w:tc>
          <w:tcPr>
            <w:tcW w:w="9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0"/>
              <w:jc w:val="left"/>
              <w:rPr>
                <w:color w:val="000000"/>
              </w:rPr>
            </w:pPr>
            <w:r>
              <w:rPr>
                <w:color w:val="000000"/>
              </w:rPr>
              <w:t>$</w:t>
            </w:r>
          </w:p>
        </w:tc>
        <w:tc>
          <w:tcPr>
            <w:tcW w:w="1140" w:type="dxa"/>
            <w:tcBorders/>
            <w:shd w:fill="CCEEFF" w:val="clear"/>
            <w:vAlign w:val="bottom"/>
          </w:tcPr>
          <w:p>
            <w:pPr>
              <w:pStyle w:val="TableContents"/>
              <w:bidi w:val="0"/>
              <w:spacing w:before="0" w:after="0"/>
              <w:jc w:val="right"/>
              <w:rPr>
                <w:color w:val="000000"/>
              </w:rPr>
            </w:pPr>
            <w:r>
              <w:rPr>
                <w:color w:val="000000"/>
              </w:rPr>
              <w:t>989,518</w:t>
            </w:r>
          </w:p>
        </w:tc>
        <w:tc>
          <w:tcPr>
            <w:tcW w:w="101"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0"/>
              <w:jc w:val="right"/>
              <w:rPr>
                <w:color w:val="000000"/>
              </w:rPr>
            </w:pPr>
            <w:r>
              <w:rPr>
                <w:color w:val="000000"/>
              </w:rPr>
              <w:t>—</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0"/>
              <w:jc w:val="left"/>
              <w:rPr>
                <w:color w:val="000000"/>
              </w:rPr>
            </w:pPr>
            <w:r>
              <w:rPr>
                <w:color w:val="000000"/>
              </w:rPr>
              <w:t>$</w:t>
            </w:r>
          </w:p>
        </w:tc>
        <w:tc>
          <w:tcPr>
            <w:tcW w:w="1140" w:type="dxa"/>
            <w:tcBorders/>
            <w:shd w:fill="CCEEFF" w:val="clear"/>
            <w:vAlign w:val="bottom"/>
          </w:tcPr>
          <w:p>
            <w:pPr>
              <w:pStyle w:val="TableContents"/>
              <w:bidi w:val="0"/>
              <w:spacing w:before="0" w:after="0"/>
              <w:jc w:val="right"/>
              <w:rPr>
                <w:color w:val="000000"/>
              </w:rPr>
            </w:pPr>
            <w:r>
              <w:rPr>
                <w:color w:val="000000"/>
              </w:rPr>
              <w:t>934,775</w:t>
            </w:r>
          </w:p>
        </w:tc>
        <w:tc>
          <w:tcPr>
            <w:tcW w:w="101"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0"/>
              <w:jc w:val="right"/>
              <w:rPr>
                <w:color w:val="000000"/>
              </w:rPr>
            </w:pPr>
            <w:r>
              <w:rPr>
                <w:color w:val="000000"/>
              </w:rPr>
              <w:t>—</w:t>
            </w:r>
          </w:p>
        </w:tc>
        <w:tc>
          <w:tcPr>
            <w:tcW w:w="298" w:type="dxa"/>
            <w:tcBorders/>
            <w:shd w:fill="CCEEFF" w:val="clear"/>
            <w:vAlign w:val="bottom"/>
          </w:tcPr>
          <w:p>
            <w:pPr>
              <w:pStyle w:val="TableContents"/>
              <w:bidi w:val="0"/>
              <w:spacing w:before="0" w:after="0"/>
              <w:jc w:val="left"/>
              <w:rPr>
                <w:color w:val="000000"/>
              </w:rPr>
            </w:pPr>
            <w:r>
              <w:rPr>
                <w:color w:val="000000"/>
              </w:rPr>
              <w:t>%</w:t>
            </w:r>
          </w:p>
        </w:tc>
      </w:tr>
      <w:tr>
        <w:trPr/>
        <w:tc>
          <w:tcPr>
            <w:tcW w:w="3716" w:type="dxa"/>
            <w:tcBorders/>
            <w:vAlign w:val="bottom"/>
          </w:tcPr>
          <w:p>
            <w:pPr>
              <w:pStyle w:val="TableContents"/>
              <w:bidi w:val="0"/>
              <w:spacing w:before="0" w:after="0"/>
              <w:ind w:left="144" w:right="0" w:hanging="144"/>
              <w:jc w:val="left"/>
              <w:rPr>
                <w:color w:val="000000"/>
              </w:rPr>
            </w:pPr>
            <w:r>
              <w:rPr>
                <w:color w:val="000000"/>
              </w:rPr>
              <w:t>Interest-bearing deposits:</w:t>
            </w:r>
          </w:p>
        </w:tc>
        <w:tc>
          <w:tcPr>
            <w:tcW w:w="9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 </w:t>
            </w:r>
          </w:p>
        </w:tc>
        <w:tc>
          <w:tcPr>
            <w:tcW w:w="101"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 </w:t>
            </w:r>
          </w:p>
        </w:tc>
        <w:tc>
          <w:tcPr>
            <w:tcW w:w="101"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 </w:t>
            </w:r>
          </w:p>
        </w:tc>
        <w:tc>
          <w:tcPr>
            <w:tcW w:w="298" w:type="dxa"/>
            <w:tcBorders/>
            <w:vAlign w:val="bottom"/>
          </w:tcPr>
          <w:p>
            <w:pPr>
              <w:pStyle w:val="TableContents"/>
              <w:bidi w:val="0"/>
              <w:spacing w:before="0" w:after="283"/>
              <w:jc w:val="left"/>
              <w:rPr/>
            </w:pPr>
            <w:r>
              <w:rPr/>
              <w:t> </w:t>
            </w:r>
          </w:p>
        </w:tc>
      </w:tr>
      <w:tr>
        <w:trPr/>
        <w:tc>
          <w:tcPr>
            <w:tcW w:w="3716" w:type="dxa"/>
            <w:tcBorders/>
            <w:shd w:fill="CCEEFF" w:val="clear"/>
            <w:vAlign w:val="bottom"/>
          </w:tcPr>
          <w:p>
            <w:pPr>
              <w:pStyle w:val="TableContents"/>
              <w:bidi w:val="0"/>
              <w:spacing w:before="0" w:after="0"/>
              <w:ind w:left="180" w:right="0" w:hanging="0"/>
              <w:jc w:val="left"/>
              <w:rPr>
                <w:color w:val="000000"/>
              </w:rPr>
            </w:pPr>
            <w:r>
              <w:rPr>
                <w:color w:val="000000"/>
              </w:rPr>
              <w:t>NOW and interest-bearing demand accounts</w:t>
            </w:r>
          </w:p>
        </w:tc>
        <w:tc>
          <w:tcPr>
            <w:tcW w:w="9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0"/>
              <w:jc w:val="right"/>
              <w:rPr>
                <w:color w:val="000000"/>
              </w:rPr>
            </w:pPr>
            <w:r>
              <w:rPr>
                <w:color w:val="000000"/>
              </w:rPr>
              <w:t>1,325,052</w:t>
            </w:r>
          </w:p>
        </w:tc>
        <w:tc>
          <w:tcPr>
            <w:tcW w:w="101"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0"/>
              <w:jc w:val="right"/>
              <w:rPr>
                <w:color w:val="000000"/>
              </w:rPr>
            </w:pPr>
            <w:r>
              <w:rPr>
                <w:color w:val="000000"/>
              </w:rPr>
              <w:t>2.38</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0"/>
              <w:jc w:val="right"/>
              <w:rPr>
                <w:color w:val="000000"/>
              </w:rPr>
            </w:pPr>
            <w:r>
              <w:rPr>
                <w:color w:val="000000"/>
              </w:rPr>
              <w:t>922,631</w:t>
            </w:r>
          </w:p>
        </w:tc>
        <w:tc>
          <w:tcPr>
            <w:tcW w:w="101"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0"/>
              <w:jc w:val="right"/>
              <w:rPr>
                <w:color w:val="000000"/>
              </w:rPr>
            </w:pPr>
            <w:r>
              <w:rPr>
                <w:color w:val="000000"/>
              </w:rPr>
              <w:t>2.97</w:t>
            </w:r>
          </w:p>
        </w:tc>
        <w:tc>
          <w:tcPr>
            <w:tcW w:w="298" w:type="dxa"/>
            <w:tcBorders/>
            <w:shd w:fill="CCEEFF" w:val="clear"/>
            <w:vAlign w:val="bottom"/>
          </w:tcPr>
          <w:p>
            <w:pPr>
              <w:pStyle w:val="TableContents"/>
              <w:bidi w:val="0"/>
              <w:spacing w:before="0" w:after="0"/>
              <w:jc w:val="left"/>
              <w:rPr>
                <w:color w:val="000000"/>
              </w:rPr>
            </w:pPr>
            <w:r>
              <w:rPr>
                <w:color w:val="000000"/>
              </w:rPr>
              <w:t>%</w:t>
            </w:r>
          </w:p>
        </w:tc>
      </w:tr>
      <w:tr>
        <w:trPr/>
        <w:tc>
          <w:tcPr>
            <w:tcW w:w="3716" w:type="dxa"/>
            <w:tcBorders/>
            <w:vAlign w:val="bottom"/>
          </w:tcPr>
          <w:p>
            <w:pPr>
              <w:pStyle w:val="TableContents"/>
              <w:bidi w:val="0"/>
              <w:spacing w:before="0" w:after="0"/>
              <w:ind w:left="180" w:right="0" w:hanging="0"/>
              <w:jc w:val="left"/>
              <w:rPr>
                <w:color w:val="000000"/>
              </w:rPr>
            </w:pPr>
            <w:r>
              <w:rPr>
                <w:color w:val="000000"/>
              </w:rPr>
              <w:t>Savings accounts</w:t>
            </w:r>
          </w:p>
        </w:tc>
        <w:tc>
          <w:tcPr>
            <w:tcW w:w="9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0"/>
              <w:jc w:val="right"/>
              <w:rPr>
                <w:color w:val="000000"/>
              </w:rPr>
            </w:pPr>
            <w:r>
              <w:rPr>
                <w:color w:val="000000"/>
              </w:rPr>
              <w:t>133,101</w:t>
            </w:r>
          </w:p>
        </w:tc>
        <w:tc>
          <w:tcPr>
            <w:tcW w:w="101"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0"/>
              <w:jc w:val="right"/>
              <w:rPr>
                <w:color w:val="000000"/>
              </w:rPr>
            </w:pPr>
            <w:r>
              <w:rPr>
                <w:color w:val="000000"/>
              </w:rPr>
              <w:t>0.70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0"/>
              <w:jc w:val="right"/>
              <w:rPr>
                <w:color w:val="000000"/>
              </w:rPr>
            </w:pPr>
            <w:r>
              <w:rPr>
                <w:color w:val="000000"/>
              </w:rPr>
              <w:t>134,284</w:t>
            </w:r>
          </w:p>
        </w:tc>
        <w:tc>
          <w:tcPr>
            <w:tcW w:w="101"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0"/>
              <w:jc w:val="right"/>
              <w:rPr>
                <w:color w:val="000000"/>
              </w:rPr>
            </w:pPr>
            <w:r>
              <w:rPr>
                <w:color w:val="000000"/>
              </w:rPr>
              <w:t>0.81</w:t>
            </w:r>
          </w:p>
        </w:tc>
        <w:tc>
          <w:tcPr>
            <w:tcW w:w="298" w:type="dxa"/>
            <w:tcBorders/>
            <w:vAlign w:val="bottom"/>
          </w:tcPr>
          <w:p>
            <w:pPr>
              <w:pStyle w:val="TableContents"/>
              <w:bidi w:val="0"/>
              <w:spacing w:before="0" w:after="0"/>
              <w:jc w:val="left"/>
              <w:rPr>
                <w:color w:val="000000"/>
              </w:rPr>
            </w:pPr>
            <w:r>
              <w:rPr>
                <w:color w:val="000000"/>
              </w:rPr>
              <w:t>%</w:t>
            </w:r>
          </w:p>
        </w:tc>
      </w:tr>
      <w:tr>
        <w:trPr/>
        <w:tc>
          <w:tcPr>
            <w:tcW w:w="3716" w:type="dxa"/>
            <w:tcBorders/>
            <w:shd w:fill="CCEEFF" w:val="clear"/>
            <w:vAlign w:val="bottom"/>
          </w:tcPr>
          <w:p>
            <w:pPr>
              <w:pStyle w:val="TableContents"/>
              <w:bidi w:val="0"/>
              <w:spacing w:before="0" w:after="0"/>
              <w:ind w:left="180" w:right="0" w:hanging="0"/>
              <w:jc w:val="left"/>
              <w:rPr>
                <w:color w:val="000000"/>
              </w:rPr>
            </w:pPr>
            <w:r>
              <w:rPr>
                <w:color w:val="000000"/>
              </w:rPr>
              <w:t>Money market accounts</w:t>
            </w:r>
          </w:p>
        </w:tc>
        <w:tc>
          <w:tcPr>
            <w:tcW w:w="9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0"/>
              <w:jc w:val="right"/>
              <w:rPr>
                <w:color w:val="000000"/>
              </w:rPr>
            </w:pPr>
            <w:r>
              <w:rPr>
                <w:color w:val="000000"/>
              </w:rPr>
              <w:t>1,009,325</w:t>
            </w:r>
          </w:p>
        </w:tc>
        <w:tc>
          <w:tcPr>
            <w:tcW w:w="101"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0"/>
              <w:jc w:val="right"/>
              <w:rPr>
                <w:color w:val="000000"/>
              </w:rPr>
            </w:pPr>
            <w:r>
              <w:rPr>
                <w:color w:val="000000"/>
              </w:rPr>
              <w:t>2.83</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0"/>
              <w:jc w:val="right"/>
              <w:rPr>
                <w:color w:val="000000"/>
              </w:rPr>
            </w:pPr>
            <w:r>
              <w:rPr>
                <w:color w:val="000000"/>
              </w:rPr>
              <w:t>1,245,429</w:t>
            </w:r>
          </w:p>
        </w:tc>
        <w:tc>
          <w:tcPr>
            <w:tcW w:w="101"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0"/>
              <w:jc w:val="right"/>
              <w:rPr>
                <w:color w:val="000000"/>
              </w:rPr>
            </w:pPr>
            <w:r>
              <w:rPr>
                <w:color w:val="000000"/>
              </w:rPr>
              <w:t>2.76</w:t>
            </w:r>
          </w:p>
        </w:tc>
        <w:tc>
          <w:tcPr>
            <w:tcW w:w="298" w:type="dxa"/>
            <w:tcBorders/>
            <w:shd w:fill="CCEEFF" w:val="clear"/>
            <w:vAlign w:val="bottom"/>
          </w:tcPr>
          <w:p>
            <w:pPr>
              <w:pStyle w:val="TableContents"/>
              <w:bidi w:val="0"/>
              <w:spacing w:before="0" w:after="0"/>
              <w:jc w:val="left"/>
              <w:rPr>
                <w:color w:val="000000"/>
              </w:rPr>
            </w:pPr>
            <w:r>
              <w:rPr>
                <w:color w:val="000000"/>
              </w:rPr>
              <w:t>%</w:t>
            </w:r>
          </w:p>
        </w:tc>
      </w:tr>
      <w:tr>
        <w:trPr/>
        <w:tc>
          <w:tcPr>
            <w:tcW w:w="3716" w:type="dxa"/>
            <w:tcBorders/>
            <w:vAlign w:val="bottom"/>
          </w:tcPr>
          <w:p>
            <w:pPr>
              <w:pStyle w:val="TableContents"/>
              <w:bidi w:val="0"/>
              <w:spacing w:before="0" w:after="0"/>
              <w:ind w:left="180" w:right="0" w:hanging="0"/>
              <w:jc w:val="left"/>
              <w:rPr>
                <w:color w:val="000000"/>
              </w:rPr>
            </w:pPr>
            <w:r>
              <w:rPr>
                <w:color w:val="000000"/>
              </w:rPr>
              <w:t>Time deposits</w:t>
            </w:r>
          </w:p>
        </w:tc>
        <w:tc>
          <w:tcPr>
            <w:tcW w:w="90" w:type="dxa"/>
            <w:tcBorders/>
            <w:vAlign w:val="bottom"/>
          </w:tcPr>
          <w:p>
            <w:pPr>
              <w:pStyle w:val="TableContents"/>
              <w:bidi w:val="0"/>
              <w:spacing w:before="0" w:after="283"/>
              <w:jc w:val="left"/>
              <w:rPr/>
            </w:pPr>
            <w:r>
              <w:rPr/>
              <w:t> </w:t>
            </w:r>
          </w:p>
        </w:tc>
        <w:tc>
          <w:tcPr>
            <w:tcW w:w="19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436,649</w:t>
            </w:r>
          </w:p>
        </w:tc>
        <w:tc>
          <w:tcPr>
            <w:tcW w:w="101"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3.55</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9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441,895</w:t>
            </w:r>
          </w:p>
        </w:tc>
        <w:tc>
          <w:tcPr>
            <w:tcW w:w="101"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3.96</w:t>
            </w:r>
          </w:p>
        </w:tc>
        <w:tc>
          <w:tcPr>
            <w:tcW w:w="298" w:type="dxa"/>
            <w:tcBorders/>
            <w:vAlign w:val="bottom"/>
          </w:tcPr>
          <w:p>
            <w:pPr>
              <w:pStyle w:val="TableContents"/>
              <w:bidi w:val="0"/>
              <w:spacing w:before="0" w:after="0"/>
              <w:jc w:val="left"/>
              <w:rPr>
                <w:color w:val="000000"/>
              </w:rPr>
            </w:pPr>
            <w:r>
              <w:rPr>
                <w:color w:val="000000"/>
              </w:rPr>
              <w:t>%</w:t>
            </w:r>
          </w:p>
        </w:tc>
      </w:tr>
      <w:tr>
        <w:trPr/>
        <w:tc>
          <w:tcPr>
            <w:tcW w:w="3716" w:type="dxa"/>
            <w:tcBorders/>
            <w:shd w:fill="CCEEFF" w:val="clear"/>
            <w:vAlign w:val="bottom"/>
          </w:tcPr>
          <w:p>
            <w:pPr>
              <w:pStyle w:val="TableContents"/>
              <w:bidi w:val="0"/>
              <w:spacing w:before="0" w:after="0"/>
              <w:ind w:left="360" w:right="0" w:hanging="0"/>
              <w:jc w:val="left"/>
              <w:rPr>
                <w:color w:val="000000"/>
              </w:rPr>
            </w:pPr>
            <w:r>
              <w:rPr>
                <w:color w:val="000000"/>
              </w:rPr>
              <w:t>Total interest-bearing deposits</w:t>
            </w:r>
          </w:p>
        </w:tc>
        <w:tc>
          <w:tcPr>
            <w:tcW w:w="90" w:type="dxa"/>
            <w:tcBorders/>
            <w:shd w:fill="CCEEFF" w:val="clear"/>
            <w:vAlign w:val="bottom"/>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4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2,904,127</w:t>
            </w:r>
          </w:p>
        </w:tc>
        <w:tc>
          <w:tcPr>
            <w:tcW w:w="101"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0"/>
              <w:jc w:val="right"/>
              <w:rPr>
                <w:color w:val="000000"/>
              </w:rPr>
            </w:pPr>
            <w:r>
              <w:rPr>
                <w:color w:val="000000"/>
              </w:rPr>
              <w:t>2.64</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4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2,744,239</w:t>
            </w:r>
          </w:p>
        </w:tc>
        <w:tc>
          <w:tcPr>
            <w:tcW w:w="101"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0"/>
              <w:jc w:val="right"/>
              <w:rPr>
                <w:color w:val="000000"/>
              </w:rPr>
            </w:pPr>
            <w:r>
              <w:rPr>
                <w:color w:val="000000"/>
              </w:rPr>
              <w:t>2.93</w:t>
            </w:r>
          </w:p>
        </w:tc>
        <w:tc>
          <w:tcPr>
            <w:tcW w:w="298" w:type="dxa"/>
            <w:tcBorders/>
            <w:shd w:fill="CCEEFF" w:val="clear"/>
            <w:vAlign w:val="bottom"/>
          </w:tcPr>
          <w:p>
            <w:pPr>
              <w:pStyle w:val="TableContents"/>
              <w:bidi w:val="0"/>
              <w:spacing w:before="0" w:after="0"/>
              <w:jc w:val="left"/>
              <w:rPr>
                <w:color w:val="000000"/>
              </w:rPr>
            </w:pPr>
            <w:r>
              <w:rPr>
                <w:color w:val="000000"/>
              </w:rPr>
              <w:t>%</w:t>
            </w:r>
          </w:p>
        </w:tc>
      </w:tr>
      <w:tr>
        <w:trPr/>
        <w:tc>
          <w:tcPr>
            <w:tcW w:w="3716" w:type="dxa"/>
            <w:tcBorders/>
            <w:vAlign w:val="bottom"/>
          </w:tcPr>
          <w:p>
            <w:pPr>
              <w:pStyle w:val="TableContents"/>
              <w:bidi w:val="0"/>
              <w:spacing w:before="0" w:after="0"/>
              <w:ind w:left="540" w:right="0" w:hanging="0"/>
              <w:jc w:val="left"/>
              <w:rPr>
                <w:color w:val="000000"/>
              </w:rPr>
            </w:pPr>
            <w:r>
              <w:rPr>
                <w:color w:val="000000"/>
              </w:rPr>
              <w:t>Total deposits</w:t>
            </w:r>
          </w:p>
        </w:tc>
        <w:tc>
          <w:tcPr>
            <w:tcW w:w="90" w:type="dxa"/>
            <w:tcBorders/>
            <w:vAlign w:val="bottom"/>
          </w:tcPr>
          <w:p>
            <w:pPr>
              <w:pStyle w:val="TableContents"/>
              <w:bidi w:val="0"/>
              <w:spacing w:before="0" w:after="283"/>
              <w:jc w:val="left"/>
              <w:rPr/>
            </w:pPr>
            <w:r>
              <w:rPr/>
              <w:t> </w:t>
            </w:r>
          </w:p>
        </w:tc>
        <w:tc>
          <w:tcPr>
            <w:tcW w:w="19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4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3,893,645</w:t>
            </w:r>
          </w:p>
        </w:tc>
        <w:tc>
          <w:tcPr>
            <w:tcW w:w="101"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6" w:type="dxa"/>
            <w:tcBorders>
              <w:bottom w:val="double" w:sz="8" w:space="0" w:color="000000"/>
            </w:tcBorders>
            <w:tcMar>
              <w:bottom w:w="28" w:type="dxa"/>
            </w:tcMar>
            <w:vAlign w:val="bottom"/>
          </w:tcPr>
          <w:p>
            <w:pPr>
              <w:pStyle w:val="TableContents"/>
              <w:bidi w:val="0"/>
              <w:spacing w:before="0" w:after="283"/>
              <w:jc w:val="left"/>
              <w:rPr/>
            </w:pPr>
            <w:r>
              <w:rPr/>
              <w:t> </w:t>
            </w:r>
          </w:p>
        </w:tc>
        <w:tc>
          <w:tcPr>
            <w:tcW w:w="113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1.97</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9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4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3,679,014</w:t>
            </w:r>
          </w:p>
        </w:tc>
        <w:tc>
          <w:tcPr>
            <w:tcW w:w="101"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6" w:type="dxa"/>
            <w:tcBorders>
              <w:bottom w:val="double" w:sz="8" w:space="0" w:color="000000"/>
            </w:tcBorders>
            <w:tcMar>
              <w:bottom w:w="28" w:type="dxa"/>
            </w:tcMar>
            <w:vAlign w:val="bottom"/>
          </w:tcPr>
          <w:p>
            <w:pPr>
              <w:pStyle w:val="TableContents"/>
              <w:bidi w:val="0"/>
              <w:spacing w:before="0" w:after="283"/>
              <w:jc w:val="left"/>
              <w:rPr/>
            </w:pPr>
            <w:r>
              <w:rPr/>
              <w:t> </w:t>
            </w:r>
          </w:p>
        </w:tc>
        <w:tc>
          <w:tcPr>
            <w:tcW w:w="113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2.19</w:t>
            </w:r>
          </w:p>
        </w:tc>
        <w:tc>
          <w:tcPr>
            <w:tcW w:w="298"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Time deposits issued in amounts of more than $250 thousand represent the type of deposit most likely to affect the Company’s future earnings because of interest rate sensitivity. The effective cost of these funds is generally higher than other time deposits because the funds are usually obtained at premium rates of interest.</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39</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scheduled maturities of time deposits of more than $250 thousand as of March 31, 2026 follows:</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231" w:name="zf65b8e284f5d4978a88c985a5cfb45d1"/>
      <w:bookmarkStart w:id="232" w:name="zf65b8e284f5d4978a88c985a5cfb45d1"/>
      <w:bookmarkEnd w:id="232"/>
    </w:p>
    <w:tbl>
      <w:tblPr>
        <w:tblW w:w="8587" w:type="dxa"/>
        <w:jc w:val="center"/>
        <w:tblInd w:w="0" w:type="dxa"/>
        <w:tblLayout w:type="fixed"/>
        <w:tblCellMar>
          <w:top w:w="0" w:type="dxa"/>
          <w:left w:w="0" w:type="dxa"/>
          <w:bottom w:w="0" w:type="dxa"/>
          <w:right w:w="0" w:type="dxa"/>
        </w:tblCellMar>
      </w:tblPr>
      <w:tblGrid>
        <w:gridCol w:w="2300"/>
        <w:gridCol w:w="90"/>
        <w:gridCol w:w="170"/>
        <w:gridCol w:w="710"/>
        <w:gridCol w:w="90"/>
        <w:gridCol w:w="90"/>
        <w:gridCol w:w="232"/>
        <w:gridCol w:w="972"/>
        <w:gridCol w:w="90"/>
        <w:gridCol w:w="90"/>
        <w:gridCol w:w="218"/>
        <w:gridCol w:w="911"/>
        <w:gridCol w:w="90"/>
        <w:gridCol w:w="90"/>
        <w:gridCol w:w="251"/>
        <w:gridCol w:w="878"/>
        <w:gridCol w:w="90"/>
        <w:gridCol w:w="90"/>
        <w:gridCol w:w="170"/>
        <w:gridCol w:w="830"/>
        <w:gridCol w:w="135"/>
      </w:tblGrid>
      <w:tr>
        <w:trPr/>
        <w:tc>
          <w:tcPr>
            <w:tcW w:w="2300" w:type="dxa"/>
            <w:tcBorders/>
            <w:vAlign w:val="bottom"/>
          </w:tcPr>
          <w:p>
            <w:pPr>
              <w:pStyle w:val="TableContents"/>
              <w:bidi w:val="0"/>
              <w:spacing w:before="0" w:after="0"/>
              <w:ind w:left="144" w:right="0" w:hanging="144"/>
              <w:jc w:val="left"/>
              <w:rPr>
                <w:b/>
                <w:color w:val="000000"/>
              </w:rPr>
            </w:pPr>
            <w:r>
              <w:rPr>
                <w:b/>
                <w:color w:val="000000"/>
              </w:rPr>
              <w:t>(Dollars in thousands)</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w:t>
            </w:r>
          </w:p>
          <w:p>
            <w:pPr>
              <w:pStyle w:val="TableContents"/>
              <w:bidi w:val="0"/>
              <w:spacing w:before="0" w:after="0"/>
              <w:jc w:val="center"/>
              <w:rPr>
                <w:b/>
                <w:color w:val="000000"/>
              </w:rPr>
            </w:pPr>
            <w:r>
              <w:rPr>
                <w:b/>
                <w:color w:val="000000"/>
              </w:rPr>
              <w:t>Months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to</w:t>
            </w:r>
          </w:p>
          <w:p>
            <w:pPr>
              <w:pStyle w:val="TableContents"/>
              <w:bidi w:val="0"/>
              <w:spacing w:before="0" w:after="0"/>
              <w:jc w:val="center"/>
              <w:rPr>
                <w:b/>
                <w:color w:val="000000"/>
              </w:rPr>
            </w:pPr>
            <w:r>
              <w:rPr>
                <w:b/>
                <w:color w:val="000000"/>
              </w:rPr>
              <w:t>Six Months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to</w:t>
            </w:r>
          </w:p>
          <w:p>
            <w:pPr>
              <w:pStyle w:val="TableContents"/>
              <w:bidi w:val="0"/>
              <w:spacing w:before="0" w:after="0"/>
              <w:jc w:val="center"/>
              <w:rPr>
                <w:b/>
                <w:color w:val="000000"/>
              </w:rPr>
            </w:pPr>
            <w:r>
              <w:rPr>
                <w:b/>
                <w:color w:val="000000"/>
              </w:rPr>
              <w:t>12 Months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After</w:t>
            </w:r>
          </w:p>
          <w:p>
            <w:pPr>
              <w:pStyle w:val="TableContents"/>
              <w:bidi w:val="0"/>
              <w:spacing w:before="0" w:after="0"/>
              <w:jc w:val="center"/>
              <w:rPr>
                <w:b/>
                <w:color w:val="000000"/>
              </w:rPr>
            </w:pPr>
            <w:r>
              <w:rPr>
                <w:b/>
                <w:color w:val="000000"/>
              </w:rPr>
              <w:t>12 Months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35" w:type="dxa"/>
            <w:tcBorders/>
            <w:vAlign w:val="bottom"/>
          </w:tcPr>
          <w:p>
            <w:pPr>
              <w:pStyle w:val="TableContents"/>
              <w:bidi w:val="0"/>
              <w:spacing w:before="0" w:after="283"/>
              <w:jc w:val="left"/>
              <w:rPr/>
            </w:pPr>
            <w:r>
              <w:rPr/>
              <w:t> </w:t>
            </w:r>
          </w:p>
        </w:tc>
      </w:tr>
      <w:tr>
        <w:trPr/>
        <w:tc>
          <w:tcPr>
            <w:tcW w:w="230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42,200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0"/>
              <w:jc w:val="left"/>
              <w:rPr>
                <w:color w:val="000000"/>
              </w:rPr>
            </w:pPr>
            <w:r>
              <w:rPr>
                <w:color w:val="000000"/>
              </w:rPr>
              <w:t>$</w:t>
            </w:r>
          </w:p>
        </w:tc>
        <w:tc>
          <w:tcPr>
            <w:tcW w:w="972" w:type="dxa"/>
            <w:tcBorders/>
            <w:shd w:fill="CCEEFF" w:val="clear"/>
            <w:vAlign w:val="bottom"/>
          </w:tcPr>
          <w:p>
            <w:pPr>
              <w:pStyle w:val="TableContents"/>
              <w:bidi w:val="0"/>
              <w:spacing w:before="0" w:after="0"/>
              <w:jc w:val="right"/>
              <w:rPr>
                <w:color w:val="000000"/>
              </w:rPr>
            </w:pPr>
            <w:r>
              <w:rPr>
                <w:color w:val="000000"/>
              </w:rPr>
              <w:t>33,601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0"/>
              <w:jc w:val="left"/>
              <w:rPr>
                <w:color w:val="000000"/>
              </w:rPr>
            </w:pPr>
            <w:r>
              <w:rPr>
                <w:color w:val="000000"/>
              </w:rPr>
              <w:t>$</w:t>
            </w:r>
          </w:p>
        </w:tc>
        <w:tc>
          <w:tcPr>
            <w:tcW w:w="911" w:type="dxa"/>
            <w:tcBorders/>
            <w:shd w:fill="CCEEFF" w:val="clear"/>
            <w:vAlign w:val="bottom"/>
          </w:tcPr>
          <w:p>
            <w:pPr>
              <w:pStyle w:val="TableContents"/>
              <w:bidi w:val="0"/>
              <w:spacing w:before="0" w:after="0"/>
              <w:jc w:val="right"/>
              <w:rPr>
                <w:color w:val="000000"/>
              </w:rPr>
            </w:pPr>
            <w:r>
              <w:rPr>
                <w:color w:val="000000"/>
              </w:rPr>
              <w:t>35,777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0"/>
              <w:jc w:val="left"/>
              <w:rPr>
                <w:color w:val="000000"/>
              </w:rPr>
            </w:pPr>
            <w:r>
              <w:rPr>
                <w:color w:val="000000"/>
              </w:rPr>
              <w:t>$</w:t>
            </w:r>
          </w:p>
        </w:tc>
        <w:tc>
          <w:tcPr>
            <w:tcW w:w="878" w:type="dxa"/>
            <w:tcBorders/>
            <w:shd w:fill="CCEEFF" w:val="clear"/>
            <w:vAlign w:val="bottom"/>
          </w:tcPr>
          <w:p>
            <w:pPr>
              <w:pStyle w:val="TableContents"/>
              <w:bidi w:val="0"/>
              <w:spacing w:before="0" w:after="0"/>
              <w:jc w:val="right"/>
              <w:rPr>
                <w:color w:val="000000"/>
              </w:rPr>
            </w:pPr>
            <w:r>
              <w:rPr>
                <w:color w:val="000000"/>
              </w:rPr>
              <w:t>1,534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113,112</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estimated amount of uninsured deposits as of March 31, 2026 was $1.5 billion. This represented approximately 37% of total deposits and excludes $400.7 million of collateralized public fund deposits.</w:t>
      </w:r>
    </w:p>
    <w:p>
      <w:pPr>
        <w:pStyle w:val="TextBody"/>
        <w:bidi w:val="0"/>
        <w:spacing w:before="0" w:after="0"/>
        <w:jc w:val="center"/>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Borrowed Funds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to deposits, we may utilize advances from the FHLB and other borrowings as a supplementary funding source to finance our operations.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FHLB Advances</w:t>
      </w:r>
      <w:r>
        <w:rPr>
          <w:rFonts w:ascii="Times New Roman" w:hAnsi="Times New Roman"/>
          <w:color w:val="000000"/>
          <w:sz w:val="20"/>
          <w:shd w:fill="FFFFFF" w:val="clear"/>
        </w:rPr>
        <w:t>. The FHLB allows us to borrow, both short and long-term, on a blanket floating lien status collateralized by first mortgage loans and commercial real estate loans as well as FHLB stock. At March 31, 2026 and December 31, 2025, we had total remaining borrowing capacity from the FHLB of $1.29 billion and $1.27 billion, respectively, with no outstanding balance. We had no FHLB borrowings during the three months ended March 31, 2026 or 2025.</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may use FHLB letters of credit to pledge to certain public deposits. There was no outstanding balance of FHLB letters of credit at March 31, 2026 and December 31, 2025.</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Federal Reserve Bank of Dallas</w:t>
      </w:r>
      <w:r>
        <w:rPr>
          <w:rFonts w:ascii="Times New Roman" w:hAnsi="Times New Roman"/>
          <w:color w:val="000000"/>
          <w:sz w:val="20"/>
          <w:shd w:fill="FFFFFF" w:val="clear"/>
        </w:rPr>
        <w:t>. The Bank has a line of credit with the Federal Reserve Bank of Dallas (the “FRB”). The amount of the line is determined on a monthly basis by the FRB. The line is collateralized by a blanket floating lien on all agriculture, commercial and consumer loans. The amount of the line was $701.8 million and $659.7 million at March 31, 2026 and December 31, 2025, respectively. There were no amounts outstanding on the FRB line of credit at March 31, 2026 and December 31, 2025. We had no long-term FRB borrowings during the three months ended March 31, 2026 or 2025.</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Lines of Credit</w:t>
      </w:r>
      <w:r>
        <w:rPr>
          <w:rFonts w:ascii="Times New Roman" w:hAnsi="Times New Roman"/>
          <w:color w:val="000000"/>
          <w:sz w:val="20"/>
          <w:shd w:fill="FFFFFF" w:val="clear"/>
        </w:rPr>
        <w:t>. The Bank has uncollateralized lines of credit with multiple banks as a source of funding for liquidity management. The total amount of the lines was $140.0 million as of March 31, 2026 and December 31, 2025. The lines were not used, other than testing during the three months ended March 31, 2026 or the three months ended March 31, 2025.</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Subordinated Debt</w:t>
      </w:r>
      <w:r>
        <w:rPr>
          <w:rFonts w:ascii="Times New Roman" w:hAnsi="Times New Roman"/>
          <w:color w:val="000000"/>
          <w:sz w:val="20"/>
          <w:shd w:fill="FFFFFF" w:val="clear"/>
        </w:rPr>
        <w:t xml:space="preserve">. In December 2018, the Company issued $14.1 million of subordinated notes that have a maturity date of December 2030 and an average fixed rate of 6.41% for the first seven years. After the fixed rate periods, these notes will float at the </w:t>
      </w:r>
      <w:r>
        <w:rPr>
          <w:rFonts w:ascii="Times New Roman" w:hAnsi="Times New Roman"/>
          <w:i/>
          <w:color w:val="000000"/>
          <w:sz w:val="20"/>
          <w:shd w:fill="FFFFFF" w:val="clear"/>
        </w:rPr>
        <w:t>Wall Street Journal</w:t>
      </w:r>
      <w:r>
        <w:rPr>
          <w:rFonts w:ascii="Times New Roman" w:hAnsi="Times New Roman"/>
          <w:color w:val="000000"/>
          <w:sz w:val="20"/>
          <w:shd w:fill="FFFFFF" w:val="clear"/>
        </w:rPr>
        <w:t xml:space="preserve"> prime rate, with a floor of 4.0% and a ceiling of 7.5%. These notes pay interest quarterly, are unsecured, and may be called by the Company at any time after the remaining maturity is five years or less. Additionally, these notes are intended to qualify for Tier 2 capital treatment, subject to regulatory limitations. As of March 31, 2026, the total amount of subordinated debt outstanding was $14.1 million.</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Junior Subordinated Deferrable Interest Debentures and Trust Preferred Securities</w:t>
      </w:r>
      <w:r>
        <w:rPr>
          <w:rFonts w:ascii="Times New Roman" w:hAnsi="Times New Roman"/>
          <w:color w:val="000000"/>
          <w:sz w:val="20"/>
          <w:shd w:fill="FFFFFF" w:val="clear"/>
        </w:rPr>
        <w:t>. Between March 2004 and June 2007, the Company formed three wholly-owned statutory business trusts solely for the purpose of issuing trust preferred securities, the proceeds of which were invested in junior subordinated deferrable interest debentures. The trusts are not consolidated and the debentures issued by the Company to the trusts are reflected in the Company’s consolidated balance sheets. The Company records interest expense on the debentures in its consolidated financial statements. The amount of debentures outstanding was $46.4 million at March 31, 2026 and December 31, 2025. The Company has the right, as has been exercised in the past, to defer payments of interest on the securities for up to twenty consecutive quarters. During such time, corporate dividends may not be paid. The Company is current in its interest payments on the debentures.</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40</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chart below indicates certain information, as of March 31, 2026, about each of the statutory trusts and the junior subordinated deferrable interest debentures, including the date the junior subordinated deferrable interest debentures were issued, outstanding amounts of trust preferred securities and junior subordinated deferrable interest debentures, the maturity date of the junior subordinated deferrable interest debentures, and the interest rates on the junior subordinated deferrable interest debentures.</w:t>
      </w:r>
    </w:p>
    <w:p>
      <w:pPr>
        <w:pStyle w:val="TextBody"/>
        <w:bidi w:val="0"/>
        <w:spacing w:before="0" w:after="0"/>
        <w:jc w:val="center"/>
        <w:rPr/>
      </w:pPr>
      <w:r>
        <w:rPr/>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233" w:name="z8ad57aada06647a281278c15d6275c8a"/>
      <w:bookmarkStart w:id="234" w:name="z8ad57aada06647a281278c15d6275c8a"/>
      <w:bookmarkEnd w:id="234"/>
    </w:p>
    <w:tbl>
      <w:tblPr>
        <w:tblW w:w="10205" w:type="dxa"/>
        <w:jc w:val="center"/>
        <w:tblInd w:w="0" w:type="dxa"/>
        <w:tblLayout w:type="fixed"/>
        <w:tblCellMar>
          <w:top w:w="0" w:type="dxa"/>
          <w:left w:w="0" w:type="dxa"/>
          <w:bottom w:w="28" w:type="dxa"/>
          <w:right w:w="0" w:type="dxa"/>
        </w:tblCellMar>
      </w:tblPr>
      <w:tblGrid>
        <w:gridCol w:w="2151"/>
        <w:gridCol w:w="808"/>
        <w:gridCol w:w="90"/>
        <w:gridCol w:w="255"/>
        <w:gridCol w:w="1073"/>
        <w:gridCol w:w="90"/>
        <w:gridCol w:w="90"/>
        <w:gridCol w:w="235"/>
        <w:gridCol w:w="985"/>
        <w:gridCol w:w="90"/>
        <w:gridCol w:w="90"/>
        <w:gridCol w:w="217"/>
        <w:gridCol w:w="1290"/>
        <w:gridCol w:w="90"/>
        <w:gridCol w:w="2651"/>
      </w:tblGrid>
      <w:tr>
        <w:trPr/>
        <w:tc>
          <w:tcPr>
            <w:tcW w:w="2151" w:type="dxa"/>
            <w:tcBorders>
              <w:bottom w:val="single" w:sz="12" w:space="0" w:color="000000"/>
            </w:tcBorders>
            <w:vAlign w:val="bottom"/>
          </w:tcPr>
          <w:p>
            <w:pPr>
              <w:pStyle w:val="TableContents"/>
              <w:bidi w:val="0"/>
              <w:spacing w:before="0" w:after="0"/>
              <w:ind w:left="144" w:right="0" w:hanging="144"/>
              <w:jc w:val="left"/>
              <w:rPr>
                <w:b/>
                <w:color w:val="000000"/>
              </w:rPr>
            </w:pPr>
            <w:r>
              <w:rPr>
                <w:b/>
                <w:color w:val="000000"/>
              </w:rPr>
              <w:t>Name of Trust</w:t>
            </w:r>
          </w:p>
        </w:tc>
        <w:tc>
          <w:tcPr>
            <w:tcW w:w="808" w:type="dxa"/>
            <w:tcBorders>
              <w:bottom w:val="single" w:sz="12" w:space="0" w:color="000000"/>
            </w:tcBorders>
            <w:vAlign w:val="bottom"/>
          </w:tcPr>
          <w:p>
            <w:pPr>
              <w:pStyle w:val="TableContents"/>
              <w:bidi w:val="0"/>
              <w:spacing w:before="0" w:after="0"/>
              <w:jc w:val="center"/>
              <w:rPr>
                <w:b/>
                <w:color w:val="000000"/>
              </w:rPr>
            </w:pPr>
            <w:r>
              <w:rPr>
                <w:b/>
                <w:color w:val="000000"/>
              </w:rPr>
              <w:t>Issue Date</w:t>
            </w:r>
          </w:p>
        </w:tc>
        <w:tc>
          <w:tcPr>
            <w:tcW w:w="90" w:type="dxa"/>
            <w:tcBorders/>
            <w:tcMar>
              <w:bottom w:w="0" w:type="dxa"/>
            </w:tcMar>
            <w:vAlign w:val="bottom"/>
          </w:tcPr>
          <w:p>
            <w:pPr>
              <w:pStyle w:val="TableContents"/>
              <w:bidi w:val="0"/>
              <w:spacing w:before="0" w:after="283"/>
              <w:jc w:val="left"/>
              <w:rPr/>
            </w:pPr>
            <w:r>
              <w:rPr/>
              <w:t> </w:t>
            </w:r>
          </w:p>
        </w:tc>
        <w:tc>
          <w:tcPr>
            <w:tcW w:w="1328" w:type="dxa"/>
            <w:gridSpan w:val="2"/>
            <w:tcBorders>
              <w:bottom w:val="single" w:sz="12" w:space="0" w:color="000000"/>
            </w:tcBorders>
            <w:vAlign w:val="bottom"/>
          </w:tcPr>
          <w:p>
            <w:pPr>
              <w:pStyle w:val="TableContents"/>
              <w:bidi w:val="0"/>
              <w:spacing w:before="0" w:after="0"/>
              <w:jc w:val="center"/>
              <w:rPr>
                <w:b/>
                <w:color w:val="000000"/>
              </w:rPr>
            </w:pPr>
            <w:r>
              <w:rPr>
                <w:b/>
                <w:color w:val="000000"/>
              </w:rPr>
              <w:t>Amount of</w:t>
            </w:r>
          </w:p>
          <w:p>
            <w:pPr>
              <w:pStyle w:val="TableContents"/>
              <w:bidi w:val="0"/>
              <w:spacing w:before="0" w:after="0"/>
              <w:jc w:val="center"/>
              <w:rPr>
                <w:b/>
                <w:color w:val="000000"/>
              </w:rPr>
            </w:pPr>
            <w:r>
              <w:rPr>
                <w:b/>
                <w:color w:val="000000"/>
              </w:rPr>
              <w:t>Trust Preferred</w:t>
            </w:r>
          </w:p>
          <w:p>
            <w:pPr>
              <w:pStyle w:val="TableContents"/>
              <w:bidi w:val="0"/>
              <w:spacing w:before="0" w:after="0"/>
              <w:jc w:val="center"/>
              <w:rPr>
                <w:b/>
                <w:color w:val="000000"/>
              </w:rPr>
            </w:pPr>
            <w:r>
              <w:rPr>
                <w:b/>
                <w:color w:val="000000"/>
              </w:rPr>
              <w:t>Securities</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Amount of</w:t>
            </w:r>
          </w:p>
          <w:p>
            <w:pPr>
              <w:pStyle w:val="TableContents"/>
              <w:bidi w:val="0"/>
              <w:spacing w:before="0" w:after="0"/>
              <w:jc w:val="center"/>
              <w:rPr>
                <w:b/>
                <w:color w:val="000000"/>
              </w:rPr>
            </w:pPr>
            <w:r>
              <w:rPr>
                <w:b/>
                <w:color w:val="000000"/>
              </w:rPr>
              <w:t>Debentures</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07" w:type="dxa"/>
            <w:gridSpan w:val="2"/>
            <w:tcBorders>
              <w:bottom w:val="single" w:sz="12" w:space="0" w:color="000000"/>
            </w:tcBorders>
            <w:vAlign w:val="bottom"/>
          </w:tcPr>
          <w:p>
            <w:pPr>
              <w:pStyle w:val="TableContents"/>
              <w:bidi w:val="0"/>
              <w:spacing w:before="0" w:after="0"/>
              <w:jc w:val="center"/>
              <w:rPr>
                <w:b/>
                <w:color w:val="000000"/>
              </w:rPr>
            </w:pPr>
            <w:r>
              <w:rPr>
                <w:b/>
                <w:color w:val="000000"/>
              </w:rPr>
              <w:t>Stated</w:t>
            </w:r>
          </w:p>
          <w:p>
            <w:pPr>
              <w:pStyle w:val="TableContents"/>
              <w:bidi w:val="0"/>
              <w:spacing w:before="0" w:after="0"/>
              <w:jc w:val="center"/>
              <w:rPr>
                <w:b/>
                <w:color w:val="000000"/>
              </w:rPr>
            </w:pPr>
            <w:r>
              <w:rPr>
                <w:b/>
                <w:color w:val="000000"/>
              </w:rPr>
              <w:t>Maturity Date of</w:t>
            </w:r>
          </w:p>
          <w:p>
            <w:pPr>
              <w:pStyle w:val="TableContents"/>
              <w:bidi w:val="0"/>
              <w:spacing w:before="0" w:after="0"/>
              <w:jc w:val="center"/>
              <w:rPr>
                <w:b/>
                <w:color w:val="000000"/>
              </w:rPr>
            </w:pPr>
            <w:r>
              <w:rPr>
                <w:b/>
                <w:color w:val="000000"/>
              </w:rPr>
              <w:t>Trust Preferred</w:t>
            </w:r>
          </w:p>
          <w:p>
            <w:pPr>
              <w:pStyle w:val="TableContents"/>
              <w:bidi w:val="0"/>
              <w:spacing w:before="0" w:after="0"/>
              <w:jc w:val="center"/>
              <w:rPr>
                <w:b/>
                <w:color w:val="000000"/>
              </w:rPr>
            </w:pPr>
            <w:r>
              <w:rPr>
                <w:b/>
                <w:color w:val="000000"/>
              </w:rPr>
              <w:t>Securities and</w:t>
            </w:r>
          </w:p>
          <w:p>
            <w:pPr>
              <w:pStyle w:val="TableContents"/>
              <w:bidi w:val="0"/>
              <w:spacing w:lineRule="auto" w:line="240" w:before="0" w:after="0"/>
              <w:jc w:val="center"/>
              <w:rPr>
                <w:b/>
                <w:color w:val="000000"/>
              </w:rPr>
            </w:pPr>
            <w:r>
              <w:rPr>
                <w:b/>
                <w:color w:val="000000"/>
              </w:rPr>
              <w:t>Debentures(1)</w:t>
            </w:r>
          </w:p>
        </w:tc>
        <w:tc>
          <w:tcPr>
            <w:tcW w:w="90" w:type="dxa"/>
            <w:tcBorders/>
            <w:tcMar>
              <w:bottom w:w="0" w:type="dxa"/>
            </w:tcMar>
            <w:vAlign w:val="bottom"/>
          </w:tcPr>
          <w:p>
            <w:pPr>
              <w:pStyle w:val="TableContents"/>
              <w:bidi w:val="0"/>
              <w:spacing w:before="0" w:after="283"/>
              <w:jc w:val="left"/>
              <w:rPr/>
            </w:pPr>
            <w:r>
              <w:rPr/>
              <w:t> </w:t>
            </w:r>
          </w:p>
        </w:tc>
        <w:tc>
          <w:tcPr>
            <w:tcW w:w="2651" w:type="dxa"/>
            <w:tcBorders>
              <w:bottom w:val="single" w:sz="12" w:space="0" w:color="000000"/>
            </w:tcBorders>
            <w:vAlign w:val="bottom"/>
          </w:tcPr>
          <w:p>
            <w:pPr>
              <w:pStyle w:val="TableContents"/>
              <w:bidi w:val="0"/>
              <w:spacing w:before="0" w:after="0"/>
              <w:jc w:val="center"/>
              <w:rPr>
                <w:b/>
                <w:color w:val="000000"/>
              </w:rPr>
            </w:pPr>
            <w:r>
              <w:rPr>
                <w:b/>
                <w:color w:val="000000"/>
              </w:rPr>
              <w:t>Interest Rate of</w:t>
            </w:r>
          </w:p>
          <w:p>
            <w:pPr>
              <w:pStyle w:val="TableContents"/>
              <w:bidi w:val="0"/>
              <w:spacing w:before="0" w:after="0"/>
              <w:jc w:val="center"/>
              <w:rPr>
                <w:b/>
                <w:color w:val="000000"/>
              </w:rPr>
            </w:pPr>
            <w:r>
              <w:rPr>
                <w:b/>
                <w:color w:val="000000"/>
              </w:rPr>
              <w:t>Trust Preferred</w:t>
            </w:r>
          </w:p>
          <w:p>
            <w:pPr>
              <w:pStyle w:val="TableContents"/>
              <w:bidi w:val="0"/>
              <w:spacing w:before="0" w:after="0"/>
              <w:jc w:val="center"/>
              <w:rPr>
                <w:b/>
                <w:color w:val="000000"/>
              </w:rPr>
            </w:pPr>
            <w:r>
              <w:rPr>
                <w:b/>
                <w:color w:val="000000"/>
              </w:rPr>
              <w:t>Securities and</w:t>
            </w:r>
          </w:p>
          <w:p>
            <w:pPr>
              <w:pStyle w:val="TableContents"/>
              <w:bidi w:val="0"/>
              <w:spacing w:lineRule="auto" w:line="240" w:before="0" w:after="0"/>
              <w:jc w:val="center"/>
              <w:rPr>
                <w:b/>
                <w:color w:val="000000"/>
              </w:rPr>
            </w:pPr>
            <w:r>
              <w:rPr>
                <w:b/>
                <w:color w:val="000000"/>
              </w:rPr>
              <w:t>Debentures(2)(3)</w:t>
            </w:r>
          </w:p>
        </w:tc>
      </w:tr>
      <w:tr>
        <w:trPr/>
        <w:tc>
          <w:tcPr>
            <w:tcW w:w="2151" w:type="dxa"/>
            <w:tcBorders/>
            <w:tcMar>
              <w:bottom w:w="0" w:type="dxa"/>
            </w:tcMar>
            <w:vAlign w:val="bottom"/>
          </w:tcPr>
          <w:p>
            <w:pPr>
              <w:pStyle w:val="TableContents"/>
              <w:bidi w:val="0"/>
              <w:spacing w:before="0" w:after="283"/>
              <w:jc w:val="left"/>
              <w:rPr/>
            </w:pPr>
            <w:r>
              <w:rPr/>
              <w:t> </w:t>
            </w:r>
          </w:p>
        </w:tc>
        <w:tc>
          <w:tcPr>
            <w:tcW w:w="8054" w:type="dxa"/>
            <w:gridSpan w:val="14"/>
            <w:tcBorders/>
            <w:tcMar>
              <w:bottom w:w="0" w:type="dxa"/>
            </w:tcMar>
            <w:vAlign w:val="bottom"/>
          </w:tcPr>
          <w:p>
            <w:pPr>
              <w:pStyle w:val="TableContents"/>
              <w:bidi w:val="0"/>
              <w:spacing w:before="0" w:after="0"/>
              <w:jc w:val="center"/>
              <w:rPr>
                <w:b/>
                <w:color w:val="000000"/>
              </w:rPr>
            </w:pPr>
            <w:r>
              <w:rPr>
                <w:b/>
                <w:color w:val="000000"/>
              </w:rPr>
              <w:t>(Dollars in thousands)</w:t>
            </w:r>
          </w:p>
        </w:tc>
      </w:tr>
      <w:tr>
        <w:trPr/>
        <w:tc>
          <w:tcPr>
            <w:tcW w:w="2151"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South Plains Financial Capital Trust III</w:t>
            </w:r>
          </w:p>
        </w:tc>
        <w:tc>
          <w:tcPr>
            <w:tcW w:w="808" w:type="dxa"/>
            <w:tcBorders/>
            <w:shd w:fill="CCEEFF" w:val="clear"/>
            <w:tcMar>
              <w:bottom w:w="0" w:type="dxa"/>
            </w:tcMar>
            <w:vAlign w:val="bottom"/>
          </w:tcPr>
          <w:p>
            <w:pPr>
              <w:pStyle w:val="TableContents"/>
              <w:bidi w:val="0"/>
              <w:spacing w:before="0" w:after="0"/>
              <w:jc w:val="center"/>
              <w:rPr/>
            </w:pPr>
            <w:r>
              <w:rPr/>
              <w:t>2004</w:t>
            </w:r>
          </w:p>
        </w:tc>
        <w:tc>
          <w:tcPr>
            <w:tcW w:w="90" w:type="dxa"/>
            <w:tcBorders/>
            <w:shd w:fill="CCEEFF" w:val="clear"/>
            <w:tcMar>
              <w:bottom w:w="0" w:type="dxa"/>
            </w:tcMar>
            <w:vAlign w:val="bottom"/>
          </w:tcPr>
          <w:p>
            <w:pPr>
              <w:pStyle w:val="TableContents"/>
              <w:bidi w:val="0"/>
              <w:spacing w:before="0" w:after="283"/>
              <w:jc w:val="left"/>
              <w:rPr/>
            </w:pPr>
            <w:r>
              <w:rPr/>
              <w:t> </w:t>
            </w:r>
          </w:p>
        </w:tc>
        <w:tc>
          <w:tcPr>
            <w:tcW w:w="255" w:type="dxa"/>
            <w:tcBorders/>
            <w:shd w:fill="CCEEFF" w:val="clear"/>
            <w:tcMar>
              <w:bottom w:w="0" w:type="dxa"/>
            </w:tcMar>
            <w:vAlign w:val="bottom"/>
          </w:tcPr>
          <w:p>
            <w:pPr>
              <w:pStyle w:val="TableContents"/>
              <w:bidi w:val="0"/>
              <w:spacing w:before="0" w:after="0"/>
              <w:jc w:val="left"/>
              <w:rPr/>
            </w:pPr>
            <w:r>
              <w:rPr/>
              <w:t>$</w:t>
            </w:r>
          </w:p>
        </w:tc>
        <w:tc>
          <w:tcPr>
            <w:tcW w:w="1073" w:type="dxa"/>
            <w:tcBorders/>
            <w:shd w:fill="CCEEFF" w:val="clear"/>
            <w:tcMar>
              <w:bottom w:w="0" w:type="dxa"/>
            </w:tcMar>
            <w:vAlign w:val="bottom"/>
          </w:tcPr>
          <w:p>
            <w:pPr>
              <w:pStyle w:val="TableContents"/>
              <w:bidi w:val="0"/>
              <w:spacing w:before="0" w:after="0"/>
              <w:jc w:val="right"/>
              <w:rPr/>
            </w:pPr>
            <w:r>
              <w:rPr/>
              <w:t>10,000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35" w:type="dxa"/>
            <w:tcBorders/>
            <w:shd w:fill="CCEEFF" w:val="clear"/>
            <w:tcMar>
              <w:bottom w:w="0" w:type="dxa"/>
            </w:tcMar>
            <w:vAlign w:val="bottom"/>
          </w:tcPr>
          <w:p>
            <w:pPr>
              <w:pStyle w:val="TableContents"/>
              <w:bidi w:val="0"/>
              <w:spacing w:before="0" w:after="0"/>
              <w:jc w:val="left"/>
              <w:rPr/>
            </w:pPr>
            <w:r>
              <w:rPr/>
              <w:t>$</w:t>
            </w:r>
          </w:p>
        </w:tc>
        <w:tc>
          <w:tcPr>
            <w:tcW w:w="985" w:type="dxa"/>
            <w:tcBorders/>
            <w:shd w:fill="CCEEFF" w:val="clear"/>
            <w:tcMar>
              <w:bottom w:w="0" w:type="dxa"/>
            </w:tcMar>
            <w:vAlign w:val="bottom"/>
          </w:tcPr>
          <w:p>
            <w:pPr>
              <w:pStyle w:val="TableContents"/>
              <w:bidi w:val="0"/>
              <w:spacing w:before="0" w:after="0"/>
              <w:jc w:val="right"/>
              <w:rPr/>
            </w:pPr>
            <w:r>
              <w:rPr/>
              <w:t>10,310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17" w:type="dxa"/>
            <w:tcBorders/>
            <w:shd w:fill="CCEEFF" w:val="clear"/>
            <w:tcMar>
              <w:bottom w:w="0" w:type="dxa"/>
            </w:tcMar>
            <w:vAlign w:val="bottom"/>
          </w:tcPr>
          <w:p>
            <w:pPr>
              <w:pStyle w:val="TableContents"/>
              <w:bidi w:val="0"/>
              <w:spacing w:before="0" w:after="283"/>
              <w:jc w:val="left"/>
              <w:rPr/>
            </w:pPr>
            <w:r>
              <w:rPr/>
              <w:t> </w:t>
            </w:r>
          </w:p>
        </w:tc>
        <w:tc>
          <w:tcPr>
            <w:tcW w:w="1290" w:type="dxa"/>
            <w:tcBorders/>
            <w:shd w:fill="CCEEFF" w:val="clear"/>
            <w:tcMar>
              <w:bottom w:w="0" w:type="dxa"/>
            </w:tcMar>
            <w:vAlign w:val="bottom"/>
          </w:tcPr>
          <w:p>
            <w:pPr>
              <w:pStyle w:val="TableContents"/>
              <w:bidi w:val="0"/>
              <w:spacing w:before="0" w:after="0"/>
              <w:jc w:val="right"/>
              <w:rPr/>
            </w:pPr>
            <w:r>
              <w:rPr/>
              <w:t>2034</w:t>
            </w:r>
          </w:p>
        </w:tc>
        <w:tc>
          <w:tcPr>
            <w:tcW w:w="90" w:type="dxa"/>
            <w:tcBorders/>
            <w:shd w:fill="CCEEFF" w:val="clear"/>
            <w:tcMar>
              <w:bottom w:w="0" w:type="dxa"/>
            </w:tcMar>
            <w:vAlign w:val="bottom"/>
          </w:tcPr>
          <w:p>
            <w:pPr>
              <w:pStyle w:val="TableContents"/>
              <w:bidi w:val="0"/>
              <w:spacing w:before="0" w:after="283"/>
              <w:jc w:val="left"/>
              <w:rPr/>
            </w:pPr>
            <w:r>
              <w:rPr/>
              <w:t> </w:t>
            </w:r>
          </w:p>
        </w:tc>
        <w:tc>
          <w:tcPr>
            <w:tcW w:w="2651" w:type="dxa"/>
            <w:tcBorders/>
            <w:shd w:fill="CCEEFF" w:val="clear"/>
            <w:tcMar>
              <w:bottom w:w="0" w:type="dxa"/>
            </w:tcMar>
            <w:vAlign w:val="bottom"/>
          </w:tcPr>
          <w:p>
            <w:pPr>
              <w:pStyle w:val="TableContents"/>
              <w:bidi w:val="0"/>
              <w:spacing w:before="0" w:after="0"/>
              <w:jc w:val="right"/>
              <w:rPr/>
            </w:pPr>
            <w:r>
              <w:rPr/>
              <w:t>3-mo. CME Term SOFR + 291 bps; 6.58%</w:t>
            </w:r>
          </w:p>
        </w:tc>
      </w:tr>
      <w:tr>
        <w:trPr/>
        <w:tc>
          <w:tcPr>
            <w:tcW w:w="2151" w:type="dxa"/>
            <w:tcBorders/>
            <w:tcMar>
              <w:bottom w:w="0" w:type="dxa"/>
            </w:tcMar>
            <w:vAlign w:val="bottom"/>
          </w:tcPr>
          <w:p>
            <w:pPr>
              <w:pStyle w:val="TableContents"/>
              <w:bidi w:val="0"/>
              <w:spacing w:before="0" w:after="0"/>
              <w:ind w:left="144" w:right="0" w:hanging="144"/>
              <w:jc w:val="left"/>
              <w:rPr>
                <w:color w:val="000000"/>
              </w:rPr>
            </w:pPr>
            <w:r>
              <w:rPr>
                <w:color w:val="000000"/>
              </w:rPr>
              <w:t>South Plains Financial Capital Trust IV</w:t>
            </w:r>
          </w:p>
        </w:tc>
        <w:tc>
          <w:tcPr>
            <w:tcW w:w="808" w:type="dxa"/>
            <w:tcBorders/>
            <w:tcMar>
              <w:bottom w:w="0" w:type="dxa"/>
            </w:tcMar>
            <w:vAlign w:val="bottom"/>
          </w:tcPr>
          <w:p>
            <w:pPr>
              <w:pStyle w:val="TableContents"/>
              <w:bidi w:val="0"/>
              <w:spacing w:before="0" w:after="0"/>
              <w:jc w:val="center"/>
              <w:rPr/>
            </w:pPr>
            <w:r>
              <w:rPr/>
              <w:t>2005</w:t>
            </w:r>
          </w:p>
        </w:tc>
        <w:tc>
          <w:tcPr>
            <w:tcW w:w="90" w:type="dxa"/>
            <w:tcBorders/>
            <w:tcMar>
              <w:bottom w:w="0" w:type="dxa"/>
            </w:tcMar>
            <w:vAlign w:val="bottom"/>
          </w:tcPr>
          <w:p>
            <w:pPr>
              <w:pStyle w:val="TableContents"/>
              <w:bidi w:val="0"/>
              <w:spacing w:before="0" w:after="283"/>
              <w:jc w:val="left"/>
              <w:rPr/>
            </w:pPr>
            <w:r>
              <w:rPr/>
              <w:t> </w:t>
            </w:r>
          </w:p>
        </w:tc>
        <w:tc>
          <w:tcPr>
            <w:tcW w:w="255" w:type="dxa"/>
            <w:tcBorders/>
            <w:tcMar>
              <w:bottom w:w="0" w:type="dxa"/>
            </w:tcMar>
            <w:vAlign w:val="bottom"/>
          </w:tcPr>
          <w:p>
            <w:pPr>
              <w:pStyle w:val="TableContents"/>
              <w:bidi w:val="0"/>
              <w:spacing w:before="0" w:after="283"/>
              <w:jc w:val="left"/>
              <w:rPr/>
            </w:pPr>
            <w:r>
              <w:rPr/>
              <w:t> </w:t>
            </w:r>
          </w:p>
        </w:tc>
        <w:tc>
          <w:tcPr>
            <w:tcW w:w="1073" w:type="dxa"/>
            <w:tcBorders/>
            <w:tcMar>
              <w:bottom w:w="0" w:type="dxa"/>
            </w:tcMar>
            <w:vAlign w:val="bottom"/>
          </w:tcPr>
          <w:p>
            <w:pPr>
              <w:pStyle w:val="TableContents"/>
              <w:bidi w:val="0"/>
              <w:spacing w:before="0" w:after="0"/>
              <w:jc w:val="right"/>
              <w:rPr/>
            </w:pPr>
            <w:r>
              <w:rPr/>
              <w:t>20,000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35" w:type="dxa"/>
            <w:tcBorders/>
            <w:tcMar>
              <w:bottom w:w="0" w:type="dxa"/>
            </w:tcMar>
            <w:vAlign w:val="bottom"/>
          </w:tcPr>
          <w:p>
            <w:pPr>
              <w:pStyle w:val="TableContents"/>
              <w:bidi w:val="0"/>
              <w:spacing w:before="0" w:after="283"/>
              <w:jc w:val="left"/>
              <w:rPr/>
            </w:pPr>
            <w:r>
              <w:rPr/>
              <w:t> </w:t>
            </w:r>
          </w:p>
        </w:tc>
        <w:tc>
          <w:tcPr>
            <w:tcW w:w="985" w:type="dxa"/>
            <w:tcBorders/>
            <w:tcMar>
              <w:bottom w:w="0" w:type="dxa"/>
            </w:tcMar>
            <w:vAlign w:val="bottom"/>
          </w:tcPr>
          <w:p>
            <w:pPr>
              <w:pStyle w:val="TableContents"/>
              <w:bidi w:val="0"/>
              <w:spacing w:before="0" w:after="0"/>
              <w:jc w:val="right"/>
              <w:rPr/>
            </w:pPr>
            <w:r>
              <w:rPr/>
              <w:t>20,619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17" w:type="dxa"/>
            <w:tcBorders/>
            <w:tcMar>
              <w:bottom w:w="0" w:type="dxa"/>
            </w:tcMar>
            <w:vAlign w:val="bottom"/>
          </w:tcPr>
          <w:p>
            <w:pPr>
              <w:pStyle w:val="TableContents"/>
              <w:bidi w:val="0"/>
              <w:spacing w:before="0" w:after="283"/>
              <w:jc w:val="left"/>
              <w:rPr/>
            </w:pPr>
            <w:r>
              <w:rPr/>
              <w:t> </w:t>
            </w:r>
          </w:p>
        </w:tc>
        <w:tc>
          <w:tcPr>
            <w:tcW w:w="1290" w:type="dxa"/>
            <w:tcBorders/>
            <w:tcMar>
              <w:bottom w:w="0" w:type="dxa"/>
            </w:tcMar>
            <w:vAlign w:val="bottom"/>
          </w:tcPr>
          <w:p>
            <w:pPr>
              <w:pStyle w:val="TableContents"/>
              <w:bidi w:val="0"/>
              <w:spacing w:before="0" w:after="0"/>
              <w:jc w:val="right"/>
              <w:rPr/>
            </w:pPr>
            <w:r>
              <w:rPr/>
              <w:t>2035</w:t>
            </w:r>
          </w:p>
        </w:tc>
        <w:tc>
          <w:tcPr>
            <w:tcW w:w="90" w:type="dxa"/>
            <w:tcBorders/>
            <w:tcMar>
              <w:bottom w:w="0" w:type="dxa"/>
            </w:tcMar>
            <w:vAlign w:val="bottom"/>
          </w:tcPr>
          <w:p>
            <w:pPr>
              <w:pStyle w:val="TableContents"/>
              <w:bidi w:val="0"/>
              <w:spacing w:before="0" w:after="283"/>
              <w:jc w:val="left"/>
              <w:rPr/>
            </w:pPr>
            <w:r>
              <w:rPr/>
              <w:t> </w:t>
            </w:r>
          </w:p>
        </w:tc>
        <w:tc>
          <w:tcPr>
            <w:tcW w:w="2651" w:type="dxa"/>
            <w:tcBorders/>
            <w:tcMar>
              <w:bottom w:w="0" w:type="dxa"/>
            </w:tcMar>
            <w:vAlign w:val="bottom"/>
          </w:tcPr>
          <w:p>
            <w:pPr>
              <w:pStyle w:val="TableContents"/>
              <w:bidi w:val="0"/>
              <w:spacing w:before="0" w:after="0"/>
              <w:jc w:val="right"/>
              <w:rPr/>
            </w:pPr>
            <w:r>
              <w:rPr/>
              <w:t>3-mo. CME Term SOFR + 165 bps; 5.33%</w:t>
            </w:r>
          </w:p>
        </w:tc>
      </w:tr>
      <w:tr>
        <w:trPr/>
        <w:tc>
          <w:tcPr>
            <w:tcW w:w="2151"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South Plains Financial Capital Trust V</w:t>
            </w:r>
          </w:p>
        </w:tc>
        <w:tc>
          <w:tcPr>
            <w:tcW w:w="808" w:type="dxa"/>
            <w:tcBorders/>
            <w:shd w:fill="CCEEFF" w:val="clear"/>
            <w:tcMar>
              <w:bottom w:w="0" w:type="dxa"/>
            </w:tcMar>
            <w:vAlign w:val="bottom"/>
          </w:tcPr>
          <w:p>
            <w:pPr>
              <w:pStyle w:val="TableContents"/>
              <w:bidi w:val="0"/>
              <w:spacing w:before="0" w:after="0"/>
              <w:jc w:val="center"/>
              <w:rPr/>
            </w:pPr>
            <w:r>
              <w:rPr/>
              <w:t>2007</w:t>
            </w:r>
          </w:p>
        </w:tc>
        <w:tc>
          <w:tcPr>
            <w:tcW w:w="90" w:type="dxa"/>
            <w:tcBorders/>
            <w:shd w:fill="CCEEFF" w:val="clear"/>
            <w:tcMar>
              <w:bottom w:w="0" w:type="dxa"/>
            </w:tcMar>
            <w:vAlign w:val="bottom"/>
          </w:tcPr>
          <w:p>
            <w:pPr>
              <w:pStyle w:val="TableContents"/>
              <w:bidi w:val="0"/>
              <w:spacing w:before="0" w:after="283"/>
              <w:jc w:val="left"/>
              <w:rPr/>
            </w:pPr>
            <w:r>
              <w:rPr/>
              <w:t> </w:t>
            </w:r>
          </w:p>
        </w:tc>
        <w:tc>
          <w:tcPr>
            <w:tcW w:w="255" w:type="dxa"/>
            <w:tcBorders>
              <w:bottom w:val="single" w:sz="12" w:space="0" w:color="000000"/>
            </w:tcBorders>
            <w:shd w:fill="CCEEFF" w:val="clear"/>
            <w:vAlign w:val="bottom"/>
          </w:tcPr>
          <w:p>
            <w:pPr>
              <w:pStyle w:val="TableContents"/>
              <w:bidi w:val="0"/>
              <w:spacing w:before="0" w:after="283"/>
              <w:jc w:val="left"/>
              <w:rPr/>
            </w:pPr>
            <w:r>
              <w:rPr/>
              <w:t> </w:t>
            </w:r>
          </w:p>
        </w:tc>
        <w:tc>
          <w:tcPr>
            <w:tcW w:w="1073" w:type="dxa"/>
            <w:tcBorders>
              <w:bottom w:val="single" w:sz="12" w:space="0" w:color="000000"/>
            </w:tcBorders>
            <w:shd w:fill="CCEEFF" w:val="clear"/>
            <w:vAlign w:val="bottom"/>
          </w:tcPr>
          <w:p>
            <w:pPr>
              <w:pStyle w:val="TableContents"/>
              <w:bidi w:val="0"/>
              <w:spacing w:before="0" w:after="0"/>
              <w:jc w:val="right"/>
              <w:rPr/>
            </w:pPr>
            <w:r>
              <w:rPr/>
              <w:t>15,000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35" w:type="dxa"/>
            <w:tcBorders>
              <w:bottom w:val="single" w:sz="12" w:space="0" w:color="000000"/>
            </w:tcBorders>
            <w:shd w:fill="CCEEFF" w:val="clear"/>
            <w:vAlign w:val="bottom"/>
          </w:tcPr>
          <w:p>
            <w:pPr>
              <w:pStyle w:val="TableContents"/>
              <w:bidi w:val="0"/>
              <w:spacing w:before="0" w:after="283"/>
              <w:jc w:val="left"/>
              <w:rPr/>
            </w:pPr>
            <w:r>
              <w:rPr/>
              <w:t> </w:t>
            </w:r>
          </w:p>
        </w:tc>
        <w:tc>
          <w:tcPr>
            <w:tcW w:w="985" w:type="dxa"/>
            <w:tcBorders>
              <w:bottom w:val="single" w:sz="12" w:space="0" w:color="000000"/>
            </w:tcBorders>
            <w:shd w:fill="CCEEFF" w:val="clear"/>
            <w:vAlign w:val="bottom"/>
          </w:tcPr>
          <w:p>
            <w:pPr>
              <w:pStyle w:val="TableContents"/>
              <w:bidi w:val="0"/>
              <w:spacing w:before="0" w:after="0"/>
              <w:jc w:val="right"/>
              <w:rPr/>
            </w:pPr>
            <w:r>
              <w:rPr/>
              <w:t>15,464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17" w:type="dxa"/>
            <w:tcBorders/>
            <w:shd w:fill="CCEEFF" w:val="clear"/>
            <w:tcMar>
              <w:bottom w:w="0" w:type="dxa"/>
            </w:tcMar>
            <w:vAlign w:val="bottom"/>
          </w:tcPr>
          <w:p>
            <w:pPr>
              <w:pStyle w:val="TableContents"/>
              <w:bidi w:val="0"/>
              <w:spacing w:before="0" w:after="283"/>
              <w:jc w:val="left"/>
              <w:rPr/>
            </w:pPr>
            <w:r>
              <w:rPr/>
              <w:t> </w:t>
            </w:r>
          </w:p>
        </w:tc>
        <w:tc>
          <w:tcPr>
            <w:tcW w:w="1290" w:type="dxa"/>
            <w:tcBorders/>
            <w:shd w:fill="CCEEFF" w:val="clear"/>
            <w:tcMar>
              <w:bottom w:w="0" w:type="dxa"/>
            </w:tcMar>
            <w:vAlign w:val="bottom"/>
          </w:tcPr>
          <w:p>
            <w:pPr>
              <w:pStyle w:val="TableContents"/>
              <w:bidi w:val="0"/>
              <w:spacing w:before="0" w:after="0"/>
              <w:jc w:val="right"/>
              <w:rPr/>
            </w:pPr>
            <w:r>
              <w:rPr/>
              <w:t>2037</w:t>
            </w:r>
          </w:p>
        </w:tc>
        <w:tc>
          <w:tcPr>
            <w:tcW w:w="90" w:type="dxa"/>
            <w:tcBorders/>
            <w:shd w:fill="CCEEFF" w:val="clear"/>
            <w:tcMar>
              <w:bottom w:w="0" w:type="dxa"/>
            </w:tcMar>
            <w:vAlign w:val="bottom"/>
          </w:tcPr>
          <w:p>
            <w:pPr>
              <w:pStyle w:val="TableContents"/>
              <w:bidi w:val="0"/>
              <w:spacing w:before="0" w:after="283"/>
              <w:jc w:val="left"/>
              <w:rPr/>
            </w:pPr>
            <w:r>
              <w:rPr/>
              <w:t> </w:t>
            </w:r>
          </w:p>
        </w:tc>
        <w:tc>
          <w:tcPr>
            <w:tcW w:w="2651" w:type="dxa"/>
            <w:tcBorders/>
            <w:shd w:fill="CCEEFF" w:val="clear"/>
            <w:tcMar>
              <w:bottom w:w="0" w:type="dxa"/>
            </w:tcMar>
            <w:vAlign w:val="bottom"/>
          </w:tcPr>
          <w:p>
            <w:pPr>
              <w:pStyle w:val="TableContents"/>
              <w:bidi w:val="0"/>
              <w:spacing w:before="0" w:after="0"/>
              <w:jc w:val="right"/>
              <w:rPr/>
            </w:pPr>
            <w:r>
              <w:rPr/>
              <w:t>3-mo. CME Term SOFR + 176 bps; 5.44%</w:t>
            </w:r>
          </w:p>
        </w:tc>
      </w:tr>
      <w:tr>
        <w:trPr/>
        <w:tc>
          <w:tcPr>
            <w:tcW w:w="2151" w:type="dxa"/>
            <w:tcBorders/>
            <w:tcMar>
              <w:bottom w:w="0" w:type="dxa"/>
            </w:tcMar>
            <w:vAlign w:val="bottom"/>
          </w:tcPr>
          <w:p>
            <w:pPr>
              <w:pStyle w:val="TableContents"/>
              <w:bidi w:val="0"/>
              <w:spacing w:before="0" w:after="0"/>
              <w:ind w:left="144" w:right="0" w:hanging="144"/>
              <w:jc w:val="left"/>
              <w:rPr>
                <w:color w:val="000000"/>
              </w:rPr>
            </w:pPr>
            <w:r>
              <w:rPr>
                <w:color w:val="000000"/>
              </w:rPr>
              <w:t>Total</w:t>
            </w:r>
          </w:p>
        </w:tc>
        <w:tc>
          <w:tcPr>
            <w:tcW w:w="808"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55" w:type="dxa"/>
            <w:tcBorders>
              <w:bottom w:val="double" w:sz="8" w:space="0" w:color="000000"/>
            </w:tcBorders>
            <w:vAlign w:val="bottom"/>
          </w:tcPr>
          <w:p>
            <w:pPr>
              <w:pStyle w:val="TableContents"/>
              <w:bidi w:val="0"/>
              <w:spacing w:before="0" w:after="0"/>
              <w:jc w:val="left"/>
              <w:rPr/>
            </w:pPr>
            <w:r>
              <w:rPr/>
              <w:t>$</w:t>
            </w:r>
          </w:p>
        </w:tc>
        <w:tc>
          <w:tcPr>
            <w:tcW w:w="1073" w:type="dxa"/>
            <w:tcBorders>
              <w:bottom w:val="double" w:sz="8" w:space="0" w:color="000000"/>
            </w:tcBorders>
            <w:vAlign w:val="bottom"/>
          </w:tcPr>
          <w:p>
            <w:pPr>
              <w:pStyle w:val="TableContents"/>
              <w:bidi w:val="0"/>
              <w:spacing w:before="0" w:after="0"/>
              <w:jc w:val="right"/>
              <w:rPr/>
            </w:pPr>
            <w:r>
              <w:rPr/>
              <w:t>45,000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35" w:type="dxa"/>
            <w:tcBorders>
              <w:bottom w:val="double" w:sz="8" w:space="0" w:color="000000"/>
            </w:tcBorders>
            <w:vAlign w:val="bottom"/>
          </w:tcPr>
          <w:p>
            <w:pPr>
              <w:pStyle w:val="TableContents"/>
              <w:bidi w:val="0"/>
              <w:spacing w:before="0" w:after="0"/>
              <w:jc w:val="left"/>
              <w:rPr/>
            </w:pPr>
            <w:r>
              <w:rPr/>
              <w:t>$</w:t>
            </w:r>
          </w:p>
        </w:tc>
        <w:tc>
          <w:tcPr>
            <w:tcW w:w="985" w:type="dxa"/>
            <w:tcBorders>
              <w:bottom w:val="double" w:sz="8" w:space="0" w:color="000000"/>
            </w:tcBorders>
            <w:vAlign w:val="bottom"/>
          </w:tcPr>
          <w:p>
            <w:pPr>
              <w:pStyle w:val="TableContents"/>
              <w:bidi w:val="0"/>
              <w:spacing w:before="0" w:after="0"/>
              <w:jc w:val="right"/>
              <w:rPr/>
            </w:pPr>
            <w:r>
              <w:rPr/>
              <w:t>46,393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17" w:type="dxa"/>
            <w:tcBorders/>
            <w:tcMar>
              <w:bottom w:w="0" w:type="dxa"/>
            </w:tcMar>
            <w:vAlign w:val="bottom"/>
          </w:tcPr>
          <w:p>
            <w:pPr>
              <w:pStyle w:val="TableContents"/>
              <w:bidi w:val="0"/>
              <w:spacing w:before="0" w:after="283"/>
              <w:jc w:val="left"/>
              <w:rPr/>
            </w:pPr>
            <w:r>
              <w:rPr/>
              <w:t> </w:t>
            </w:r>
          </w:p>
        </w:tc>
        <w:tc>
          <w:tcPr>
            <w:tcW w:w="129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2651" w:type="dxa"/>
            <w:tcBorders/>
            <w:tcMar>
              <w:bottom w:w="0" w:type="dxa"/>
            </w:tcM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235" w:name="zcd25c6b18a4f44c5b7fb0f15e2c821f8"/>
      <w:bookmarkStart w:id="236" w:name="zcd25c6b18a4f44c5b7fb0f15e2c821f8"/>
      <w:bookmarkEnd w:id="236"/>
    </w:p>
    <w:tbl>
      <w:tblPr>
        <w:tblW w:w="4570" w:type="dxa"/>
        <w:jc w:val="center"/>
        <w:tblInd w:w="0" w:type="dxa"/>
        <w:tblLayout w:type="fixed"/>
        <w:tblCellMar>
          <w:top w:w="0" w:type="dxa"/>
          <w:left w:w="0" w:type="dxa"/>
          <w:bottom w:w="0" w:type="dxa"/>
          <w:right w:w="0" w:type="dxa"/>
        </w:tblCellMar>
      </w:tblPr>
      <w:tblGrid>
        <w:gridCol w:w="335"/>
        <w:gridCol w:w="4235"/>
      </w:tblGrid>
      <w:tr>
        <w:trPr/>
        <w:tc>
          <w:tcPr>
            <w:tcW w:w="335" w:type="dxa"/>
            <w:tcBorders/>
            <w:vAlign w:val="center"/>
          </w:tcPr>
          <w:p>
            <w:pPr>
              <w:pStyle w:val="TableContents"/>
              <w:bidi w:val="0"/>
              <w:spacing w:lineRule="auto" w:line="240" w:before="0" w:after="283"/>
              <w:jc w:val="left"/>
              <w:rPr>
                <w:b/>
                <w:color w:val="000000"/>
              </w:rPr>
            </w:pPr>
            <w:r>
              <w:rPr>
                <w:b/>
                <w:color w:val="000000"/>
              </w:rPr>
              <w:t>(1)</w:t>
            </w:r>
          </w:p>
        </w:tc>
        <w:tc>
          <w:tcPr>
            <w:tcW w:w="4235" w:type="dxa"/>
            <w:tcBorders/>
            <w:vAlign w:val="center"/>
          </w:tcPr>
          <w:p>
            <w:pPr>
              <w:pStyle w:val="TableContents"/>
              <w:bidi w:val="0"/>
              <w:spacing w:before="0" w:after="0"/>
              <w:jc w:val="left"/>
              <w:rPr>
                <w:color w:val="000000"/>
              </w:rPr>
            </w:pPr>
            <w:r>
              <w:rPr>
                <w:color w:val="000000"/>
              </w:rPr>
              <w:t>May be redeemed at the Company’s option.</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237" w:name="zcf56adf6db87439bb9537f82949a5cbf"/>
      <w:bookmarkStart w:id="238" w:name="zcf56adf6db87439bb9537f82949a5cbf"/>
      <w:bookmarkEnd w:id="238"/>
    </w:p>
    <w:tbl>
      <w:tblPr>
        <w:tblW w:w="5710" w:type="dxa"/>
        <w:jc w:val="center"/>
        <w:tblInd w:w="0" w:type="dxa"/>
        <w:tblLayout w:type="fixed"/>
        <w:tblCellMar>
          <w:top w:w="0" w:type="dxa"/>
          <w:left w:w="0" w:type="dxa"/>
          <w:bottom w:w="0" w:type="dxa"/>
          <w:right w:w="0" w:type="dxa"/>
        </w:tblCellMar>
      </w:tblPr>
      <w:tblGrid>
        <w:gridCol w:w="335"/>
        <w:gridCol w:w="5375"/>
      </w:tblGrid>
      <w:tr>
        <w:trPr/>
        <w:tc>
          <w:tcPr>
            <w:tcW w:w="335" w:type="dxa"/>
            <w:tcBorders/>
            <w:vAlign w:val="center"/>
          </w:tcPr>
          <w:p>
            <w:pPr>
              <w:pStyle w:val="TableContents"/>
              <w:bidi w:val="0"/>
              <w:spacing w:lineRule="auto" w:line="240" w:before="0" w:after="283"/>
              <w:jc w:val="left"/>
              <w:rPr>
                <w:b/>
                <w:color w:val="000000"/>
              </w:rPr>
            </w:pPr>
            <w:r>
              <w:rPr>
                <w:b/>
                <w:color w:val="000000"/>
              </w:rPr>
              <w:t>(2)</w:t>
            </w:r>
          </w:p>
        </w:tc>
        <w:tc>
          <w:tcPr>
            <w:tcW w:w="5375" w:type="dxa"/>
            <w:tcBorders/>
            <w:vAlign w:val="center"/>
          </w:tcPr>
          <w:p>
            <w:pPr>
              <w:pStyle w:val="TableContents"/>
              <w:bidi w:val="0"/>
              <w:spacing w:before="0" w:after="0"/>
              <w:jc w:val="left"/>
              <w:rPr>
                <w:color w:val="000000"/>
              </w:rPr>
            </w:pPr>
            <w:r>
              <w:rPr>
                <w:color w:val="000000"/>
              </w:rPr>
              <w:t>Interest payable quarterly with principal due at maturity.</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239" w:name="z74f249d361a947eb95386a3d1a0524da"/>
      <w:bookmarkStart w:id="240" w:name="z74f249d361a947eb95386a3d1a0524da"/>
      <w:bookmarkEnd w:id="240"/>
    </w:p>
    <w:tbl>
      <w:tblPr>
        <w:tblW w:w="5140" w:type="dxa"/>
        <w:jc w:val="center"/>
        <w:tblInd w:w="0" w:type="dxa"/>
        <w:tblLayout w:type="fixed"/>
        <w:tblCellMar>
          <w:top w:w="0" w:type="dxa"/>
          <w:left w:w="0" w:type="dxa"/>
          <w:bottom w:w="0" w:type="dxa"/>
          <w:right w:w="0" w:type="dxa"/>
        </w:tblCellMar>
      </w:tblPr>
      <w:tblGrid>
        <w:gridCol w:w="335"/>
        <w:gridCol w:w="4805"/>
      </w:tblGrid>
      <w:tr>
        <w:trPr/>
        <w:tc>
          <w:tcPr>
            <w:tcW w:w="335" w:type="dxa"/>
            <w:tcBorders/>
            <w:vAlign w:val="center"/>
          </w:tcPr>
          <w:p>
            <w:pPr>
              <w:pStyle w:val="TableContents"/>
              <w:bidi w:val="0"/>
              <w:spacing w:lineRule="auto" w:line="240" w:before="0" w:after="283"/>
              <w:jc w:val="left"/>
              <w:rPr>
                <w:b/>
                <w:color w:val="000000"/>
              </w:rPr>
            </w:pPr>
            <w:r>
              <w:rPr>
                <w:b/>
                <w:color w:val="000000"/>
              </w:rPr>
              <w:t>(3)</w:t>
            </w:r>
          </w:p>
        </w:tc>
        <w:tc>
          <w:tcPr>
            <w:tcW w:w="4805" w:type="dxa"/>
            <w:tcBorders/>
            <w:vAlign w:val="center"/>
          </w:tcPr>
          <w:p>
            <w:pPr>
              <w:pStyle w:val="TableContents"/>
              <w:bidi w:val="0"/>
              <w:spacing w:before="0" w:after="0"/>
              <w:jc w:val="left"/>
              <w:rPr>
                <w:color w:val="000000"/>
              </w:rPr>
            </w:pPr>
            <w:r>
              <w:rPr>
                <w:color w:val="000000"/>
              </w:rPr>
              <w:t>Rate as of last reset date, prior to March 31, 2026.</w:t>
            </w:r>
          </w:p>
        </w:tc>
      </w:tr>
    </w:tbl>
    <w:p>
      <w:pPr>
        <w:pStyle w:val="TextBody"/>
        <w:bidi w:val="0"/>
        <w:spacing w:before="0" w:after="0"/>
        <w:jc w:val="center"/>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Liquidity and Capital Resources</w:t>
      </w:r>
    </w:p>
    <w:p>
      <w:pPr>
        <w:pStyle w:val="TextBody"/>
        <w:bidi w:val="0"/>
        <w:spacing w:before="0" w:after="0"/>
        <w:jc w:val="center"/>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Liquidity</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liquidity position is supported by management of liquid assets and access to alternative sources of funds. Our liquid assets include cash, interest-bearing deposits in correspondent banks, federal funds sold, and fair value of unpledged investment securities. Other available sources of liquidity include wholesale deposits, and additional borrowings from correspondent banks, FHLB advances, and the FRB discount window. At March 31, 2026, the Bank had the capacity to borrow funds from the FHLB and the Federal Reserve discount window of up to approximately $1.29 billion and $701.8 million, respectively.</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short-term and long-term liquidity requirements are primarily met through cash flow from operations, redeployment of prepaying and maturing balances in our loan and investment portfolios, and increases in customer deposits. Other alternative sources of funds will supplement these primary sources to the extent necessary to meet additional liquidity requirements on either a short-term or long-term basis.</w:t>
      </w:r>
    </w:p>
    <w:p>
      <w:pPr>
        <w:pStyle w:val="TextBody"/>
        <w:bidi w:val="0"/>
        <w:spacing w:before="0" w:after="0"/>
        <w:jc w:val="center"/>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Capital</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Total stockholders’ equity increased to $504.9 million as of March 31, 2026, compared to $493.8 million as of December 31, 2025, an increase of $11.1 million, or 2.2%. The increase from December 31, 2025 was primarily the result of $14.5 million in net earnings, partially offset by $2.8 million of dividends paid for the three months ended March 31, 2026.</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(described below), we must meet specific capital guidelines that involve quantitative measures of our assets, liabilities and certain off-balance sheet items as calculated under regulatory accounting policies. The capital amounts and classifications are subject to qualitative judgments by the federal banking regulators about components, risk weightings and other factors. Qualitative measures established by regulation to ensure capital adequacy required us to maintain minimum amounts and ratio of common equity tier 1 (“CET1”) capital, tier 1 capital and total capital to risk-weighted assets and of tier 1 capital to average consolidated assets, referred to as the “leverage ratio.”</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risk-based capital ratios measure the adequacy of a bank’s capital against the riskiness of its assets and off-balance sheet activities. Failure to maintain adequate capital is a basis for “prompt corrective action” or other regulatory enforcement action. In assessing a bank’s capital adequacy, regulators also consider other factors such as interest rate risk exposure; liquidity, funding and market risks; quality and level of earnings; concentrations of credit, quality of loans and investments; risks of any nontraditional activities; effectiveness of bank policies; and management’s overall ability to monitor and control risks.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March 31, 2026 and December 31, 2025, both we and the Bank met all the capital adequacy requirements to which we and the Bank were subject. At March 31, 2026, we and the Bank were “well capitalized” under the regulatory framework for prompt corrective action. Management believes that no conditions or events have occurred since March 31, 2026 that would materially adversely change such capital classifications. From time to time, we may need to raise additional capital to support our and the Bank’s further growth and to maintain our “well capitalized” status.</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41</w:t>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table below summarizes the capital requirements applicable to us and the Bank in order to be considered “well capitalized” from a regulatory perspective, as well as our and the Bank’s capital ratios as of the dates indicated.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1" w:name="z7f55d249dc3847cbbfefeef3af755881"/>
      <w:bookmarkStart w:id="242" w:name="z7f55d249dc3847cbbfefeef3af755881"/>
      <w:bookmarkEnd w:id="242"/>
    </w:p>
    <w:tbl>
      <w:tblPr>
        <w:tblW w:w="8283" w:type="dxa"/>
        <w:jc w:val="left"/>
        <w:tblInd w:w="0" w:type="dxa"/>
        <w:tblLayout w:type="fixed"/>
        <w:tblCellMar>
          <w:top w:w="0" w:type="dxa"/>
          <w:left w:w="0" w:type="dxa"/>
          <w:bottom w:w="0" w:type="dxa"/>
          <w:right w:w="0" w:type="dxa"/>
        </w:tblCellMar>
      </w:tblPr>
      <w:tblGrid>
        <w:gridCol w:w="3725"/>
        <w:gridCol w:w="90"/>
        <w:gridCol w:w="170"/>
        <w:gridCol w:w="830"/>
        <w:gridCol w:w="90"/>
        <w:gridCol w:w="90"/>
        <w:gridCol w:w="90"/>
        <w:gridCol w:w="590"/>
        <w:gridCol w:w="245"/>
        <w:gridCol w:w="90"/>
        <w:gridCol w:w="181"/>
        <w:gridCol w:w="885"/>
        <w:gridCol w:w="96"/>
        <w:gridCol w:w="96"/>
        <w:gridCol w:w="96"/>
        <w:gridCol w:w="629"/>
        <w:gridCol w:w="290"/>
      </w:tblGrid>
      <w:tr>
        <w:trPr/>
        <w:tc>
          <w:tcPr>
            <w:tcW w:w="37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March 31, 2026</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83"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2025</w:t>
            </w:r>
          </w:p>
        </w:tc>
        <w:tc>
          <w:tcPr>
            <w:tcW w:w="290" w:type="dxa"/>
            <w:tcBorders/>
            <w:vAlign w:val="bottom"/>
          </w:tcPr>
          <w:p>
            <w:pPr>
              <w:pStyle w:val="TableContents"/>
              <w:bidi w:val="0"/>
              <w:spacing w:before="0" w:after="283"/>
              <w:jc w:val="left"/>
              <w:rPr/>
            </w:pPr>
            <w:r>
              <w:rPr/>
              <w:t> </w:t>
            </w:r>
          </w:p>
        </w:tc>
      </w:tr>
      <w:tr>
        <w:trPr/>
        <w:tc>
          <w:tcPr>
            <w:tcW w:w="37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Ratio</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6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Ratio</w:t>
            </w:r>
          </w:p>
        </w:tc>
        <w:tc>
          <w:tcPr>
            <w:tcW w:w="290" w:type="dxa"/>
            <w:tcBorders/>
            <w:vAlign w:val="bottom"/>
          </w:tcPr>
          <w:p>
            <w:pPr>
              <w:pStyle w:val="TableContents"/>
              <w:bidi w:val="0"/>
              <w:spacing w:before="0" w:after="283"/>
              <w:jc w:val="left"/>
              <w:rPr/>
            </w:pPr>
            <w:r>
              <w:rPr/>
              <w:t> </w:t>
            </w:r>
          </w:p>
        </w:tc>
      </w:tr>
      <w:tr>
        <w:trPr/>
        <w:tc>
          <w:tcPr>
            <w:tcW w:w="37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78" w:type="dxa"/>
            <w:gridSpan w:val="14"/>
            <w:tcBorders/>
            <w:vAlign w:val="bottom"/>
          </w:tcPr>
          <w:p>
            <w:pPr>
              <w:pStyle w:val="TableContents"/>
              <w:bidi w:val="0"/>
              <w:spacing w:before="0" w:after="0"/>
              <w:jc w:val="center"/>
              <w:rPr>
                <w:b/>
                <w:color w:val="000000"/>
              </w:rPr>
            </w:pPr>
            <w:r>
              <w:rPr>
                <w:b/>
                <w:color w:val="000000"/>
              </w:rPr>
              <w:t>(Dollars in thousands)</w:t>
            </w:r>
          </w:p>
        </w:tc>
        <w:tc>
          <w:tcPr>
            <w:tcW w:w="290" w:type="dxa"/>
            <w:tcBorders/>
            <w:vAlign w:val="bottom"/>
          </w:tcPr>
          <w:p>
            <w:pPr>
              <w:pStyle w:val="TableContents"/>
              <w:bidi w:val="0"/>
              <w:spacing w:before="0" w:after="283"/>
              <w:jc w:val="left"/>
              <w:rPr/>
            </w:pPr>
            <w:r>
              <w:rPr/>
              <w:t> </w:t>
            </w:r>
          </w:p>
        </w:tc>
      </w:tr>
      <w:tr>
        <w:trPr/>
        <w:tc>
          <w:tcPr>
            <w:tcW w:w="3725" w:type="dxa"/>
            <w:tcBorders/>
            <w:vAlign w:val="bottom"/>
          </w:tcPr>
          <w:p>
            <w:pPr>
              <w:pStyle w:val="TableContents"/>
              <w:bidi w:val="0"/>
              <w:spacing w:before="0" w:after="0"/>
              <w:ind w:left="144" w:right="0" w:hanging="144"/>
              <w:jc w:val="left"/>
              <w:rPr>
                <w:color w:val="000000"/>
                <w:u w:val="single"/>
              </w:rPr>
            </w:pPr>
            <w:r>
              <w:rPr>
                <w:b/>
                <w:color w:val="000000"/>
                <w:u w:val="single"/>
              </w:rPr>
              <w:t>Consolidated.</w:t>
            </w:r>
            <w:r>
              <w:rPr>
                <w:color w:val="000000"/>
                <w:u w:val="single"/>
              </w:rPr>
              <w:t>:</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66" w:type="dxa"/>
            <w:gridSpan w:val="2"/>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25"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r>
      <w:tr>
        <w:trPr/>
        <w:tc>
          <w:tcPr>
            <w:tcW w:w="3725" w:type="dxa"/>
            <w:tcBorders/>
            <w:shd w:fill="CCEEFF" w:val="clear"/>
            <w:vAlign w:val="bottom"/>
          </w:tcPr>
          <w:p>
            <w:pPr>
              <w:pStyle w:val="TableContents"/>
              <w:bidi w:val="0"/>
              <w:spacing w:before="0" w:after="0"/>
              <w:ind w:left="144" w:right="0" w:hanging="144"/>
              <w:jc w:val="left"/>
              <w:rPr>
                <w:color w:val="000000"/>
              </w:rPr>
            </w:pPr>
            <w:r>
              <w:rPr>
                <w:color w:val="000000"/>
              </w:rPr>
              <w:t>Total capital (to risk-weighted assets)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634,568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17.61</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0"/>
              <w:jc w:val="left"/>
              <w:rPr/>
            </w:pPr>
            <w:r>
              <w:rPr/>
              <w:t>$</w:t>
            </w:r>
          </w:p>
        </w:tc>
        <w:tc>
          <w:tcPr>
            <w:tcW w:w="885" w:type="dxa"/>
            <w:tcBorders/>
            <w:shd w:fill="CCEEFF" w:val="clear"/>
            <w:vAlign w:val="bottom"/>
          </w:tcPr>
          <w:p>
            <w:pPr>
              <w:pStyle w:val="TableContents"/>
              <w:bidi w:val="0"/>
              <w:spacing w:before="0" w:after="0"/>
              <w:jc w:val="right"/>
              <w:rPr/>
            </w:pPr>
            <w:r>
              <w:rPr/>
              <w:t>622,485</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0"/>
              <w:jc w:val="right"/>
              <w:rPr/>
            </w:pPr>
            <w:r>
              <w:rPr/>
              <w:t>17.26</w:t>
            </w:r>
          </w:p>
        </w:tc>
        <w:tc>
          <w:tcPr>
            <w:tcW w:w="290" w:type="dxa"/>
            <w:tcBorders/>
            <w:shd w:fill="CCEEFF" w:val="clear"/>
            <w:vAlign w:val="bottom"/>
          </w:tcPr>
          <w:p>
            <w:pPr>
              <w:pStyle w:val="TableContents"/>
              <w:bidi w:val="0"/>
              <w:spacing w:before="0" w:after="0"/>
              <w:jc w:val="left"/>
              <w:rPr/>
            </w:pPr>
            <w:r>
              <w:rPr/>
              <w:t>%</w:t>
            </w:r>
          </w:p>
        </w:tc>
      </w:tr>
      <w:tr>
        <w:trPr/>
        <w:tc>
          <w:tcPr>
            <w:tcW w:w="3725" w:type="dxa"/>
            <w:tcBorders/>
            <w:vAlign w:val="bottom"/>
          </w:tcPr>
          <w:p>
            <w:pPr>
              <w:pStyle w:val="TableContents"/>
              <w:bidi w:val="0"/>
              <w:spacing w:before="0" w:after="0"/>
              <w:ind w:left="144" w:right="0" w:hanging="144"/>
              <w:jc w:val="left"/>
              <w:rPr>
                <w:color w:val="000000"/>
              </w:rPr>
            </w:pPr>
            <w:r>
              <w:rPr>
                <w:color w:val="000000"/>
              </w:rPr>
              <w:t>Tier 1 capital (to risk-weighted assets)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578,230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16.05</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0"/>
              <w:jc w:val="right"/>
              <w:rPr/>
            </w:pPr>
            <w:r>
              <w:rPr/>
              <w:t>566,107</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0"/>
              <w:jc w:val="right"/>
              <w:rPr/>
            </w:pPr>
            <w:r>
              <w:rPr/>
              <w:t>15.70</w:t>
            </w:r>
          </w:p>
        </w:tc>
        <w:tc>
          <w:tcPr>
            <w:tcW w:w="290" w:type="dxa"/>
            <w:tcBorders/>
            <w:vAlign w:val="bottom"/>
          </w:tcPr>
          <w:p>
            <w:pPr>
              <w:pStyle w:val="TableContents"/>
              <w:bidi w:val="0"/>
              <w:spacing w:before="0" w:after="0"/>
              <w:jc w:val="left"/>
              <w:rPr/>
            </w:pPr>
            <w:r>
              <w:rPr/>
              <w:t>%</w:t>
            </w:r>
          </w:p>
        </w:tc>
      </w:tr>
      <w:tr>
        <w:trPr/>
        <w:tc>
          <w:tcPr>
            <w:tcW w:w="3725" w:type="dxa"/>
            <w:tcBorders/>
            <w:shd w:fill="CCEEFF" w:val="clear"/>
            <w:vAlign w:val="bottom"/>
          </w:tcPr>
          <w:p>
            <w:pPr>
              <w:pStyle w:val="TableContents"/>
              <w:bidi w:val="0"/>
              <w:spacing w:before="0" w:after="0"/>
              <w:ind w:left="144" w:right="0" w:hanging="144"/>
              <w:jc w:val="left"/>
              <w:rPr>
                <w:color w:val="000000"/>
              </w:rPr>
            </w:pPr>
            <w:r>
              <w:rPr>
                <w:color w:val="000000"/>
              </w:rPr>
              <w:t>CET 1 capital (to risk-weighted assets)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533,230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14.80</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0"/>
              <w:jc w:val="right"/>
              <w:rPr/>
            </w:pPr>
            <w:r>
              <w:rPr/>
              <w:t>521,107</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0"/>
              <w:jc w:val="right"/>
              <w:rPr/>
            </w:pPr>
            <w:r>
              <w:rPr/>
              <w:t>14.45</w:t>
            </w:r>
          </w:p>
        </w:tc>
        <w:tc>
          <w:tcPr>
            <w:tcW w:w="290" w:type="dxa"/>
            <w:tcBorders/>
            <w:shd w:fill="CCEEFF" w:val="clear"/>
            <w:vAlign w:val="bottom"/>
          </w:tcPr>
          <w:p>
            <w:pPr>
              <w:pStyle w:val="TableContents"/>
              <w:bidi w:val="0"/>
              <w:spacing w:before="0" w:after="0"/>
              <w:jc w:val="left"/>
              <w:rPr/>
            </w:pPr>
            <w:r>
              <w:rPr/>
              <w:t>%</w:t>
            </w:r>
          </w:p>
        </w:tc>
      </w:tr>
      <w:tr>
        <w:trPr/>
        <w:tc>
          <w:tcPr>
            <w:tcW w:w="3725" w:type="dxa"/>
            <w:tcBorders/>
            <w:vAlign w:val="bottom"/>
          </w:tcPr>
          <w:p>
            <w:pPr>
              <w:pStyle w:val="TableContents"/>
              <w:bidi w:val="0"/>
              <w:spacing w:before="0" w:after="0"/>
              <w:ind w:left="144" w:right="0" w:hanging="144"/>
              <w:jc w:val="left"/>
              <w:rPr>
                <w:color w:val="000000"/>
              </w:rPr>
            </w:pPr>
            <w:r>
              <w:rPr>
                <w:color w:val="000000"/>
              </w:rPr>
              <w:t>Tier 1 capital (to average assets)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578,230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12.68</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0"/>
              <w:jc w:val="right"/>
              <w:rPr/>
            </w:pPr>
            <w:r>
              <w:rPr/>
              <w:t>566,107</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0"/>
              <w:jc w:val="right"/>
              <w:rPr/>
            </w:pPr>
            <w:r>
              <w:rPr/>
              <w:t>12.53</w:t>
            </w:r>
          </w:p>
        </w:tc>
        <w:tc>
          <w:tcPr>
            <w:tcW w:w="290" w:type="dxa"/>
            <w:tcBorders/>
            <w:vAlign w:val="bottom"/>
          </w:tcPr>
          <w:p>
            <w:pPr>
              <w:pStyle w:val="TableContents"/>
              <w:bidi w:val="0"/>
              <w:spacing w:before="0" w:after="0"/>
              <w:jc w:val="left"/>
              <w:rPr/>
            </w:pPr>
            <w:r>
              <w:rPr/>
              <w:t>%</w:t>
            </w:r>
          </w:p>
        </w:tc>
      </w:tr>
      <w:tr>
        <w:trPr/>
        <w:tc>
          <w:tcPr>
            <w:tcW w:w="37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r>
      <w:tr>
        <w:trPr/>
        <w:tc>
          <w:tcPr>
            <w:tcW w:w="3725" w:type="dxa"/>
            <w:tcBorders/>
            <w:vAlign w:val="bottom"/>
          </w:tcPr>
          <w:p>
            <w:pPr>
              <w:pStyle w:val="TableContents"/>
              <w:bidi w:val="0"/>
              <w:spacing w:before="0" w:after="0"/>
              <w:ind w:left="144" w:right="0" w:hanging="144"/>
              <w:jc w:val="left"/>
              <w:rPr>
                <w:b/>
                <w:color w:val="000000"/>
                <w:u w:val="single"/>
              </w:rPr>
            </w:pPr>
            <w:r>
              <w:rPr>
                <w:b/>
                <w:color w:val="000000"/>
                <w:u w:val="single"/>
              </w:rPr>
              <w:t>City Bank:</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r>
      <w:tr>
        <w:trPr/>
        <w:tc>
          <w:tcPr>
            <w:tcW w:w="3725" w:type="dxa"/>
            <w:tcBorders/>
            <w:shd w:fill="CCEEFF" w:val="clear"/>
            <w:vAlign w:val="bottom"/>
          </w:tcPr>
          <w:p>
            <w:pPr>
              <w:pStyle w:val="TableContents"/>
              <w:bidi w:val="0"/>
              <w:spacing w:before="0" w:after="0"/>
              <w:ind w:left="144" w:right="0" w:hanging="144"/>
              <w:jc w:val="left"/>
              <w:rPr>
                <w:color w:val="000000"/>
              </w:rPr>
            </w:pPr>
            <w:r>
              <w:rPr>
                <w:color w:val="000000"/>
              </w:rPr>
              <w:t>Total capital (to risk-weighted assets)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541,696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15.04</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0"/>
              <w:jc w:val="left"/>
              <w:rPr/>
            </w:pPr>
            <w:r>
              <w:rPr/>
              <w:t>$</w:t>
            </w:r>
          </w:p>
        </w:tc>
        <w:tc>
          <w:tcPr>
            <w:tcW w:w="885" w:type="dxa"/>
            <w:tcBorders/>
            <w:shd w:fill="CCEEFF" w:val="clear"/>
            <w:vAlign w:val="bottom"/>
          </w:tcPr>
          <w:p>
            <w:pPr>
              <w:pStyle w:val="TableContents"/>
              <w:bidi w:val="0"/>
              <w:spacing w:before="0" w:after="0"/>
              <w:jc w:val="right"/>
              <w:rPr/>
            </w:pPr>
            <w:r>
              <w:rPr/>
              <w:t>537,444</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0"/>
              <w:jc w:val="right"/>
              <w:rPr/>
            </w:pPr>
            <w:r>
              <w:rPr/>
              <w:t>14.91</w:t>
            </w:r>
          </w:p>
        </w:tc>
        <w:tc>
          <w:tcPr>
            <w:tcW w:w="290" w:type="dxa"/>
            <w:tcBorders/>
            <w:shd w:fill="CCEEFF" w:val="clear"/>
            <w:vAlign w:val="bottom"/>
          </w:tcPr>
          <w:p>
            <w:pPr>
              <w:pStyle w:val="TableContents"/>
              <w:bidi w:val="0"/>
              <w:spacing w:before="0" w:after="0"/>
              <w:jc w:val="left"/>
              <w:rPr/>
            </w:pPr>
            <w:r>
              <w:rPr/>
              <w:t>%</w:t>
            </w:r>
          </w:p>
        </w:tc>
      </w:tr>
      <w:tr>
        <w:trPr/>
        <w:tc>
          <w:tcPr>
            <w:tcW w:w="3725" w:type="dxa"/>
            <w:tcBorders/>
            <w:vAlign w:val="bottom"/>
          </w:tcPr>
          <w:p>
            <w:pPr>
              <w:pStyle w:val="TableContents"/>
              <w:bidi w:val="0"/>
              <w:spacing w:before="0" w:after="0"/>
              <w:ind w:left="144" w:right="0" w:hanging="144"/>
              <w:jc w:val="left"/>
              <w:rPr>
                <w:color w:val="000000"/>
              </w:rPr>
            </w:pPr>
            <w:r>
              <w:rPr>
                <w:color w:val="000000"/>
              </w:rPr>
              <w:t>Tier 1 capital (to risk-weighted assets)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496,654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13.79</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0"/>
              <w:jc w:val="right"/>
              <w:rPr/>
            </w:pPr>
            <w:r>
              <w:rPr/>
              <w:t>492,355</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0"/>
              <w:jc w:val="right"/>
              <w:rPr/>
            </w:pPr>
            <w:r>
              <w:rPr/>
              <w:t>13.66</w:t>
            </w:r>
          </w:p>
        </w:tc>
        <w:tc>
          <w:tcPr>
            <w:tcW w:w="290" w:type="dxa"/>
            <w:tcBorders/>
            <w:vAlign w:val="bottom"/>
          </w:tcPr>
          <w:p>
            <w:pPr>
              <w:pStyle w:val="TableContents"/>
              <w:bidi w:val="0"/>
              <w:spacing w:before="0" w:after="0"/>
              <w:jc w:val="left"/>
              <w:rPr/>
            </w:pPr>
            <w:r>
              <w:rPr/>
              <w:t>%</w:t>
            </w:r>
          </w:p>
        </w:tc>
      </w:tr>
      <w:tr>
        <w:trPr/>
        <w:tc>
          <w:tcPr>
            <w:tcW w:w="3725" w:type="dxa"/>
            <w:tcBorders/>
            <w:shd w:fill="CCEEFF" w:val="clear"/>
            <w:vAlign w:val="bottom"/>
          </w:tcPr>
          <w:p>
            <w:pPr>
              <w:pStyle w:val="TableContents"/>
              <w:bidi w:val="0"/>
              <w:spacing w:before="0" w:after="0"/>
              <w:ind w:left="144" w:right="0" w:hanging="144"/>
              <w:jc w:val="left"/>
              <w:rPr>
                <w:color w:val="000000"/>
              </w:rPr>
            </w:pPr>
            <w:r>
              <w:rPr>
                <w:color w:val="000000"/>
              </w:rPr>
              <w:t>CET 1 capital (to risk-weighted assets)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496,654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13.79</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0"/>
              <w:jc w:val="right"/>
              <w:rPr/>
            </w:pPr>
            <w:r>
              <w:rPr/>
              <w:t>492,355</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0"/>
              <w:jc w:val="right"/>
              <w:rPr/>
            </w:pPr>
            <w:r>
              <w:rPr/>
              <w:t>13.66</w:t>
            </w:r>
          </w:p>
        </w:tc>
        <w:tc>
          <w:tcPr>
            <w:tcW w:w="290" w:type="dxa"/>
            <w:tcBorders/>
            <w:shd w:fill="CCEEFF" w:val="clear"/>
            <w:vAlign w:val="bottom"/>
          </w:tcPr>
          <w:p>
            <w:pPr>
              <w:pStyle w:val="TableContents"/>
              <w:bidi w:val="0"/>
              <w:spacing w:before="0" w:after="0"/>
              <w:jc w:val="left"/>
              <w:rPr/>
            </w:pPr>
            <w:r>
              <w:rPr/>
              <w:t>%</w:t>
            </w:r>
          </w:p>
        </w:tc>
      </w:tr>
      <w:tr>
        <w:trPr/>
        <w:tc>
          <w:tcPr>
            <w:tcW w:w="3725" w:type="dxa"/>
            <w:tcBorders/>
            <w:vAlign w:val="bottom"/>
          </w:tcPr>
          <w:p>
            <w:pPr>
              <w:pStyle w:val="TableContents"/>
              <w:bidi w:val="0"/>
              <w:spacing w:before="0" w:after="0"/>
              <w:ind w:left="144" w:right="0" w:hanging="144"/>
              <w:jc w:val="left"/>
              <w:rPr>
                <w:color w:val="000000"/>
              </w:rPr>
            </w:pPr>
            <w:r>
              <w:rPr>
                <w:color w:val="000000"/>
              </w:rPr>
              <w:t>Tier 1 capital (to average assets)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496,654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10.90</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0"/>
              <w:jc w:val="right"/>
              <w:rPr/>
            </w:pPr>
            <w:r>
              <w:rPr/>
              <w:t>492,355</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0"/>
              <w:jc w:val="right"/>
              <w:rPr/>
            </w:pPr>
            <w:r>
              <w:rPr/>
              <w:t>10.90</w:t>
            </w:r>
          </w:p>
        </w:tc>
        <w:tc>
          <w:tcPr>
            <w:tcW w:w="290" w:type="dxa"/>
            <w:tcBorders/>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Community Bank Leverage Ratio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September 17, 2019, the federal banking agencies jointly finalized a rule to be effective January 1, 2020 and intended to simplify the regulatory capital requirements described above for qualifying community banking organizations that opt into the Community Bank Leverage Ratio (“CBLR”) framework, as required by Section 201 of the EGRRCPA. The final rule became effective on January 1, 2020, and the CBLR framework became available for banks to use beginning with their March 31, 2020 Call Reports. Under the final rule, if a qualifying community banking organization opts into the CBLR framework and meets all requirements under the framework, it will be considered to have met the well-capitalized ratio requirements under the “prompt corrective action” regulations described above and will not be required to report or calculate risk-based capital. In order to qualify for the CBLR framework, a community banking organization must have a tier 1 leverage ratio of greater than 9%, less than $10 billion in total consolidated assets, and limited amounts of off-balance-sheet exposures and trading assets and liabilities. On November 25, 2025, the federal banking agencies jointly proposed changes to the CBLR framework intended to encourage broader adoption, including reducing the required leverage ratio from 9.0% to 8.0%; however, the proposed rule has not yet been finalized. Although the Company and the Bank are qualifying community banking organizations, the Company and the Bank have elected not to opt in to the CBLR framework at this time and will continue to follow the requirements of the Basel III capital framework as described above.</w:t>
      </w:r>
    </w:p>
    <w:p>
      <w:pPr>
        <w:pStyle w:val="TextBody"/>
        <w:bidi w:val="0"/>
        <w:spacing w:before="0" w:after="0"/>
        <w:jc w:val="both"/>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Treasury Stock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did not repurchase any stock in accordance with its previously-announced stock repurchase programs during the three months ended March 31, 2026. See Part II, Item 2, “Unregistered Sales of Equity Securities and Use of Proceeds,” of this Form 10-Q for further information.</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Interest Rate Sensitivity and Market Risk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a financial institution, our primary component of market risk is interest rate volatility. Our interest rate risk policy provides management with the guidelines for effective funds management, and we have established a measurement system for monitoring our net interest rate sensitivity position. We have historically managed our sensitivity position within our established guidelines.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Interest rate sensitivity involves the relationships between rate-sensitive assets and liabilities and is an indication of the probable effects of interest rate fluctuations on the Company’s net interest income. Interest rate-sensitive assets and liabilities are those with yields or rates that are subject to change within a future time period due to maturity or changes in market rates. The model is used to project future net interest income under a set of possible interest rate movements. The Company’s Investment/Asset Liability Committee (“ALCO Committee”) reviews this information to determine compliance with the limits set by the Bank’s board of directors.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manage our exposure to interest rates by structuring our balance sheet in the ordinary course of business. Based upon the nature of our operations, we are not subject to foreign exchange or commodity price risk. We do not own any trading assets.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exposure to interest rate risk is managed by the ALCO Committee, in accordance with policies approved by the Bank’s board of directors. The ALCO Committee formulates strategies based on appropriate levels of interest rate risk. In determining the appropriate level of interest rate risk, the ALCO Committee considers the impact on earnings and capital on the current outlook on interest rates, potential changes in interest rates, regional economies, liquidity, business strategies and other factors. The ALCO Committee meets regularly to review, among other things, the sensitivity of assets and liabilities to interest rate changes, the book and market values of assets and liabilities, commitments to originate loans and the maturities of investments and borrowings. Additionally, the ALCO Committee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use interest rate risk simulation models and shock analyses to test the interest rate sensitivity of net interest income and fair value of equity, and the impact of changes in interest rates on other financial metrics. Contractual maturities and re-pricing opportunities of loans are incorporated in the model. The average lives of non-maturity deposit accounts are based on decay assumptions and are incorporated into the model. All of the assumptions used in our analyses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 quarterly basis, we run a simulation model for a static balance sheet and other scenarios. These models test the impact on net interest income from changes in market interest rates under various scenarios. Under the static model, rates are shocked instantaneously and ramped rates change over a 12-month and 24-month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 Our internal policy regarding internal rate risk simulations currently specifies that for gradual parallel shifts of the yield curve, estimated net interest income at risk for the subsequent one-year period should not decline by more than 7.5% for a 100 basis point shift, 15% for a 200 basis point shift, and 22.5% for a 300 basis point shift.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summarizes the simulated change in net interest income over a 12-month horizon as of the dates indicated: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3" w:name="zd3c360d89a214bfbaa0c5be79e67777e"/>
      <w:bookmarkStart w:id="244" w:name="zd3c360d89a214bfbaa0c5be79e67777e"/>
      <w:bookmarkEnd w:id="244"/>
    </w:p>
    <w:tbl>
      <w:tblPr>
        <w:tblW w:w="8663" w:type="dxa"/>
        <w:jc w:val="left"/>
        <w:tblInd w:w="0" w:type="dxa"/>
        <w:tblLayout w:type="fixed"/>
        <w:tblCellMar>
          <w:top w:w="0" w:type="dxa"/>
          <w:left w:w="0" w:type="dxa"/>
          <w:bottom w:w="0" w:type="dxa"/>
          <w:right w:w="0" w:type="dxa"/>
        </w:tblCellMar>
      </w:tblPr>
      <w:tblGrid>
        <w:gridCol w:w="3995"/>
        <w:gridCol w:w="90"/>
        <w:gridCol w:w="90"/>
        <w:gridCol w:w="288"/>
        <w:gridCol w:w="1771"/>
        <w:gridCol w:w="125"/>
        <w:gridCol w:w="90"/>
        <w:gridCol w:w="289"/>
        <w:gridCol w:w="1770"/>
        <w:gridCol w:w="155"/>
      </w:tblGrid>
      <w:tr>
        <w:trPr/>
        <w:tc>
          <w:tcPr>
            <w:tcW w:w="39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5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March 31,</w:t>
            </w:r>
          </w:p>
          <w:p>
            <w:pPr>
              <w:pStyle w:val="TableContents"/>
              <w:bidi w:val="0"/>
              <w:spacing w:before="0" w:after="0"/>
              <w:jc w:val="center"/>
              <w:rPr>
                <w:b/>
                <w:color w:val="000000"/>
              </w:rPr>
            </w:pPr>
            <w:r>
              <w:rPr>
                <w:b/>
                <w:color w:val="000000"/>
              </w:rPr>
              <w:t>2026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5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w:t>
            </w:r>
          </w:p>
          <w:p>
            <w:pPr>
              <w:pStyle w:val="TableContents"/>
              <w:bidi w:val="0"/>
              <w:spacing w:before="0" w:after="0"/>
              <w:jc w:val="center"/>
              <w:rPr>
                <w:b/>
                <w:color w:val="000000"/>
              </w:rPr>
            </w:pPr>
            <w:r>
              <w:rPr>
                <w:b/>
                <w:color w:val="000000"/>
              </w:rPr>
              <w:t>2025</w:t>
            </w:r>
          </w:p>
        </w:tc>
        <w:tc>
          <w:tcPr>
            <w:tcW w:w="155" w:type="dxa"/>
            <w:tcBorders/>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0"/>
              <w:jc w:val="left"/>
              <w:rPr>
                <w:b/>
                <w:color w:val="000000"/>
                <w:u w:val="single"/>
              </w:rPr>
            </w:pPr>
            <w:r>
              <w:rPr>
                <w:b/>
                <w:color w:val="000000"/>
                <w:u w:val="single"/>
              </w:rPr>
              <w:t>Change in Interest Rates (Basis Points)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5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Percent Change in</w:t>
            </w:r>
          </w:p>
          <w:p>
            <w:pPr>
              <w:pStyle w:val="TableContents"/>
              <w:bidi w:val="0"/>
              <w:spacing w:before="0" w:after="0"/>
              <w:jc w:val="center"/>
              <w:rPr>
                <w:b/>
                <w:color w:val="000000"/>
              </w:rPr>
            </w:pPr>
            <w:r>
              <w:rPr>
                <w:b/>
                <w:color w:val="000000"/>
              </w:rPr>
              <w:t>Net Interest Income</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5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Percent Change in</w:t>
            </w:r>
          </w:p>
          <w:p>
            <w:pPr>
              <w:pStyle w:val="TableContents"/>
              <w:bidi w:val="0"/>
              <w:spacing w:before="0" w:after="0"/>
              <w:jc w:val="center"/>
              <w:rPr>
                <w:b/>
                <w:color w:val="000000"/>
              </w:rPr>
            </w:pPr>
            <w:r>
              <w:rPr>
                <w:b/>
                <w:color w:val="000000"/>
              </w:rPr>
              <w:t>Net Interest Income</w:t>
            </w:r>
          </w:p>
        </w:tc>
        <w:tc>
          <w:tcPr>
            <w:tcW w:w="155" w:type="dxa"/>
            <w:tcBorders/>
            <w:vAlign w:val="bottom"/>
          </w:tcPr>
          <w:p>
            <w:pPr>
              <w:pStyle w:val="TableContents"/>
              <w:bidi w:val="0"/>
              <w:spacing w:before="0" w:after="283"/>
              <w:jc w:val="left"/>
              <w:rPr/>
            </w:pPr>
            <w:r>
              <w:rPr/>
              <w:t> </w:t>
            </w:r>
          </w:p>
        </w:tc>
      </w:tr>
      <w:tr>
        <w:trPr/>
        <w:tc>
          <w:tcPr>
            <w:tcW w:w="3995" w:type="dxa"/>
            <w:tcBorders/>
            <w:shd w:fill="CCEEFF" w:val="clear"/>
            <w:vAlign w:val="bottom"/>
          </w:tcPr>
          <w:p>
            <w:pPr>
              <w:pStyle w:val="TableContents"/>
              <w:bidi w:val="0"/>
              <w:spacing w:before="0" w:after="0"/>
              <w:jc w:val="left"/>
              <w:rPr>
                <w:color w:val="000000"/>
              </w:rPr>
            </w:pPr>
            <w:r>
              <w:rPr>
                <w:color w:val="000000"/>
              </w:rPr>
              <w:t>+300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0"/>
              <w:jc w:val="right"/>
              <w:rPr>
                <w:color w:val="000000"/>
              </w:rPr>
            </w:pPr>
            <w:r>
              <w:rPr>
                <w:color w:val="000000"/>
              </w:rPr>
              <w:t>(0.50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770" w:type="dxa"/>
            <w:tcBorders/>
            <w:shd w:fill="CCEEFF" w:val="clear"/>
            <w:vAlign w:val="bottom"/>
          </w:tcPr>
          <w:p>
            <w:pPr>
              <w:pStyle w:val="TableContents"/>
              <w:bidi w:val="0"/>
              <w:spacing w:before="0" w:after="0"/>
              <w:jc w:val="right"/>
              <w:rPr>
                <w:color w:val="000000"/>
              </w:rPr>
            </w:pPr>
            <w:r>
              <w:rPr>
                <w:color w:val="000000"/>
              </w:rPr>
              <w:t>(3.03</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3995" w:type="dxa"/>
            <w:tcBorders/>
            <w:vAlign w:val="bottom"/>
          </w:tcPr>
          <w:p>
            <w:pPr>
              <w:pStyle w:val="TableContents"/>
              <w:bidi w:val="0"/>
              <w:spacing w:before="0" w:after="0"/>
              <w:jc w:val="left"/>
              <w:rPr>
                <w:color w:val="000000"/>
              </w:rPr>
            </w:pPr>
            <w:r>
              <w:rPr>
                <w:color w:val="000000"/>
              </w:rPr>
              <w:t>+200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0"/>
              <w:jc w:val="right"/>
              <w:rPr>
                <w:color w:val="000000"/>
              </w:rPr>
            </w:pPr>
            <w:r>
              <w:rPr>
                <w:color w:val="000000"/>
              </w:rPr>
              <w:t>(0.23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770" w:type="dxa"/>
            <w:tcBorders/>
            <w:vAlign w:val="bottom"/>
          </w:tcPr>
          <w:p>
            <w:pPr>
              <w:pStyle w:val="TableContents"/>
              <w:bidi w:val="0"/>
              <w:spacing w:before="0" w:after="0"/>
              <w:jc w:val="right"/>
              <w:rPr>
                <w:color w:val="000000"/>
              </w:rPr>
            </w:pPr>
            <w:r>
              <w:rPr>
                <w:color w:val="000000"/>
              </w:rPr>
              <w:t>(1.91</w:t>
            </w:r>
          </w:p>
        </w:tc>
        <w:tc>
          <w:tcPr>
            <w:tcW w:w="155" w:type="dxa"/>
            <w:tcBorders/>
            <w:vAlign w:val="bottom"/>
          </w:tcPr>
          <w:p>
            <w:pPr>
              <w:pStyle w:val="TableContents"/>
              <w:bidi w:val="0"/>
              <w:spacing w:before="0" w:after="0"/>
              <w:jc w:val="left"/>
              <w:rPr>
                <w:color w:val="000000"/>
              </w:rPr>
            </w:pPr>
            <w:r>
              <w:rPr>
                <w:color w:val="000000"/>
              </w:rPr>
              <w:t>)</w:t>
            </w:r>
          </w:p>
        </w:tc>
      </w:tr>
      <w:tr>
        <w:trPr/>
        <w:tc>
          <w:tcPr>
            <w:tcW w:w="3995" w:type="dxa"/>
            <w:tcBorders/>
            <w:shd w:fill="CCEEFF" w:val="clear"/>
            <w:vAlign w:val="bottom"/>
          </w:tcPr>
          <w:p>
            <w:pPr>
              <w:pStyle w:val="TableContents"/>
              <w:bidi w:val="0"/>
              <w:spacing w:before="0" w:after="0"/>
              <w:jc w:val="left"/>
              <w:rPr>
                <w:color w:val="000000"/>
              </w:rPr>
            </w:pPr>
            <w:r>
              <w:rPr>
                <w:color w:val="000000"/>
              </w:rPr>
              <w:t>+100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0"/>
              <w:jc w:val="right"/>
              <w:rPr>
                <w:color w:val="000000"/>
              </w:rPr>
            </w:pPr>
            <w:r>
              <w:rPr>
                <w:color w:val="000000"/>
              </w:rPr>
              <w:t>(0.03</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770" w:type="dxa"/>
            <w:tcBorders/>
            <w:shd w:fill="CCEEFF" w:val="clear"/>
            <w:vAlign w:val="bottom"/>
          </w:tcPr>
          <w:p>
            <w:pPr>
              <w:pStyle w:val="TableContents"/>
              <w:bidi w:val="0"/>
              <w:spacing w:before="0" w:after="0"/>
              <w:jc w:val="right"/>
              <w:rPr>
                <w:color w:val="000000"/>
              </w:rPr>
            </w:pPr>
            <w:r>
              <w:rPr>
                <w:color w:val="000000"/>
              </w:rPr>
              <w:t>(0.89</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3995" w:type="dxa"/>
            <w:tcBorders/>
            <w:vAlign w:val="bottom"/>
          </w:tcPr>
          <w:p>
            <w:pPr>
              <w:pStyle w:val="TableContents"/>
              <w:bidi w:val="0"/>
              <w:spacing w:before="0" w:after="0"/>
              <w:jc w:val="left"/>
              <w:rPr>
                <w:color w:val="000000"/>
              </w:rPr>
            </w:pPr>
            <w:r>
              <w:rPr>
                <w:color w:val="000000"/>
              </w:rPr>
              <w:t>-100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0"/>
              <w:jc w:val="right"/>
              <w:rPr>
                <w:color w:val="000000"/>
              </w:rPr>
            </w:pPr>
            <w:r>
              <w:rPr>
                <w:color w:val="000000"/>
              </w:rPr>
              <w:t>(1.32</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770" w:type="dxa"/>
            <w:tcBorders/>
            <w:vAlign w:val="bottom"/>
          </w:tcPr>
          <w:p>
            <w:pPr>
              <w:pStyle w:val="TableContents"/>
              <w:bidi w:val="0"/>
              <w:spacing w:before="0" w:after="0"/>
              <w:jc w:val="right"/>
              <w:rPr>
                <w:color w:val="000000"/>
              </w:rPr>
            </w:pPr>
            <w:r>
              <w:rPr>
                <w:color w:val="000000"/>
              </w:rPr>
              <w:t>(0.26</w:t>
            </w:r>
          </w:p>
        </w:tc>
        <w:tc>
          <w:tcPr>
            <w:tcW w:w="155" w:type="dxa"/>
            <w:tcBorders/>
            <w:vAlign w:val="bottom"/>
          </w:tcPr>
          <w:p>
            <w:pPr>
              <w:pStyle w:val="TableContents"/>
              <w:bidi w:val="0"/>
              <w:spacing w:before="0" w:after="0"/>
              <w:jc w:val="left"/>
              <w:rPr>
                <w:color w:val="000000"/>
              </w:rPr>
            </w:pPr>
            <w:r>
              <w:rPr>
                <w:color w:val="000000"/>
              </w:rPr>
              <w:t>)</w:t>
            </w:r>
          </w:p>
        </w:tc>
      </w:tr>
      <w:tr>
        <w:trPr/>
        <w:tc>
          <w:tcPr>
            <w:tcW w:w="3995" w:type="dxa"/>
            <w:tcBorders/>
            <w:shd w:fill="CCEEFF" w:val="clear"/>
            <w:vAlign w:val="bottom"/>
          </w:tcPr>
          <w:p>
            <w:pPr>
              <w:pStyle w:val="TableContents"/>
              <w:bidi w:val="0"/>
              <w:spacing w:before="0" w:after="0"/>
              <w:jc w:val="left"/>
              <w:rPr>
                <w:color w:val="000000"/>
              </w:rPr>
            </w:pPr>
            <w:r>
              <w:rPr>
                <w:color w:val="000000"/>
              </w:rPr>
              <w:t>-200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0"/>
              <w:jc w:val="right"/>
              <w:rPr>
                <w:color w:val="000000"/>
              </w:rPr>
            </w:pPr>
            <w:r>
              <w:rPr>
                <w:color w:val="000000"/>
              </w:rPr>
              <w:t>(1.49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770" w:type="dxa"/>
            <w:tcBorders/>
            <w:shd w:fill="CCEEFF" w:val="clear"/>
            <w:vAlign w:val="bottom"/>
          </w:tcPr>
          <w:p>
            <w:pPr>
              <w:pStyle w:val="TableContents"/>
              <w:bidi w:val="0"/>
              <w:spacing w:before="0" w:after="0"/>
              <w:jc w:val="right"/>
              <w:rPr>
                <w:color w:val="000000"/>
              </w:rPr>
            </w:pPr>
            <w:r>
              <w:rPr>
                <w:color w:val="000000"/>
              </w:rPr>
              <w:t>0.27</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Impact of Inflation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consolidated financial statements and related notes included elsewhere in this Form 10-Q have been prepared in accordance with GAAP. GAAP requires the measurement of financial position and operating results in terms of historical dollars, without considering changes in the relative value of money over time due to inflation or recession.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asset and liability structure is substantially different from that of an industrial company in that virtually all assets and liabilities of the Company are monetary in nature. Management believes the impact of inflation on financial results depends upon the Company’s ability to react to changes in interest rates and by such reaction, reduce the inflationary impact on performance. Interest rates do not necessarily move in the same direction, or at the same magnitude, as the prices of other goods and services. However, other operating expenses do reflect general levels of inflation. Management seeks to manage the relationship between interest rate-sensitive assets and liabilities in order to protect against wide net interest income fluctuations, including those resulting from inflation.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Various information shown elsewhere in this Report will assist in the understanding of how well the Company is positioned to react to changing interest rates and inflationary trends. In particular, additional information related to the Company’s interest rate-sensitive assets and liabilities is contained in this Item 2, “Management’s Discussion and Analysis of Financial Condition and Results of Operations” of this Report under the heading “Interest Rate Sensitivity and Market Risk.”</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Non-GAAP Financial Measures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accounting and reporting policies conform to GAAP and the prevailing practices in the banking industry. However, we also evaluate our performance based on certain additional financial measures discussed in this Report as being non-GAAP financial measures.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U.S. in our consolidated statements of comprehensive income (loss), balance sheets or statements of cash flows. Non-GAAP financial measures do not include operating and other statistical measures or ratios or statistical measures calculated using exclusively either financial measures calculated in accordance with GAAP, operating measures or other measures that are not non-GAAP financial measures or both.</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non-GAAP financial measures that we discuss in this Report should not be considered in isolation or as a substitute for the most directly comparable or other financial measures calculated in accordance with GAAP. Moreover, the manner in which we calculate the non-GAAP financial measures that we discuss in this Report may differ from that of other companies reporting measures with similar names. It is important to understand how other banking organizations calculate their financial measures with names similar to the non-GAAP financial measures we have discussed in this Report when comparing such non-GAAP financial measures.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Tangible Book Value Per Common Share</w:t>
      </w:r>
      <w:r>
        <w:rPr>
          <w:rFonts w:ascii="Times New Roman" w:hAnsi="Times New Roman"/>
          <w:color w:val="000000"/>
          <w:sz w:val="20"/>
          <w:shd w:fill="FFFFFF" w:val="clear"/>
        </w:rPr>
        <w:t>. Tangible book value per share is a non-GAAP measure generally used by investors, financial analysts and investment bankers to evaluate financial institutions. The most directly comparable GAAP financial measure for tangible book value per common share is book value per common share. We believe that the tangible book value per common share measure is important to many investors in the marketplace who are interested in changes from period to period in book value per common share exclusive of changes in intangible assets. Goodwill and other intangible assets have the effect of increasing total book value while not increasing our tangible book value.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Tangible Common Equity to Tangible Assets</w:t>
      </w:r>
      <w:r>
        <w:rPr>
          <w:rFonts w:ascii="Times New Roman" w:hAnsi="Times New Roman"/>
          <w:color w:val="000000"/>
          <w:sz w:val="20"/>
          <w:shd w:fill="FFFFFF" w:val="clear"/>
        </w:rPr>
        <w:t>. Tangible common equity to tangible assets is a non-GAAP measure generally used by investors, financial analysts and investment bankers to evaluate financial institutions. We calculate tangible common equity, as described above, and tangible assets as total assets less goodwill, core deposit intangibles and other intangible assets, net of accumulated amortization. The most directly comparable GAAP financial measure for tangible common equity to tangible assets is total common stockholders’ equity to total assets. We believe that this measure is important to many investors in the marketplace who are interested in the relative changes from period to period of tangible common equity to tangible assets, each exclusive of changes in intangible assets. Goodwill and other intangible assets have the effect of increasing both total stockholders’ equity and assets while not increasing our tangible common equity or tangible assets.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reconciles, as of the dates set forth below, total stockholders’ equity to tangible common equity and total assets to tangible assets and then presents book value per common share, tangible book value per common share, total stockholders’ equity to total assets, and tangible common equity to tangible assets: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5" w:name="za90f3e7a15a542859e804d5b18f0e560"/>
      <w:bookmarkStart w:id="246" w:name="za90f3e7a15a542859e804d5b18f0e560"/>
      <w:bookmarkEnd w:id="246"/>
    </w:p>
    <w:tbl>
      <w:tblPr>
        <w:tblW w:w="8423" w:type="dxa"/>
        <w:jc w:val="left"/>
        <w:tblInd w:w="0" w:type="dxa"/>
        <w:tblLayout w:type="fixed"/>
        <w:tblCellMar>
          <w:top w:w="0" w:type="dxa"/>
          <w:left w:w="0" w:type="dxa"/>
          <w:bottom w:w="0" w:type="dxa"/>
          <w:right w:w="0" w:type="dxa"/>
        </w:tblCellMar>
      </w:tblPr>
      <w:tblGrid>
        <w:gridCol w:w="4085"/>
        <w:gridCol w:w="90"/>
        <w:gridCol w:w="214"/>
        <w:gridCol w:w="1425"/>
        <w:gridCol w:w="245"/>
        <w:gridCol w:w="90"/>
        <w:gridCol w:w="259"/>
        <w:gridCol w:w="1725"/>
        <w:gridCol w:w="290"/>
      </w:tblGrid>
      <w:tr>
        <w:trPr/>
        <w:tc>
          <w:tcPr>
            <w:tcW w:w="40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March 31, 2026</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84" w:type="dxa"/>
            <w:gridSpan w:val="2"/>
            <w:tcBorders>
              <w:bottom w:val="single" w:sz="12" w:space="0" w:color="000000"/>
            </w:tcBorders>
            <w:tcMar>
              <w:bottom w:w="28" w:type="dxa"/>
            </w:tcMar>
            <w:vAlign w:val="bottom"/>
          </w:tcPr>
          <w:p>
            <w:pPr>
              <w:pStyle w:val="TableContents"/>
              <w:bidi w:val="0"/>
              <w:spacing w:before="0" w:after="0"/>
              <w:ind w:left="0" w:right="0" w:hanging="140"/>
              <w:jc w:val="center"/>
              <w:rPr>
                <w:b/>
                <w:color w:val="000000"/>
              </w:rPr>
            </w:pPr>
            <w:r>
              <w:rPr>
                <w:b/>
                <w:color w:val="000000"/>
              </w:rPr>
              <w:t>December 31, 2025</w:t>
            </w:r>
          </w:p>
        </w:tc>
        <w:tc>
          <w:tcPr>
            <w:tcW w:w="290" w:type="dxa"/>
            <w:tcBorders/>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8" w:type="dxa"/>
            <w:gridSpan w:val="6"/>
            <w:tcBorders/>
            <w:vAlign w:val="bottom"/>
          </w:tcPr>
          <w:p>
            <w:pPr>
              <w:pStyle w:val="TableContents"/>
              <w:bidi w:val="0"/>
              <w:spacing w:before="0" w:after="0"/>
              <w:ind w:left="0" w:right="0" w:hanging="140"/>
              <w:jc w:val="center"/>
              <w:rPr>
                <w:b/>
                <w:color w:val="000000"/>
              </w:rPr>
            </w:pPr>
            <w:r>
              <w:rPr>
                <w:b/>
                <w:color w:val="000000"/>
              </w:rPr>
              <w:t>(Dollars in thousands)</w:t>
            </w:r>
          </w:p>
        </w:tc>
        <w:tc>
          <w:tcPr>
            <w:tcW w:w="290"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144" w:right="0" w:hanging="144"/>
              <w:jc w:val="left"/>
              <w:rPr>
                <w:color w:val="000000"/>
              </w:rPr>
            </w:pPr>
            <w:r>
              <w:rPr>
                <w:color w:val="000000"/>
              </w:rPr>
              <w:t>Total stockholders’ equity</w:t>
            </w:r>
          </w:p>
        </w:tc>
        <w:tc>
          <w:tcPr>
            <w:tcW w:w="90" w:type="dxa"/>
            <w:tcBorders/>
            <w:shd w:fill="CCEEFF" w:val="clear"/>
            <w:vAlign w:val="bottom"/>
          </w:tcPr>
          <w:p>
            <w:pPr>
              <w:pStyle w:val="TableContents"/>
              <w:bidi w:val="0"/>
              <w:spacing w:before="0" w:after="283"/>
              <w:jc w:val="right"/>
              <w:rPr/>
            </w:pPr>
            <w:r>
              <w:rPr/>
              <w:t> </w:t>
            </w:r>
          </w:p>
        </w:tc>
        <w:tc>
          <w:tcPr>
            <w:tcW w:w="214" w:type="dxa"/>
            <w:tcBorders/>
            <w:shd w:fill="CCEEFF" w:val="clear"/>
            <w:vAlign w:val="bottom"/>
          </w:tcPr>
          <w:p>
            <w:pPr>
              <w:pStyle w:val="TableContents"/>
              <w:bidi w:val="0"/>
              <w:spacing w:before="0" w:after="0"/>
              <w:jc w:val="left"/>
              <w:rPr/>
            </w:pPr>
            <w:r>
              <w:rPr/>
              <w:t>$</w:t>
            </w:r>
          </w:p>
        </w:tc>
        <w:tc>
          <w:tcPr>
            <w:tcW w:w="1425" w:type="dxa"/>
            <w:tcBorders/>
            <w:shd w:fill="CCEEFF" w:val="clear"/>
            <w:vAlign w:val="bottom"/>
          </w:tcPr>
          <w:p>
            <w:pPr>
              <w:pStyle w:val="TableContents"/>
              <w:bidi w:val="0"/>
              <w:spacing w:before="0" w:after="0"/>
              <w:jc w:val="right"/>
              <w:rPr/>
            </w:pPr>
            <w:r>
              <w:rPr/>
              <w:t>504,939</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0"/>
              <w:jc w:val="left"/>
              <w:rPr>
                <w:color w:val="000000"/>
              </w:rPr>
            </w:pPr>
            <w:r>
              <w:rPr>
                <w:color w:val="000000"/>
              </w:rPr>
              <w:t>$</w:t>
            </w:r>
          </w:p>
        </w:tc>
        <w:tc>
          <w:tcPr>
            <w:tcW w:w="1725" w:type="dxa"/>
            <w:tcBorders/>
            <w:shd w:fill="CCEEFF" w:val="clear"/>
            <w:vAlign w:val="bottom"/>
          </w:tcPr>
          <w:p>
            <w:pPr>
              <w:pStyle w:val="TableContents"/>
              <w:bidi w:val="0"/>
              <w:spacing w:before="0" w:after="0"/>
              <w:jc w:val="right"/>
              <w:rPr>
                <w:color w:val="000000"/>
              </w:rPr>
            </w:pPr>
            <w:r>
              <w:rPr>
                <w:color w:val="000000"/>
              </w:rPr>
              <w:t>493,837</w:t>
            </w:r>
          </w:p>
        </w:tc>
        <w:tc>
          <w:tcPr>
            <w:tcW w:w="290"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44" w:right="0" w:hanging="144"/>
              <w:jc w:val="left"/>
              <w:rPr>
                <w:color w:val="000000"/>
              </w:rPr>
            </w:pPr>
            <w:r>
              <w:rPr>
                <w:color w:val="000000"/>
              </w:rPr>
              <w:t>Less: Goodwill and other intangibles</w:t>
            </w:r>
          </w:p>
        </w:tc>
        <w:tc>
          <w:tcPr>
            <w:tcW w:w="90" w:type="dxa"/>
            <w:tcBorders/>
            <w:vAlign w:val="bottom"/>
          </w:tcPr>
          <w:p>
            <w:pPr>
              <w:pStyle w:val="TableContents"/>
              <w:bidi w:val="0"/>
              <w:spacing w:before="0" w:after="283"/>
              <w:jc w:val="right"/>
              <w:rPr/>
            </w:pPr>
            <w:r>
              <w:rPr/>
              <w:t> </w:t>
            </w:r>
          </w:p>
        </w:tc>
        <w:tc>
          <w:tcPr>
            <w:tcW w:w="214" w:type="dxa"/>
            <w:tcBorders>
              <w:bottom w:val="single" w:sz="12" w:space="0" w:color="000000"/>
            </w:tcBorders>
            <w:tcMar>
              <w:bottom w:w="28" w:type="dxa"/>
            </w:tcMar>
            <w:vAlign w:val="bottom"/>
          </w:tcPr>
          <w:p>
            <w:pPr>
              <w:pStyle w:val="TableContents"/>
              <w:bidi w:val="0"/>
              <w:spacing w:before="0" w:after="283"/>
              <w:jc w:val="left"/>
              <w:rPr/>
            </w:pPr>
            <w:r>
              <w:rPr/>
              <w:t> </w:t>
            </w:r>
          </w:p>
        </w:tc>
        <w:tc>
          <w:tcPr>
            <w:tcW w:w="1425" w:type="dxa"/>
            <w:tcBorders>
              <w:bottom w:val="single" w:sz="12" w:space="0" w:color="000000"/>
            </w:tcBorders>
            <w:tcMar>
              <w:bottom w:w="28" w:type="dxa"/>
            </w:tcMar>
            <w:vAlign w:val="bottom"/>
          </w:tcPr>
          <w:p>
            <w:pPr>
              <w:pStyle w:val="TableContents"/>
              <w:bidi w:val="0"/>
              <w:spacing w:before="0" w:after="0"/>
              <w:jc w:val="right"/>
              <w:rPr/>
            </w:pPr>
            <w:r>
              <w:rPr/>
              <w:t>(20,327</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right"/>
              <w:rPr/>
            </w:pPr>
            <w:r>
              <w:rPr/>
              <w:t> </w:t>
            </w:r>
          </w:p>
        </w:tc>
        <w:tc>
          <w:tcPr>
            <w:tcW w:w="259" w:type="dxa"/>
            <w:tcBorders>
              <w:bottom w:val="single" w:sz="12" w:space="0" w:color="000000"/>
            </w:tcBorders>
            <w:tcMar>
              <w:bottom w:w="28" w:type="dxa"/>
            </w:tcMar>
            <w:vAlign w:val="bottom"/>
          </w:tcPr>
          <w:p>
            <w:pPr>
              <w:pStyle w:val="TableContents"/>
              <w:bidi w:val="0"/>
              <w:spacing w:before="0" w:after="283"/>
              <w:jc w:val="left"/>
              <w:rPr/>
            </w:pPr>
            <w:r>
              <w:rPr/>
              <w:t> </w:t>
            </w:r>
          </w:p>
        </w:tc>
        <w:tc>
          <w:tcPr>
            <w:tcW w:w="17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(20,448</w:t>
            </w:r>
          </w:p>
        </w:tc>
        <w:tc>
          <w:tcPr>
            <w:tcW w:w="290" w:type="dxa"/>
            <w:tcBorders/>
            <w:vAlign w:val="bottom"/>
          </w:tcPr>
          <w:p>
            <w:pPr>
              <w:pStyle w:val="TableContents"/>
              <w:bidi w:val="0"/>
              <w:spacing w:before="0" w:after="0"/>
              <w:jc w:val="left"/>
              <w:rPr>
                <w:color w:val="000000"/>
              </w:rPr>
            </w:pPr>
            <w:r>
              <w:rPr>
                <w:color w:val="000000"/>
              </w:rPr>
              <w:t>)</w:t>
            </w:r>
          </w:p>
        </w:tc>
      </w:tr>
      <w:tr>
        <w:trPr/>
        <w:tc>
          <w:tcPr>
            <w:tcW w:w="4085" w:type="dxa"/>
            <w:tcBorders/>
            <w:shd w:fill="CCEEFF" w:val="clear"/>
            <w:vAlign w:val="bottom"/>
          </w:tcPr>
          <w:p>
            <w:pPr>
              <w:pStyle w:val="TableContents"/>
              <w:bidi w:val="0"/>
              <w:spacing w:before="0" w:after="0"/>
              <w:ind w:left="324" w:right="0" w:hanging="144"/>
              <w:jc w:val="left"/>
              <w:rPr>
                <w:color w:val="000000"/>
              </w:rPr>
            </w:pPr>
            <w:r>
              <w:rPr>
                <w:color w:val="000000"/>
              </w:rPr>
              <w:t>Tangible common equity</w:t>
            </w:r>
          </w:p>
        </w:tc>
        <w:tc>
          <w:tcPr>
            <w:tcW w:w="90" w:type="dxa"/>
            <w:tcBorders/>
            <w:shd w:fill="CCEEFF" w:val="clear"/>
            <w:vAlign w:val="bottom"/>
          </w:tcPr>
          <w:p>
            <w:pPr>
              <w:pStyle w:val="TableContents"/>
              <w:bidi w:val="0"/>
              <w:spacing w:before="0" w:after="283"/>
              <w:jc w:val="right"/>
              <w:rPr/>
            </w:pPr>
            <w:r>
              <w:rPr/>
              <w:t> </w:t>
            </w:r>
          </w:p>
        </w:tc>
        <w:tc>
          <w:tcPr>
            <w:tcW w:w="21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425" w:type="dxa"/>
            <w:tcBorders>
              <w:bottom w:val="double" w:sz="8" w:space="0" w:color="000000"/>
            </w:tcBorders>
            <w:shd w:fill="CCEEFF" w:val="clear"/>
            <w:tcMar>
              <w:bottom w:w="28" w:type="dxa"/>
            </w:tcMar>
            <w:vAlign w:val="bottom"/>
          </w:tcPr>
          <w:p>
            <w:pPr>
              <w:pStyle w:val="TableContents"/>
              <w:bidi w:val="0"/>
              <w:spacing w:before="0" w:after="0"/>
              <w:jc w:val="right"/>
              <w:rPr/>
            </w:pPr>
            <w:r>
              <w:rPr/>
              <w:t>484,612</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5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72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473,389</w:t>
            </w:r>
          </w:p>
        </w:tc>
        <w:tc>
          <w:tcPr>
            <w:tcW w:w="290"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14" w:type="dxa"/>
            <w:tcBorders/>
            <w:vAlign w:val="bottom"/>
          </w:tcPr>
          <w:p>
            <w:pPr>
              <w:pStyle w:val="TableContents"/>
              <w:bidi w:val="0"/>
              <w:spacing w:before="0" w:after="283"/>
              <w:jc w:val="left"/>
              <w:rPr/>
            </w:pPr>
            <w:r>
              <w:rPr/>
              <w:t> </w:t>
            </w:r>
          </w:p>
        </w:tc>
        <w:tc>
          <w:tcPr>
            <w:tcW w:w="1425"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1725"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144" w:right="0" w:hanging="144"/>
              <w:jc w:val="left"/>
              <w:rPr>
                <w:color w:val="000000"/>
              </w:rPr>
            </w:pPr>
            <w:r>
              <w:rPr>
                <w:color w:val="000000"/>
              </w:rPr>
              <w:t>Total assets</w:t>
            </w:r>
          </w:p>
        </w:tc>
        <w:tc>
          <w:tcPr>
            <w:tcW w:w="90" w:type="dxa"/>
            <w:tcBorders/>
            <w:shd w:fill="CCEEFF" w:val="clear"/>
            <w:vAlign w:val="bottom"/>
          </w:tcPr>
          <w:p>
            <w:pPr>
              <w:pStyle w:val="TableContents"/>
              <w:bidi w:val="0"/>
              <w:spacing w:before="0" w:after="283"/>
              <w:jc w:val="right"/>
              <w:rPr/>
            </w:pPr>
            <w:r>
              <w:rPr/>
              <w:t> </w:t>
            </w:r>
          </w:p>
        </w:tc>
        <w:tc>
          <w:tcPr>
            <w:tcW w:w="214" w:type="dxa"/>
            <w:tcBorders/>
            <w:shd w:fill="CCEEFF" w:val="clear"/>
            <w:vAlign w:val="bottom"/>
          </w:tcPr>
          <w:p>
            <w:pPr>
              <w:pStyle w:val="TableContents"/>
              <w:bidi w:val="0"/>
              <w:spacing w:before="0" w:after="0"/>
              <w:jc w:val="left"/>
              <w:rPr/>
            </w:pPr>
            <w:r>
              <w:rPr/>
              <w:t>$</w:t>
            </w:r>
          </w:p>
        </w:tc>
        <w:tc>
          <w:tcPr>
            <w:tcW w:w="1425" w:type="dxa"/>
            <w:tcBorders/>
            <w:shd w:fill="CCEEFF" w:val="clear"/>
            <w:vAlign w:val="bottom"/>
          </w:tcPr>
          <w:p>
            <w:pPr>
              <w:pStyle w:val="TableContents"/>
              <w:bidi w:val="0"/>
              <w:spacing w:before="0" w:after="0"/>
              <w:jc w:val="right"/>
              <w:rPr/>
            </w:pPr>
            <w:r>
              <w:rPr/>
              <w:t>4,646,374</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0"/>
              <w:jc w:val="left"/>
              <w:rPr>
                <w:color w:val="000000"/>
              </w:rPr>
            </w:pPr>
            <w:r>
              <w:rPr>
                <w:color w:val="000000"/>
              </w:rPr>
              <w:t>$</w:t>
            </w:r>
          </w:p>
        </w:tc>
        <w:tc>
          <w:tcPr>
            <w:tcW w:w="1725" w:type="dxa"/>
            <w:tcBorders/>
            <w:shd w:fill="CCEEFF" w:val="clear"/>
            <w:vAlign w:val="bottom"/>
          </w:tcPr>
          <w:p>
            <w:pPr>
              <w:pStyle w:val="TableContents"/>
              <w:bidi w:val="0"/>
              <w:spacing w:before="0" w:after="0"/>
              <w:jc w:val="right"/>
              <w:rPr>
                <w:color w:val="000000"/>
              </w:rPr>
            </w:pPr>
            <w:r>
              <w:rPr>
                <w:color w:val="000000"/>
              </w:rPr>
              <w:t>4,480,500</w:t>
            </w:r>
          </w:p>
        </w:tc>
        <w:tc>
          <w:tcPr>
            <w:tcW w:w="290"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44" w:right="0" w:hanging="144"/>
              <w:jc w:val="left"/>
              <w:rPr>
                <w:color w:val="000000"/>
              </w:rPr>
            </w:pPr>
            <w:r>
              <w:rPr>
                <w:color w:val="000000"/>
              </w:rPr>
              <w:t>Less: Goodwill and other intangibles</w:t>
            </w:r>
          </w:p>
        </w:tc>
        <w:tc>
          <w:tcPr>
            <w:tcW w:w="90" w:type="dxa"/>
            <w:tcBorders/>
            <w:vAlign w:val="bottom"/>
          </w:tcPr>
          <w:p>
            <w:pPr>
              <w:pStyle w:val="TableContents"/>
              <w:bidi w:val="0"/>
              <w:spacing w:before="0" w:after="283"/>
              <w:jc w:val="right"/>
              <w:rPr/>
            </w:pPr>
            <w:r>
              <w:rPr/>
              <w:t> </w:t>
            </w:r>
          </w:p>
        </w:tc>
        <w:tc>
          <w:tcPr>
            <w:tcW w:w="214" w:type="dxa"/>
            <w:tcBorders>
              <w:bottom w:val="single" w:sz="12" w:space="0" w:color="000000"/>
            </w:tcBorders>
            <w:tcMar>
              <w:bottom w:w="28" w:type="dxa"/>
            </w:tcMar>
            <w:vAlign w:val="bottom"/>
          </w:tcPr>
          <w:p>
            <w:pPr>
              <w:pStyle w:val="TableContents"/>
              <w:bidi w:val="0"/>
              <w:spacing w:before="0" w:after="283"/>
              <w:jc w:val="left"/>
              <w:rPr/>
            </w:pPr>
            <w:r>
              <w:rPr/>
              <w:t> </w:t>
            </w:r>
          </w:p>
        </w:tc>
        <w:tc>
          <w:tcPr>
            <w:tcW w:w="1425" w:type="dxa"/>
            <w:tcBorders>
              <w:bottom w:val="single" w:sz="12" w:space="0" w:color="000000"/>
            </w:tcBorders>
            <w:tcMar>
              <w:bottom w:w="28" w:type="dxa"/>
            </w:tcMar>
            <w:vAlign w:val="bottom"/>
          </w:tcPr>
          <w:p>
            <w:pPr>
              <w:pStyle w:val="TableContents"/>
              <w:bidi w:val="0"/>
              <w:spacing w:before="0" w:after="0"/>
              <w:jc w:val="right"/>
              <w:rPr/>
            </w:pPr>
            <w:r>
              <w:rPr/>
              <w:t>(20,327</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right"/>
              <w:rPr/>
            </w:pPr>
            <w:r>
              <w:rPr/>
              <w:t> </w:t>
            </w:r>
          </w:p>
        </w:tc>
        <w:tc>
          <w:tcPr>
            <w:tcW w:w="259" w:type="dxa"/>
            <w:tcBorders>
              <w:bottom w:val="single" w:sz="12" w:space="0" w:color="000000"/>
            </w:tcBorders>
            <w:tcMar>
              <w:bottom w:w="28" w:type="dxa"/>
            </w:tcMar>
            <w:vAlign w:val="bottom"/>
          </w:tcPr>
          <w:p>
            <w:pPr>
              <w:pStyle w:val="TableContents"/>
              <w:bidi w:val="0"/>
              <w:spacing w:before="0" w:after="283"/>
              <w:jc w:val="left"/>
              <w:rPr/>
            </w:pPr>
            <w:r>
              <w:rPr/>
              <w:t> </w:t>
            </w:r>
          </w:p>
        </w:tc>
        <w:tc>
          <w:tcPr>
            <w:tcW w:w="17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(20,448</w:t>
            </w:r>
          </w:p>
        </w:tc>
        <w:tc>
          <w:tcPr>
            <w:tcW w:w="290" w:type="dxa"/>
            <w:tcBorders/>
            <w:vAlign w:val="bottom"/>
          </w:tcPr>
          <w:p>
            <w:pPr>
              <w:pStyle w:val="TableContents"/>
              <w:bidi w:val="0"/>
              <w:spacing w:before="0" w:after="0"/>
              <w:jc w:val="left"/>
              <w:rPr>
                <w:color w:val="000000"/>
              </w:rPr>
            </w:pPr>
            <w:r>
              <w:rPr>
                <w:color w:val="000000"/>
              </w:rPr>
              <w:t>)</w:t>
            </w:r>
          </w:p>
        </w:tc>
      </w:tr>
      <w:tr>
        <w:trPr/>
        <w:tc>
          <w:tcPr>
            <w:tcW w:w="4085" w:type="dxa"/>
            <w:tcBorders/>
            <w:shd w:fill="CCEEFF" w:val="clear"/>
            <w:vAlign w:val="bottom"/>
          </w:tcPr>
          <w:p>
            <w:pPr>
              <w:pStyle w:val="TableContents"/>
              <w:bidi w:val="0"/>
              <w:spacing w:before="0" w:after="0"/>
              <w:ind w:left="180" w:right="0" w:hanging="0"/>
              <w:jc w:val="left"/>
              <w:rPr>
                <w:color w:val="000000"/>
              </w:rPr>
            </w:pPr>
            <w:r>
              <w:rPr>
                <w:color w:val="000000"/>
              </w:rPr>
              <w:t>Tangible assets</w:t>
            </w:r>
          </w:p>
        </w:tc>
        <w:tc>
          <w:tcPr>
            <w:tcW w:w="90" w:type="dxa"/>
            <w:tcBorders/>
            <w:shd w:fill="CCEEFF" w:val="clear"/>
            <w:vAlign w:val="bottom"/>
          </w:tcPr>
          <w:p>
            <w:pPr>
              <w:pStyle w:val="TableContents"/>
              <w:bidi w:val="0"/>
              <w:spacing w:before="0" w:after="283"/>
              <w:jc w:val="right"/>
              <w:rPr/>
            </w:pPr>
            <w:r>
              <w:rPr/>
              <w:t> </w:t>
            </w:r>
          </w:p>
        </w:tc>
        <w:tc>
          <w:tcPr>
            <w:tcW w:w="21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425" w:type="dxa"/>
            <w:tcBorders>
              <w:bottom w:val="double" w:sz="8" w:space="0" w:color="000000"/>
            </w:tcBorders>
            <w:shd w:fill="CCEEFF" w:val="clear"/>
            <w:tcMar>
              <w:bottom w:w="28" w:type="dxa"/>
            </w:tcMar>
            <w:vAlign w:val="bottom"/>
          </w:tcPr>
          <w:p>
            <w:pPr>
              <w:pStyle w:val="TableContents"/>
              <w:bidi w:val="0"/>
              <w:spacing w:before="0" w:after="0"/>
              <w:jc w:val="right"/>
              <w:rPr/>
            </w:pPr>
            <w:r>
              <w:rPr/>
              <w:t>4,626,047</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5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72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4,460,052</w:t>
            </w:r>
          </w:p>
        </w:tc>
        <w:tc>
          <w:tcPr>
            <w:tcW w:w="290"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80" w:right="0" w:hanging="0"/>
              <w:jc w:val="left"/>
              <w:rPr>
                <w:color w:val="000000"/>
              </w:rPr>
            </w:pPr>
            <w:r>
              <w:rPr>
                <w:color w:val="000000"/>
              </w:rPr>
              <w:t>Shares outstanding</w:t>
            </w:r>
          </w:p>
        </w:tc>
        <w:tc>
          <w:tcPr>
            <w:tcW w:w="90" w:type="dxa"/>
            <w:tcBorders/>
            <w:vAlign w:val="bottom"/>
          </w:tcPr>
          <w:p>
            <w:pPr>
              <w:pStyle w:val="TableContents"/>
              <w:bidi w:val="0"/>
              <w:spacing w:before="0" w:after="283"/>
              <w:jc w:val="right"/>
              <w:rPr/>
            </w:pPr>
            <w:r>
              <w:rPr/>
              <w:t> </w:t>
            </w:r>
          </w:p>
        </w:tc>
        <w:tc>
          <w:tcPr>
            <w:tcW w:w="214" w:type="dxa"/>
            <w:tcBorders>
              <w:bottom w:val="double" w:sz="8" w:space="0" w:color="000000"/>
            </w:tcBorders>
            <w:tcMar>
              <w:bottom w:w="28" w:type="dxa"/>
            </w:tcMar>
            <w:vAlign w:val="bottom"/>
          </w:tcPr>
          <w:p>
            <w:pPr>
              <w:pStyle w:val="TableContents"/>
              <w:bidi w:val="0"/>
              <w:spacing w:before="0" w:after="283"/>
              <w:jc w:val="left"/>
              <w:rPr/>
            </w:pPr>
            <w:r>
              <w:rPr/>
              <w:t> </w:t>
            </w:r>
          </w:p>
        </w:tc>
        <w:tc>
          <w:tcPr>
            <w:tcW w:w="1425" w:type="dxa"/>
            <w:tcBorders>
              <w:bottom w:val="double" w:sz="8" w:space="0" w:color="000000"/>
            </w:tcBorders>
            <w:tcMar>
              <w:bottom w:w="28" w:type="dxa"/>
            </w:tcMar>
            <w:vAlign w:val="bottom"/>
          </w:tcPr>
          <w:p>
            <w:pPr>
              <w:pStyle w:val="TableContents"/>
              <w:bidi w:val="0"/>
              <w:spacing w:before="0" w:after="0"/>
              <w:jc w:val="right"/>
              <w:rPr/>
            </w:pPr>
            <w:r>
              <w:rPr/>
              <w:t>16,342,219</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59" w:type="dxa"/>
            <w:tcBorders>
              <w:bottom w:val="double" w:sz="8" w:space="0" w:color="000000"/>
            </w:tcBorders>
            <w:tcMar>
              <w:bottom w:w="28" w:type="dxa"/>
            </w:tcMar>
            <w:vAlign w:val="bottom"/>
          </w:tcPr>
          <w:p>
            <w:pPr>
              <w:pStyle w:val="TableContents"/>
              <w:bidi w:val="0"/>
              <w:spacing w:before="0" w:after="283"/>
              <w:jc w:val="left"/>
              <w:rPr/>
            </w:pPr>
            <w:r>
              <w:rPr/>
              <w:t> </w:t>
            </w:r>
          </w:p>
        </w:tc>
        <w:tc>
          <w:tcPr>
            <w:tcW w:w="172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16,293,577</w:t>
            </w:r>
          </w:p>
        </w:tc>
        <w:tc>
          <w:tcPr>
            <w:tcW w:w="290"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180" w:right="0" w:hanging="0"/>
              <w:jc w:val="left"/>
              <w:rPr>
                <w:color w:val="000000"/>
              </w:rPr>
            </w:pPr>
            <w:r>
              <w:rPr>
                <w:color w:val="000000"/>
              </w:rPr>
              <w:t>Total stockholders’ equity to total assets</w:t>
            </w:r>
          </w:p>
        </w:tc>
        <w:tc>
          <w:tcPr>
            <w:tcW w:w="90" w:type="dxa"/>
            <w:tcBorders/>
            <w:shd w:fill="CCEEFF" w:val="clear"/>
            <w:vAlign w:val="bottom"/>
          </w:tcPr>
          <w:p>
            <w:pPr>
              <w:pStyle w:val="TableContents"/>
              <w:bidi w:val="0"/>
              <w:spacing w:before="0" w:after="283"/>
              <w:jc w:val="right"/>
              <w:rPr/>
            </w:pPr>
            <w:r>
              <w:rPr/>
              <w:t> </w:t>
            </w:r>
          </w:p>
        </w:tc>
        <w:tc>
          <w:tcPr>
            <w:tcW w:w="214" w:type="dxa"/>
            <w:tcBorders/>
            <w:shd w:fill="CCEEFF" w:val="clear"/>
            <w:vAlign w:val="bottom"/>
          </w:tcPr>
          <w:p>
            <w:pPr>
              <w:pStyle w:val="TableContents"/>
              <w:bidi w:val="0"/>
              <w:spacing w:before="0" w:after="283"/>
              <w:jc w:val="left"/>
              <w:rPr/>
            </w:pPr>
            <w:r>
              <w:rPr/>
              <w:t> </w:t>
            </w:r>
          </w:p>
        </w:tc>
        <w:tc>
          <w:tcPr>
            <w:tcW w:w="1425" w:type="dxa"/>
            <w:tcBorders/>
            <w:shd w:fill="CCEEFF" w:val="clear"/>
            <w:vAlign w:val="bottom"/>
          </w:tcPr>
          <w:p>
            <w:pPr>
              <w:pStyle w:val="TableContents"/>
              <w:bidi w:val="0"/>
              <w:spacing w:before="0" w:after="0"/>
              <w:jc w:val="right"/>
              <w:rPr/>
            </w:pPr>
            <w:r>
              <w:rPr/>
              <w:t>10.87</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1725" w:type="dxa"/>
            <w:tcBorders/>
            <w:shd w:fill="CCEEFF" w:val="clear"/>
            <w:vAlign w:val="bottom"/>
          </w:tcPr>
          <w:p>
            <w:pPr>
              <w:pStyle w:val="TableContents"/>
              <w:bidi w:val="0"/>
              <w:spacing w:before="0" w:after="0"/>
              <w:jc w:val="right"/>
              <w:rPr>
                <w:color w:val="000000"/>
              </w:rPr>
            </w:pPr>
            <w:r>
              <w:rPr>
                <w:color w:val="000000"/>
              </w:rPr>
              <w:t>11.02</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4085" w:type="dxa"/>
            <w:tcBorders/>
            <w:vAlign w:val="bottom"/>
          </w:tcPr>
          <w:p>
            <w:pPr>
              <w:pStyle w:val="TableContents"/>
              <w:bidi w:val="0"/>
              <w:spacing w:before="0" w:after="0"/>
              <w:ind w:left="180" w:right="0" w:hanging="0"/>
              <w:jc w:val="left"/>
              <w:rPr>
                <w:color w:val="000000"/>
              </w:rPr>
            </w:pPr>
            <w:r>
              <w:rPr>
                <w:color w:val="000000"/>
              </w:rPr>
              <w:t>Tangible common equity to tangible assets</w:t>
            </w:r>
          </w:p>
        </w:tc>
        <w:tc>
          <w:tcPr>
            <w:tcW w:w="90" w:type="dxa"/>
            <w:tcBorders/>
            <w:vAlign w:val="bottom"/>
          </w:tcPr>
          <w:p>
            <w:pPr>
              <w:pStyle w:val="TableContents"/>
              <w:bidi w:val="0"/>
              <w:spacing w:before="0" w:after="283"/>
              <w:jc w:val="right"/>
              <w:rPr/>
            </w:pPr>
            <w:r>
              <w:rPr/>
              <w:t> </w:t>
            </w:r>
          </w:p>
        </w:tc>
        <w:tc>
          <w:tcPr>
            <w:tcW w:w="214" w:type="dxa"/>
            <w:tcBorders/>
            <w:vAlign w:val="bottom"/>
          </w:tcPr>
          <w:p>
            <w:pPr>
              <w:pStyle w:val="TableContents"/>
              <w:bidi w:val="0"/>
              <w:spacing w:before="0" w:after="283"/>
              <w:jc w:val="left"/>
              <w:rPr/>
            </w:pPr>
            <w:r>
              <w:rPr/>
              <w:t> </w:t>
            </w:r>
          </w:p>
        </w:tc>
        <w:tc>
          <w:tcPr>
            <w:tcW w:w="1425" w:type="dxa"/>
            <w:tcBorders/>
            <w:vAlign w:val="bottom"/>
          </w:tcPr>
          <w:p>
            <w:pPr>
              <w:pStyle w:val="TableContents"/>
              <w:bidi w:val="0"/>
              <w:spacing w:before="0" w:after="0"/>
              <w:jc w:val="right"/>
              <w:rPr/>
            </w:pPr>
            <w:r>
              <w:rPr/>
              <w:t>10.48</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1725" w:type="dxa"/>
            <w:tcBorders/>
            <w:vAlign w:val="bottom"/>
          </w:tcPr>
          <w:p>
            <w:pPr>
              <w:pStyle w:val="TableContents"/>
              <w:bidi w:val="0"/>
              <w:spacing w:before="0" w:after="0"/>
              <w:jc w:val="right"/>
              <w:rPr>
                <w:color w:val="000000"/>
              </w:rPr>
            </w:pPr>
            <w:r>
              <w:rPr>
                <w:color w:val="000000"/>
              </w:rPr>
              <w:t>10.61</w:t>
            </w:r>
          </w:p>
        </w:tc>
        <w:tc>
          <w:tcPr>
            <w:tcW w:w="290" w:type="dxa"/>
            <w:tcBorders/>
            <w:vAlign w:val="bottom"/>
          </w:tcPr>
          <w:p>
            <w:pPr>
              <w:pStyle w:val="TableContents"/>
              <w:bidi w:val="0"/>
              <w:spacing w:before="0" w:after="0"/>
              <w:jc w:val="left"/>
              <w:rPr>
                <w:color w:val="000000"/>
              </w:rPr>
            </w:pPr>
            <w:r>
              <w:rPr>
                <w:color w:val="000000"/>
              </w:rPr>
              <w:t>%</w:t>
            </w:r>
          </w:p>
        </w:tc>
      </w:tr>
      <w:tr>
        <w:trPr/>
        <w:tc>
          <w:tcPr>
            <w:tcW w:w="4085" w:type="dxa"/>
            <w:tcBorders/>
            <w:shd w:fill="CCEEFF" w:val="clear"/>
            <w:vAlign w:val="bottom"/>
          </w:tcPr>
          <w:p>
            <w:pPr>
              <w:pStyle w:val="TableContents"/>
              <w:bidi w:val="0"/>
              <w:spacing w:before="0" w:after="0"/>
              <w:ind w:left="180" w:right="0" w:hanging="0"/>
              <w:jc w:val="left"/>
              <w:rPr>
                <w:color w:val="000000"/>
              </w:rPr>
            </w:pPr>
            <w:r>
              <w:rPr>
                <w:color w:val="000000"/>
              </w:rPr>
              <w:t>Book value per share</w:t>
            </w:r>
          </w:p>
        </w:tc>
        <w:tc>
          <w:tcPr>
            <w:tcW w:w="90" w:type="dxa"/>
            <w:tcBorders/>
            <w:shd w:fill="CCEEFF" w:val="clear"/>
            <w:vAlign w:val="bottom"/>
          </w:tcPr>
          <w:p>
            <w:pPr>
              <w:pStyle w:val="TableContents"/>
              <w:bidi w:val="0"/>
              <w:spacing w:before="0" w:after="283"/>
              <w:jc w:val="right"/>
              <w:rPr/>
            </w:pPr>
            <w:r>
              <w:rPr/>
              <w:t> </w:t>
            </w:r>
          </w:p>
        </w:tc>
        <w:tc>
          <w:tcPr>
            <w:tcW w:w="214" w:type="dxa"/>
            <w:tcBorders/>
            <w:shd w:fill="CCEEFF" w:val="clear"/>
            <w:vAlign w:val="bottom"/>
          </w:tcPr>
          <w:p>
            <w:pPr>
              <w:pStyle w:val="TableContents"/>
              <w:bidi w:val="0"/>
              <w:spacing w:before="0" w:after="0"/>
              <w:jc w:val="left"/>
              <w:rPr/>
            </w:pPr>
            <w:r>
              <w:rPr/>
              <w:t>$</w:t>
            </w:r>
          </w:p>
        </w:tc>
        <w:tc>
          <w:tcPr>
            <w:tcW w:w="1425" w:type="dxa"/>
            <w:tcBorders/>
            <w:shd w:fill="CCEEFF" w:val="clear"/>
            <w:vAlign w:val="bottom"/>
          </w:tcPr>
          <w:p>
            <w:pPr>
              <w:pStyle w:val="TableContents"/>
              <w:bidi w:val="0"/>
              <w:spacing w:before="0" w:after="0"/>
              <w:jc w:val="right"/>
              <w:rPr/>
            </w:pPr>
            <w:r>
              <w:rPr/>
              <w:t>30.90</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0"/>
              <w:jc w:val="left"/>
              <w:rPr>
                <w:color w:val="000000"/>
              </w:rPr>
            </w:pPr>
            <w:r>
              <w:rPr>
                <w:color w:val="000000"/>
              </w:rPr>
              <w:t>$</w:t>
            </w:r>
          </w:p>
        </w:tc>
        <w:tc>
          <w:tcPr>
            <w:tcW w:w="1725" w:type="dxa"/>
            <w:tcBorders/>
            <w:shd w:fill="CCEEFF" w:val="clear"/>
            <w:vAlign w:val="bottom"/>
          </w:tcPr>
          <w:p>
            <w:pPr>
              <w:pStyle w:val="TableContents"/>
              <w:bidi w:val="0"/>
              <w:spacing w:before="0" w:after="0"/>
              <w:jc w:val="right"/>
              <w:rPr>
                <w:color w:val="000000"/>
              </w:rPr>
            </w:pPr>
            <w:r>
              <w:rPr>
                <w:color w:val="000000"/>
              </w:rPr>
              <w:t>30.31</w:t>
            </w:r>
          </w:p>
        </w:tc>
        <w:tc>
          <w:tcPr>
            <w:tcW w:w="290"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80" w:right="0" w:hanging="0"/>
              <w:jc w:val="left"/>
              <w:rPr>
                <w:color w:val="000000"/>
              </w:rPr>
            </w:pPr>
            <w:r>
              <w:rPr>
                <w:color w:val="000000"/>
              </w:rPr>
              <w:t>Tangible book value per share</w:t>
            </w:r>
          </w:p>
        </w:tc>
        <w:tc>
          <w:tcPr>
            <w:tcW w:w="90" w:type="dxa"/>
            <w:tcBorders/>
            <w:vAlign w:val="bottom"/>
          </w:tcPr>
          <w:p>
            <w:pPr>
              <w:pStyle w:val="TableContents"/>
              <w:bidi w:val="0"/>
              <w:spacing w:before="0" w:after="283"/>
              <w:jc w:val="right"/>
              <w:rPr/>
            </w:pPr>
            <w:r>
              <w:rPr/>
              <w:t> </w:t>
            </w:r>
          </w:p>
        </w:tc>
        <w:tc>
          <w:tcPr>
            <w:tcW w:w="214" w:type="dxa"/>
            <w:tcBorders/>
            <w:vAlign w:val="bottom"/>
          </w:tcPr>
          <w:p>
            <w:pPr>
              <w:pStyle w:val="TableContents"/>
              <w:bidi w:val="0"/>
              <w:spacing w:before="0" w:after="0"/>
              <w:jc w:val="left"/>
              <w:rPr/>
            </w:pPr>
            <w:r>
              <w:rPr/>
              <w:t>$</w:t>
            </w:r>
          </w:p>
        </w:tc>
        <w:tc>
          <w:tcPr>
            <w:tcW w:w="1425" w:type="dxa"/>
            <w:tcBorders/>
            <w:vAlign w:val="bottom"/>
          </w:tcPr>
          <w:p>
            <w:pPr>
              <w:pStyle w:val="TableContents"/>
              <w:bidi w:val="0"/>
              <w:spacing w:before="0" w:after="0"/>
              <w:jc w:val="right"/>
              <w:rPr/>
            </w:pPr>
            <w:r>
              <w:rPr/>
              <w:t>29.65</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0"/>
              <w:jc w:val="left"/>
              <w:rPr/>
            </w:pPr>
            <w:r>
              <w:rPr/>
              <w:t>$</w:t>
            </w:r>
          </w:p>
        </w:tc>
        <w:tc>
          <w:tcPr>
            <w:tcW w:w="1725" w:type="dxa"/>
            <w:tcBorders/>
            <w:vAlign w:val="bottom"/>
          </w:tcPr>
          <w:p>
            <w:pPr>
              <w:pStyle w:val="TableContents"/>
              <w:bidi w:val="0"/>
              <w:spacing w:before="0" w:after="0"/>
              <w:jc w:val="right"/>
              <w:rPr/>
            </w:pPr>
            <w:r>
              <w:rPr/>
              <w:t>29.05</w:t>
            </w:r>
          </w:p>
        </w:tc>
        <w:tc>
          <w:tcPr>
            <w:tcW w:w="29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Critical Accounting Policies and Estimates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accounting and reporting policies conform to GAAP and conform to general practices within the industry in which we operate. To prepare consolidated financial statements in conformity with GAAP, management makes estimates, assumptions and judgments based on available information. These estimates, assumptions and judgments affect the amounts reported in the consolidated financial statements and accompanying notes. These estimates, assumptions and judgments are based on information available as of the date of the consolidated financial statements and, as this information changes, actual results could differ from the estimates, assumptions and judgments reflected in the consolidated financial statements. In particular, management has identified several accounting policies that, due to the estimates, assumptions and judgments inherent in those policies, are critical in understanding our consolidated financial statements. We evaluate our estimates on an ongoing basis.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is a discussion of the critical accounting policies and significant estimates that we believe require us to make the most complex or subjective decisions or assessments. Additional information about these policies can be found in Note 1 of the Company’s consolidated financial statements as of December 31, 2025.</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 xml:space="preserve">Allowance for Credit Losses on Loans. </w:t>
      </w:r>
      <w:r>
        <w:rPr>
          <w:rFonts w:ascii="Times New Roman" w:hAnsi="Times New Roman"/>
          <w:color w:val="000000"/>
          <w:sz w:val="20"/>
          <w:shd w:fill="FFFFFF" w:val="clear"/>
        </w:rPr>
        <w:t>The ACL for loans is established for future expected credit losses through a provision for credit losses charged to earnings. Expected losses are calculated using comparable and quantifiable information both internal and external about past events, including historical experience, current conditions, and reasonable and supportable forecasts that affect the collectability of the reported amount. Expected credit losses are estimated over the contractual term of the loans and adjusted for expected prepayments when appropriate. The ACL for loans is affected by charge-offs, recoveries and the provision for credit losses on loans.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ACL for loans is evaluated on a quarterly basis by management and is based upon management’s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ACL for loans is based on estimates that are particularly susceptible to significant changes in the economic environment and market conditions. Loan losses are charged against the allowance when management believes the uncollectibility of a loan balance is confirmed.</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Recently Issued Accounting Pronouncements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See Note 1, Summary of Significant Accounting Policies, in the notes to the consolidated financial statements included elsewhere in this Form 10-Q regarding the impact of new accounting pronouncements.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7" w:name="zf49f30dacf5f44ec8b01ffe9566933f7"/>
      <w:bookmarkStart w:id="248" w:name="QuantitativeandQualitativ"/>
      <w:bookmarkStart w:id="249" w:name="zf49f30dacf5f44ec8b01ffe9566933f7"/>
      <w:bookmarkStart w:id="250" w:name="QuantitativeandQualitativ"/>
      <w:bookmarkEnd w:id="249"/>
      <w:bookmarkEnd w:id="250"/>
    </w:p>
    <w:tbl>
      <w:tblPr>
        <w:tblW w:w="6850" w:type="dxa"/>
        <w:jc w:val="left"/>
        <w:tblInd w:w="0" w:type="dxa"/>
        <w:tblLayout w:type="fixed"/>
        <w:tblCellMar>
          <w:top w:w="0" w:type="dxa"/>
          <w:left w:w="0" w:type="dxa"/>
          <w:bottom w:w="0" w:type="dxa"/>
          <w:right w:w="0" w:type="dxa"/>
        </w:tblCellMar>
      </w:tblPr>
      <w:tblGrid>
        <w:gridCol w:w="770"/>
        <w:gridCol w:w="6080"/>
      </w:tblGrid>
      <w:tr>
        <w:trPr/>
        <w:tc>
          <w:tcPr>
            <w:tcW w:w="770" w:type="dxa"/>
            <w:tcBorders/>
            <w:vAlign w:val="center"/>
          </w:tcPr>
          <w:p>
            <w:pPr>
              <w:pStyle w:val="TableContents"/>
              <w:bidi w:val="0"/>
              <w:spacing w:before="0" w:after="0"/>
              <w:ind w:left="900" w:right="0" w:hanging="900"/>
              <w:jc w:val="left"/>
              <w:rPr>
                <w:b/>
                <w:color w:val="000000"/>
              </w:rPr>
            </w:pPr>
            <w:r>
              <w:rPr>
                <w:b/>
                <w:color w:val="000000"/>
              </w:rPr>
              <w:t>Item 3.</w:t>
            </w:r>
          </w:p>
        </w:tc>
        <w:tc>
          <w:tcPr>
            <w:tcW w:w="6080" w:type="dxa"/>
            <w:tcBorders/>
            <w:vAlign w:val="center"/>
          </w:tcPr>
          <w:p>
            <w:pPr>
              <w:pStyle w:val="TableContents"/>
              <w:bidi w:val="0"/>
              <w:spacing w:before="0" w:after="0"/>
              <w:ind w:left="900" w:right="0" w:hanging="900"/>
              <w:jc w:val="left"/>
              <w:rPr>
                <w:b/>
                <w:color w:val="000000"/>
              </w:rPr>
            </w:pPr>
            <w:r>
              <w:rPr>
                <w:b/>
                <w:color w:val="000000"/>
              </w:rPr>
              <w:t>Quantitative and Qualitative Disclosure about Market Risk</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manages market risk, which, as a financial institution is primarily interest rate volatility, through the ALCO Committee of the Bank, in accordance with policies approved by its board of directors. The Company uses an interest rate risk simulation model and shock analysis to test the interest rate sensitivity of net interest income and fair value of equity, and the impact of changes in interest rates on other financial metrics. See “Management’s Discussion and Analysis of Financial Condition and Results of Operations—Interest Rate Sensitivity and Market Risk” herein for a discussion of how we manage market risk.</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1" w:name="z0dc3a6ee3b894eb0b1dffa65c9bb6488"/>
      <w:bookmarkStart w:id="252" w:name="ControlsandProcedures"/>
      <w:bookmarkStart w:id="253" w:name="z0dc3a6ee3b894eb0b1dffa65c9bb6488"/>
      <w:bookmarkStart w:id="254" w:name="ControlsandProcedures"/>
      <w:bookmarkEnd w:id="253"/>
      <w:bookmarkEnd w:id="254"/>
    </w:p>
    <w:tbl>
      <w:tblPr>
        <w:tblW w:w="3415" w:type="dxa"/>
        <w:jc w:val="left"/>
        <w:tblInd w:w="0" w:type="dxa"/>
        <w:tblLayout w:type="fixed"/>
        <w:tblCellMar>
          <w:top w:w="0" w:type="dxa"/>
          <w:left w:w="0" w:type="dxa"/>
          <w:bottom w:w="0" w:type="dxa"/>
          <w:right w:w="0" w:type="dxa"/>
        </w:tblCellMar>
      </w:tblPr>
      <w:tblGrid>
        <w:gridCol w:w="770"/>
        <w:gridCol w:w="2645"/>
      </w:tblGrid>
      <w:tr>
        <w:trPr/>
        <w:tc>
          <w:tcPr>
            <w:tcW w:w="770" w:type="dxa"/>
            <w:tcBorders/>
            <w:vAlign w:val="center"/>
          </w:tcPr>
          <w:p>
            <w:pPr>
              <w:pStyle w:val="TableContents"/>
              <w:bidi w:val="0"/>
              <w:spacing w:before="0" w:after="0"/>
              <w:ind w:left="900" w:right="0" w:hanging="900"/>
              <w:jc w:val="left"/>
              <w:rPr>
                <w:b/>
                <w:color w:val="000000"/>
              </w:rPr>
            </w:pPr>
            <w:r>
              <w:rPr>
                <w:b/>
                <w:color w:val="000000"/>
              </w:rPr>
              <w:t>Item 4.</w:t>
            </w:r>
          </w:p>
        </w:tc>
        <w:tc>
          <w:tcPr>
            <w:tcW w:w="2645" w:type="dxa"/>
            <w:tcBorders/>
            <w:vAlign w:val="center"/>
          </w:tcPr>
          <w:p>
            <w:pPr>
              <w:pStyle w:val="TableContents"/>
              <w:bidi w:val="0"/>
              <w:spacing w:before="0" w:after="0"/>
              <w:ind w:left="900" w:right="0" w:hanging="900"/>
              <w:jc w:val="left"/>
              <w:rPr>
                <w:b/>
                <w:color w:val="000000"/>
              </w:rPr>
            </w:pPr>
            <w:r>
              <w:rPr>
                <w:b/>
                <w:color w:val="000000"/>
              </w:rPr>
              <w:t>Controls and Procedures</w:t>
            </w:r>
          </w:p>
        </w:tc>
      </w:tr>
    </w:tbl>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Evaluation of Disclosure Controls and Procedures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the end of the period covered by this Form 10-Q, the Company carried out an evaluation, under the supervision and with the participation of its management, including its Chief Executive Officer and Chief Financial Officer, of the effectiveness of the design and operation of its disclosure controls and procedures.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the Company’s Chief Executive Officer and Chief Financial Officer concluded that the Company’s disclosure controls and procedures (as defined in Rules 13a-15(e) and 15d-15(e) under the Securities Exchange Act of 1934, as amended, or the Exchange Act) were effective as of the end of the period covered by this Form 10-Q.</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Internal Control over Financial Reporting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were no changes in the Company’s internal control over financial reporting (as such term is defined in Rules 13a-15(f) and 15d-15(f) under the Exchange Act) that occurred during the three months ended March 31, 2026 that have materially affected, or are reasonably likely to materially affect, the Company’s internal control over financial reporting.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900" w:right="0" w:hanging="900"/>
        <w:jc w:val="left"/>
        <w:rPr>
          <w:rFonts w:ascii="Times New Roman" w:hAnsi="Times New Roman"/>
          <w:b/>
          <w:color w:val="000000"/>
          <w:sz w:val="20"/>
          <w:shd w:fill="FFFFFF" w:val="clear"/>
        </w:rPr>
      </w:pPr>
      <w:bookmarkStart w:id="255" w:name="PARTII.OTHERINFORMATION"/>
      <w:bookmarkEnd w:id="255"/>
      <w:r>
        <w:rPr>
          <w:rFonts w:ascii="Times New Roman" w:hAnsi="Times New Roman"/>
          <w:b/>
          <w:color w:val="000000"/>
          <w:sz w:val="20"/>
          <w:shd w:fill="FFFFFF" w:val="clear"/>
        </w:rPr>
        <w:t>PART II. OTHER INFORMATION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6" w:name="z843755d5f6c24d0d95ebd8f91906548f"/>
      <w:bookmarkStart w:id="257" w:name="LegalProceedings"/>
      <w:bookmarkStart w:id="258" w:name="z843755d5f6c24d0d95ebd8f91906548f"/>
      <w:bookmarkStart w:id="259" w:name="LegalProceedings"/>
      <w:bookmarkEnd w:id="258"/>
      <w:bookmarkEnd w:id="259"/>
    </w:p>
    <w:tbl>
      <w:tblPr>
        <w:tblW w:w="2725" w:type="dxa"/>
        <w:jc w:val="left"/>
        <w:tblInd w:w="0" w:type="dxa"/>
        <w:tblLayout w:type="fixed"/>
        <w:tblCellMar>
          <w:top w:w="0" w:type="dxa"/>
          <w:left w:w="0" w:type="dxa"/>
          <w:bottom w:w="0" w:type="dxa"/>
          <w:right w:w="0" w:type="dxa"/>
        </w:tblCellMar>
      </w:tblPr>
      <w:tblGrid>
        <w:gridCol w:w="770"/>
        <w:gridCol w:w="1955"/>
      </w:tblGrid>
      <w:tr>
        <w:trPr/>
        <w:tc>
          <w:tcPr>
            <w:tcW w:w="770" w:type="dxa"/>
            <w:tcBorders/>
            <w:vAlign w:val="center"/>
          </w:tcPr>
          <w:p>
            <w:pPr>
              <w:pStyle w:val="TableContents"/>
              <w:bidi w:val="0"/>
              <w:spacing w:before="0" w:after="283"/>
              <w:jc w:val="left"/>
              <w:rPr>
                <w:b/>
                <w:color w:val="000000"/>
              </w:rPr>
            </w:pPr>
            <w:r>
              <w:rPr>
                <w:b/>
                <w:color w:val="000000"/>
              </w:rPr>
              <w:t>Item 1.</w:t>
            </w:r>
          </w:p>
        </w:tc>
        <w:tc>
          <w:tcPr>
            <w:tcW w:w="1955" w:type="dxa"/>
            <w:tcBorders/>
            <w:vAlign w:val="center"/>
          </w:tcPr>
          <w:p>
            <w:pPr>
              <w:pStyle w:val="TableContents"/>
              <w:bidi w:val="0"/>
              <w:spacing w:before="0" w:after="0"/>
              <w:jc w:val="left"/>
              <w:rPr>
                <w:b/>
                <w:color w:val="000000"/>
              </w:rPr>
            </w:pPr>
            <w:r>
              <w:rPr>
                <w:b/>
                <w:color w:val="000000"/>
              </w:rPr>
              <w:t>Legal Proceedings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and its subsidiaries are subject to various legal actions, as described in our Annual Report on Form 10-K for the year ended December 31, 2025 (the “2025 Annual Report on Form 10-K”) filed with the SEC on March 5, 2026. We are not presently involved in any litigation, nor to our knowledge is any litigation threatened against us, that in management’s opinion would result in any material adverse effect on our financial position or results of operations or that is not expected to be covered by insurance.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60" w:name="zf02b07211b7b4ecab708453c8e683c6e"/>
      <w:bookmarkStart w:id="261" w:name="RiskFactors"/>
      <w:bookmarkStart w:id="262" w:name="zf02b07211b7b4ecab708453c8e683c6e"/>
      <w:bookmarkStart w:id="263" w:name="RiskFactors"/>
      <w:bookmarkEnd w:id="262"/>
      <w:bookmarkEnd w:id="263"/>
    </w:p>
    <w:tbl>
      <w:tblPr>
        <w:tblW w:w="2335" w:type="dxa"/>
        <w:jc w:val="left"/>
        <w:tblInd w:w="0" w:type="dxa"/>
        <w:tblLayout w:type="fixed"/>
        <w:tblCellMar>
          <w:top w:w="0" w:type="dxa"/>
          <w:left w:w="0" w:type="dxa"/>
          <w:bottom w:w="0" w:type="dxa"/>
          <w:right w:w="0" w:type="dxa"/>
        </w:tblCellMar>
      </w:tblPr>
      <w:tblGrid>
        <w:gridCol w:w="950"/>
        <w:gridCol w:w="1385"/>
      </w:tblGrid>
      <w:tr>
        <w:trPr/>
        <w:tc>
          <w:tcPr>
            <w:tcW w:w="950" w:type="dxa"/>
            <w:tcBorders/>
            <w:vAlign w:val="center"/>
          </w:tcPr>
          <w:p>
            <w:pPr>
              <w:pStyle w:val="TableContents"/>
              <w:bidi w:val="0"/>
              <w:spacing w:before="0" w:after="283"/>
              <w:jc w:val="left"/>
              <w:rPr>
                <w:b/>
                <w:color w:val="000000"/>
              </w:rPr>
            </w:pPr>
            <w:r>
              <w:rPr>
                <w:b/>
                <w:color w:val="000000"/>
              </w:rPr>
              <w:t>Item 1A.</w:t>
            </w:r>
          </w:p>
        </w:tc>
        <w:tc>
          <w:tcPr>
            <w:tcW w:w="1385" w:type="dxa"/>
            <w:tcBorders/>
            <w:vAlign w:val="center"/>
          </w:tcPr>
          <w:p>
            <w:pPr>
              <w:pStyle w:val="TableContents"/>
              <w:bidi w:val="0"/>
              <w:spacing w:before="0" w:after="0"/>
              <w:jc w:val="left"/>
              <w:rPr>
                <w:b/>
                <w:color w:val="000000"/>
              </w:rPr>
            </w:pPr>
            <w:r>
              <w:rPr>
                <w:b/>
                <w:color w:val="000000"/>
              </w:rPr>
              <w:t>Risk Factors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evaluating an investment in any of our securities, investors should consider carefully, among other things, information under the heading “Cautionary Notice Regarding Forward-Looking Statements” in Part I, Item 2, “Management’s Discussion and Analysis of Financial Condition and Results of Operations,” of this Form 10-Q and the risk factors previously disclosed under the heading “Risk Factors” in Part I, Item 1A of our 2025 Annual Report on Form 10-K. Management believes there have been no material changes in the risk factors disclosed by the Company in Part I, Item 1A, “Risk Factors,” of the 2025 Annual Report on Form 10-K. Additional risks and uncertainties not currently known to us or that we currently deem to be immaterial also may materially adversely affect our business, financial condition and/or operating results.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64" w:name="zc1613775634a46bdabe80503c80a3008"/>
      <w:bookmarkStart w:id="265" w:name="UnregisteredSalesofEquity"/>
      <w:bookmarkStart w:id="266" w:name="zc1613775634a46bdabe80503c80a3008"/>
      <w:bookmarkStart w:id="267" w:name="UnregisteredSalesofEquity"/>
      <w:bookmarkEnd w:id="266"/>
      <w:bookmarkEnd w:id="267"/>
    </w:p>
    <w:tbl>
      <w:tblPr>
        <w:tblW w:w="6910" w:type="dxa"/>
        <w:jc w:val="left"/>
        <w:tblInd w:w="0" w:type="dxa"/>
        <w:tblLayout w:type="fixed"/>
        <w:tblCellMar>
          <w:top w:w="0" w:type="dxa"/>
          <w:left w:w="0" w:type="dxa"/>
          <w:bottom w:w="0" w:type="dxa"/>
          <w:right w:w="0" w:type="dxa"/>
        </w:tblCellMar>
      </w:tblPr>
      <w:tblGrid>
        <w:gridCol w:w="770"/>
        <w:gridCol w:w="6140"/>
      </w:tblGrid>
      <w:tr>
        <w:trPr/>
        <w:tc>
          <w:tcPr>
            <w:tcW w:w="770" w:type="dxa"/>
            <w:tcBorders/>
            <w:vAlign w:val="center"/>
          </w:tcPr>
          <w:p>
            <w:pPr>
              <w:pStyle w:val="TableContents"/>
              <w:bidi w:val="0"/>
              <w:spacing w:before="0" w:after="283"/>
              <w:jc w:val="left"/>
              <w:rPr>
                <w:b/>
                <w:color w:val="000000"/>
              </w:rPr>
            </w:pPr>
            <w:r>
              <w:rPr>
                <w:b/>
                <w:color w:val="000000"/>
              </w:rPr>
              <w:t>Item 2.</w:t>
            </w:r>
          </w:p>
        </w:tc>
        <w:tc>
          <w:tcPr>
            <w:tcW w:w="6140" w:type="dxa"/>
            <w:tcBorders/>
            <w:vAlign w:val="center"/>
          </w:tcPr>
          <w:p>
            <w:pPr>
              <w:pStyle w:val="TableContents"/>
              <w:bidi w:val="0"/>
              <w:spacing w:before="0" w:after="0"/>
              <w:jc w:val="left"/>
              <w:rPr>
                <w:b/>
                <w:color w:val="000000"/>
              </w:rPr>
            </w:pPr>
            <w:r>
              <w:rPr>
                <w:b/>
                <w:color w:val="000000"/>
              </w:rPr>
              <w:t>Unregistered Sales of Equity Securities and Use of Proceeds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Issuer Purchases of Equity Securities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February 21, 2025, the Company’s board of directors approved a stock repurchase program pursuant to which the Company may, from time to time, purchase up to $15.0 million of its outstanding shares of common stock (the “Program”). Upon the expiration of the Program, on February 23, 2026, the Company’s board of directors approved a new stock repurchase program pursuant to which the Company may, from time to time, purchase up to $10.0 million of its outstanding shares of common stock (the “New Program”).</w:t>
      </w:r>
    </w:p>
    <w:p>
      <w:pPr>
        <w:pStyle w:val="TextBody"/>
        <w:bidi w:val="0"/>
        <w:spacing w:before="0" w:after="0"/>
        <w:jc w:val="both"/>
        <w:rPr>
          <w:color w:val="000000"/>
        </w:rPr>
      </w:pPr>
      <w:r>
        <w:rPr>
          <w:color w:val="00000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Under the New Program, the Company may repurchase shares of the Company’s common stock from time to time through various means, including open market purchases and privately negotiated transactions. Open market repurchases will be conducted in accordance with the limitations set forth in Rule 10b-18 promulgated under the Securities Exchange Act of 1934, as amended (the “Exchange Act”), and other applicable legal requirements. Repurchases under the New Program may also be made pursuant to a trading plan under Rule 10b5-1 under the Exchange Act, which would permit shares to be repurchased by the Company when the Company might otherwise be precluded from doing so because of self-imposed trading blackout periods or other regulatory restrictions. The extent to which the Company repurchases its shares, and the manner, timing and amount of such repurchases, will depend upon a variety of factors, including the performance of the Company’s stock price, general market and economic conditions, regulatory requirements, availability of funds, and other relevant considerations, as determined by the Company. The Company may, in its discretion, begin, suspend or terminate repurchases at any time prior to the New Program’s expiration, without any prior notice. The New Program does not obligate the Company to repurchase any particular number or amount of shares of the Company’s common stock and there is no guarantee as to the exact number or value of shares that will be repurchased by the Company under the New Program.</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summarizes the share repurchase activity for the three months ended March 31,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68" w:name="zc733134f206d41a6b42875d62228772f"/>
      <w:bookmarkStart w:id="269" w:name="zc733134f206d41a6b42875d62228772f"/>
      <w:bookmarkEnd w:id="269"/>
    </w:p>
    <w:tbl>
      <w:tblPr>
        <w:tblW w:w="10205" w:type="dxa"/>
        <w:jc w:val="left"/>
        <w:tblInd w:w="0" w:type="dxa"/>
        <w:tblLayout w:type="fixed"/>
        <w:tblCellMar>
          <w:top w:w="0" w:type="dxa"/>
          <w:left w:w="0" w:type="dxa"/>
          <w:bottom w:w="0" w:type="dxa"/>
          <w:right w:w="0" w:type="dxa"/>
        </w:tblCellMar>
      </w:tblPr>
      <w:tblGrid>
        <w:gridCol w:w="1413"/>
        <w:gridCol w:w="90"/>
        <w:gridCol w:w="331"/>
        <w:gridCol w:w="1069"/>
        <w:gridCol w:w="90"/>
        <w:gridCol w:w="90"/>
        <w:gridCol w:w="526"/>
        <w:gridCol w:w="900"/>
        <w:gridCol w:w="90"/>
        <w:gridCol w:w="90"/>
        <w:gridCol w:w="960"/>
        <w:gridCol w:w="1638"/>
        <w:gridCol w:w="90"/>
        <w:gridCol w:w="90"/>
        <w:gridCol w:w="339"/>
        <w:gridCol w:w="2260"/>
        <w:gridCol w:w="139"/>
      </w:tblGrid>
      <w:tr>
        <w:trPr/>
        <w:tc>
          <w:tcPr>
            <w:tcW w:w="141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 Shares</w:t>
            </w:r>
          </w:p>
          <w:p>
            <w:pPr>
              <w:pStyle w:val="TableContents"/>
              <w:bidi w:val="0"/>
              <w:spacing w:before="0" w:after="0"/>
              <w:jc w:val="center"/>
              <w:rPr>
                <w:b/>
                <w:color w:val="000000"/>
              </w:rPr>
            </w:pPr>
            <w:r>
              <w:rPr>
                <w:b/>
                <w:color w:val="000000"/>
              </w:rPr>
              <w:t>Repurchased</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Average Price</w:t>
            </w:r>
          </w:p>
          <w:p>
            <w:pPr>
              <w:pStyle w:val="TableContents"/>
              <w:bidi w:val="0"/>
              <w:spacing w:before="0" w:after="0"/>
              <w:jc w:val="center"/>
              <w:rPr>
                <w:b/>
                <w:color w:val="000000"/>
              </w:rPr>
            </w:pPr>
            <w:r>
              <w:rPr>
                <w:b/>
                <w:color w:val="000000"/>
              </w:rPr>
              <w:t>Paid Per Share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 Dollar Amount</w:t>
            </w:r>
          </w:p>
          <w:p>
            <w:pPr>
              <w:pStyle w:val="TableContents"/>
              <w:bidi w:val="0"/>
              <w:spacing w:before="0" w:after="0"/>
              <w:jc w:val="center"/>
              <w:rPr>
                <w:b/>
                <w:color w:val="000000"/>
              </w:rPr>
            </w:pPr>
            <w:r>
              <w:rPr>
                <w:b/>
                <w:color w:val="000000"/>
              </w:rPr>
              <w:t>Purchased Pursuant to</w:t>
            </w:r>
          </w:p>
          <w:p>
            <w:pPr>
              <w:pStyle w:val="TableContents"/>
              <w:bidi w:val="0"/>
              <w:spacing w:before="0" w:after="0"/>
              <w:jc w:val="center"/>
              <w:rPr>
                <w:b/>
                <w:color w:val="000000"/>
              </w:rPr>
            </w:pPr>
            <w:r>
              <w:rPr>
                <w:b/>
                <w:color w:val="000000"/>
              </w:rPr>
              <w:t>Publicly-Announced Plans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Maximum Dollar Amount</w:t>
            </w:r>
          </w:p>
          <w:p>
            <w:pPr>
              <w:pStyle w:val="TableContents"/>
              <w:bidi w:val="0"/>
              <w:spacing w:before="0" w:after="0"/>
              <w:jc w:val="center"/>
              <w:rPr>
                <w:b/>
                <w:color w:val="000000"/>
              </w:rPr>
            </w:pPr>
            <w:r>
              <w:rPr>
                <w:b/>
                <w:color w:val="000000"/>
              </w:rPr>
              <w:t>Remaining Available for</w:t>
            </w:r>
          </w:p>
          <w:p>
            <w:pPr>
              <w:pStyle w:val="TableContents"/>
              <w:bidi w:val="0"/>
              <w:spacing w:before="0" w:after="0"/>
              <w:jc w:val="center"/>
              <w:rPr>
                <w:b/>
                <w:color w:val="000000"/>
              </w:rPr>
            </w:pPr>
            <w:r>
              <w:rPr>
                <w:b/>
                <w:color w:val="000000"/>
              </w:rPr>
              <w:t>Repurchase Pursuant to</w:t>
            </w:r>
          </w:p>
          <w:p>
            <w:pPr>
              <w:pStyle w:val="TableContents"/>
              <w:bidi w:val="0"/>
              <w:spacing w:before="0" w:after="0"/>
              <w:jc w:val="center"/>
              <w:rPr>
                <w:b/>
                <w:color w:val="000000"/>
              </w:rPr>
            </w:pPr>
            <w:r>
              <w:rPr>
                <w:b/>
                <w:color w:val="000000"/>
              </w:rPr>
              <w:t>Publicly-Announced Plans</w:t>
            </w:r>
          </w:p>
        </w:tc>
        <w:tc>
          <w:tcPr>
            <w:tcW w:w="139" w:type="dxa"/>
            <w:tcBorders/>
            <w:vAlign w:val="bottom"/>
          </w:tcPr>
          <w:p>
            <w:pPr>
              <w:pStyle w:val="TableContents"/>
              <w:bidi w:val="0"/>
              <w:spacing w:before="0" w:after="283"/>
              <w:jc w:val="left"/>
              <w:rPr/>
            </w:pPr>
            <w:r>
              <w:rPr/>
              <w:t> </w:t>
            </w:r>
          </w:p>
        </w:tc>
      </w:tr>
      <w:tr>
        <w:trPr/>
        <w:tc>
          <w:tcPr>
            <w:tcW w:w="1413" w:type="dxa"/>
            <w:tcBorders/>
            <w:shd w:fill="CCEEFF" w:val="clear"/>
            <w:vAlign w:val="bottom"/>
          </w:tcPr>
          <w:p>
            <w:pPr>
              <w:pStyle w:val="TableContents"/>
              <w:bidi w:val="0"/>
              <w:spacing w:before="0" w:after="0"/>
              <w:ind w:left="144" w:right="0" w:hanging="144"/>
              <w:jc w:val="left"/>
              <w:rPr>
                <w:b/>
                <w:color w:val="000000"/>
              </w:rPr>
            </w:pPr>
            <w:r>
              <w:rPr>
                <w:b/>
                <w:color w:val="000000"/>
              </w:rPr>
              <w:t>January 2026</w:t>
            </w:r>
          </w:p>
        </w:tc>
        <w:tc>
          <w:tcPr>
            <w:tcW w:w="90" w:type="dxa"/>
            <w:tcBorders/>
            <w:shd w:fill="CCEEFF" w:val="clear"/>
            <w:vAlign w:val="bottom"/>
          </w:tcPr>
          <w:p>
            <w:pPr>
              <w:pStyle w:val="TableContents"/>
              <w:bidi w:val="0"/>
              <w:spacing w:before="0" w:after="283"/>
              <w:jc w:val="right"/>
              <w:rPr/>
            </w:pPr>
            <w:r>
              <w:rPr/>
              <w:t> </w:t>
            </w:r>
          </w:p>
        </w:tc>
        <w:tc>
          <w:tcPr>
            <w:tcW w:w="331"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526" w:type="dxa"/>
            <w:tcBorders/>
            <w:shd w:fill="CCEEFF" w:val="clear"/>
            <w:vAlign w:val="bottom"/>
          </w:tcPr>
          <w:p>
            <w:pPr>
              <w:pStyle w:val="TableContents"/>
              <w:bidi w:val="0"/>
              <w:spacing w:before="0" w:after="0"/>
              <w:jc w:val="left"/>
              <w:rPr>
                <w:color w:val="000000"/>
              </w:rPr>
            </w:pPr>
            <w:r>
              <w:rPr>
                <w:color w:val="000000"/>
              </w:rPr>
              <w:t>$</w:t>
            </w:r>
          </w:p>
        </w:tc>
        <w:tc>
          <w:tcPr>
            <w:tcW w:w="90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60" w:type="dxa"/>
            <w:tcBorders/>
            <w:shd w:fill="CCEEFF" w:val="clear"/>
            <w:vAlign w:val="bottom"/>
          </w:tcPr>
          <w:p>
            <w:pPr>
              <w:pStyle w:val="TableContents"/>
              <w:bidi w:val="0"/>
              <w:spacing w:before="0" w:after="0"/>
              <w:jc w:val="left"/>
              <w:rPr>
                <w:color w:val="000000"/>
              </w:rPr>
            </w:pPr>
            <w:r>
              <w:rPr>
                <w:color w:val="000000"/>
              </w:rPr>
              <w:t>$</w:t>
            </w:r>
          </w:p>
        </w:tc>
        <w:tc>
          <w:tcPr>
            <w:tcW w:w="163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39" w:type="dxa"/>
            <w:tcBorders/>
            <w:shd w:fill="CCEEFF" w:val="clear"/>
            <w:vAlign w:val="bottom"/>
          </w:tcPr>
          <w:p>
            <w:pPr>
              <w:pStyle w:val="TableContents"/>
              <w:bidi w:val="0"/>
              <w:spacing w:before="0" w:after="0"/>
              <w:jc w:val="left"/>
              <w:rPr>
                <w:color w:val="000000"/>
              </w:rPr>
            </w:pPr>
            <w:r>
              <w:rPr>
                <w:color w:val="000000"/>
              </w:rPr>
              <w:t>$</w:t>
            </w:r>
          </w:p>
        </w:tc>
        <w:tc>
          <w:tcPr>
            <w:tcW w:w="2260" w:type="dxa"/>
            <w:tcBorders/>
            <w:shd w:fill="CCEEFF" w:val="clear"/>
            <w:vAlign w:val="bottom"/>
          </w:tcPr>
          <w:p>
            <w:pPr>
              <w:pStyle w:val="TableContents"/>
              <w:bidi w:val="0"/>
              <w:spacing w:before="0" w:after="0"/>
              <w:jc w:val="right"/>
              <w:rPr>
                <w:color w:val="000000"/>
              </w:rPr>
            </w:pPr>
            <w:r>
              <w:rPr>
                <w:color w:val="000000"/>
              </w:rPr>
              <w:t>8,659,477</w:t>
            </w:r>
          </w:p>
        </w:tc>
        <w:tc>
          <w:tcPr>
            <w:tcW w:w="139" w:type="dxa"/>
            <w:tcBorders/>
            <w:shd w:fill="CCEEFF" w:val="clear"/>
            <w:vAlign w:val="bottom"/>
          </w:tcPr>
          <w:p>
            <w:pPr>
              <w:pStyle w:val="TableContents"/>
              <w:bidi w:val="0"/>
              <w:spacing w:before="0" w:after="283"/>
              <w:jc w:val="left"/>
              <w:rPr/>
            </w:pPr>
            <w:r>
              <w:rPr/>
              <w:t> </w:t>
            </w:r>
          </w:p>
        </w:tc>
      </w:tr>
      <w:tr>
        <w:trPr/>
        <w:tc>
          <w:tcPr>
            <w:tcW w:w="1413" w:type="dxa"/>
            <w:tcBorders/>
            <w:vAlign w:val="bottom"/>
          </w:tcPr>
          <w:p>
            <w:pPr>
              <w:pStyle w:val="TableContents"/>
              <w:bidi w:val="0"/>
              <w:spacing w:before="0" w:after="0"/>
              <w:ind w:left="144" w:right="0" w:hanging="144"/>
              <w:jc w:val="left"/>
              <w:rPr>
                <w:b/>
                <w:color w:val="000000"/>
              </w:rPr>
            </w:pPr>
            <w:r>
              <w:rPr>
                <w:b/>
                <w:color w:val="000000"/>
              </w:rPr>
              <w:t>February 2026</w:t>
            </w:r>
          </w:p>
        </w:tc>
        <w:tc>
          <w:tcPr>
            <w:tcW w:w="90" w:type="dxa"/>
            <w:tcBorders/>
            <w:vAlign w:val="bottom"/>
          </w:tcPr>
          <w:p>
            <w:pPr>
              <w:pStyle w:val="TableContents"/>
              <w:bidi w:val="0"/>
              <w:spacing w:before="0" w:after="283"/>
              <w:jc w:val="right"/>
              <w:rPr/>
            </w:pPr>
            <w:r>
              <w:rPr/>
              <w:t> </w:t>
            </w:r>
          </w:p>
        </w:tc>
        <w:tc>
          <w:tcPr>
            <w:tcW w:w="331"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526"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60" w:type="dxa"/>
            <w:tcBorders/>
            <w:vAlign w:val="bottom"/>
          </w:tcPr>
          <w:p>
            <w:pPr>
              <w:pStyle w:val="TableContents"/>
              <w:bidi w:val="0"/>
              <w:spacing w:before="0" w:after="283"/>
              <w:jc w:val="left"/>
              <w:rPr/>
            </w:pPr>
            <w:r>
              <w:rPr/>
              <w:t> </w:t>
            </w:r>
          </w:p>
        </w:tc>
        <w:tc>
          <w:tcPr>
            <w:tcW w:w="163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39" w:type="dxa"/>
            <w:tcBorders/>
            <w:vAlign w:val="bottom"/>
          </w:tcPr>
          <w:p>
            <w:pPr>
              <w:pStyle w:val="TableContents"/>
              <w:bidi w:val="0"/>
              <w:spacing w:before="0" w:after="283"/>
              <w:jc w:val="left"/>
              <w:rPr/>
            </w:pPr>
            <w:r>
              <w:rPr/>
              <w:t> </w:t>
            </w:r>
          </w:p>
        </w:tc>
        <w:tc>
          <w:tcPr>
            <w:tcW w:w="2260" w:type="dxa"/>
            <w:tcBorders/>
            <w:vAlign w:val="bottom"/>
          </w:tcPr>
          <w:p>
            <w:pPr>
              <w:pStyle w:val="TableContents"/>
              <w:bidi w:val="0"/>
              <w:spacing w:before="0" w:after="0"/>
              <w:jc w:val="right"/>
              <w:rPr>
                <w:color w:val="000000"/>
              </w:rPr>
            </w:pPr>
            <w:r>
              <w:rPr>
                <w:color w:val="000000"/>
              </w:rPr>
              <w:t>10,000,000</w:t>
            </w:r>
          </w:p>
        </w:tc>
        <w:tc>
          <w:tcPr>
            <w:tcW w:w="139" w:type="dxa"/>
            <w:tcBorders/>
            <w:vAlign w:val="bottom"/>
          </w:tcPr>
          <w:p>
            <w:pPr>
              <w:pStyle w:val="TableContents"/>
              <w:bidi w:val="0"/>
              <w:spacing w:before="0" w:after="283"/>
              <w:jc w:val="left"/>
              <w:rPr/>
            </w:pPr>
            <w:r>
              <w:rPr/>
              <w:t> </w:t>
            </w:r>
          </w:p>
        </w:tc>
      </w:tr>
      <w:tr>
        <w:trPr/>
        <w:tc>
          <w:tcPr>
            <w:tcW w:w="1413" w:type="dxa"/>
            <w:tcBorders/>
            <w:shd w:fill="CCEEFF" w:val="clear"/>
            <w:vAlign w:val="bottom"/>
          </w:tcPr>
          <w:p>
            <w:pPr>
              <w:pStyle w:val="TableContents"/>
              <w:bidi w:val="0"/>
              <w:spacing w:before="0" w:after="0"/>
              <w:ind w:left="144" w:right="0" w:hanging="144"/>
              <w:jc w:val="left"/>
              <w:rPr>
                <w:b/>
                <w:color w:val="000000"/>
              </w:rPr>
            </w:pPr>
            <w:r>
              <w:rPr>
                <w:b/>
                <w:color w:val="000000"/>
              </w:rPr>
              <w:t>March 2026</w:t>
            </w:r>
          </w:p>
        </w:tc>
        <w:tc>
          <w:tcPr>
            <w:tcW w:w="90" w:type="dxa"/>
            <w:tcBorders/>
            <w:shd w:fill="CCEEFF" w:val="clear"/>
            <w:vAlign w:val="bottom"/>
          </w:tcPr>
          <w:p>
            <w:pPr>
              <w:pStyle w:val="TableContents"/>
              <w:bidi w:val="0"/>
              <w:spacing w:before="0" w:after="283"/>
              <w:jc w:val="right"/>
              <w:rPr/>
            </w:pPr>
            <w:r>
              <w:rPr/>
              <w:t> </w:t>
            </w:r>
          </w:p>
        </w:tc>
        <w:tc>
          <w:tcPr>
            <w:tcW w:w="33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6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526"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60" w:type="dxa"/>
            <w:tcBorders/>
            <w:shd w:fill="CCEEFF" w:val="clear"/>
            <w:vAlign w:val="bottom"/>
          </w:tcPr>
          <w:p>
            <w:pPr>
              <w:pStyle w:val="TableContents"/>
              <w:bidi w:val="0"/>
              <w:spacing w:before="0" w:after="283"/>
              <w:jc w:val="left"/>
              <w:rPr/>
            </w:pPr>
            <w:r>
              <w:rPr/>
              <w:t> </w:t>
            </w:r>
          </w:p>
        </w:tc>
        <w:tc>
          <w:tcPr>
            <w:tcW w:w="163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39" w:type="dxa"/>
            <w:tcBorders/>
            <w:shd w:fill="CCEEFF" w:val="clear"/>
            <w:vAlign w:val="bottom"/>
          </w:tcPr>
          <w:p>
            <w:pPr>
              <w:pStyle w:val="TableContents"/>
              <w:bidi w:val="0"/>
              <w:spacing w:before="0" w:after="283"/>
              <w:jc w:val="left"/>
              <w:rPr/>
            </w:pPr>
            <w:r>
              <w:rPr/>
              <w:t> </w:t>
            </w:r>
          </w:p>
        </w:tc>
        <w:tc>
          <w:tcPr>
            <w:tcW w:w="2260" w:type="dxa"/>
            <w:tcBorders/>
            <w:shd w:fill="CCEEFF" w:val="clear"/>
            <w:vAlign w:val="bottom"/>
          </w:tcPr>
          <w:p>
            <w:pPr>
              <w:pStyle w:val="TableContents"/>
              <w:bidi w:val="0"/>
              <w:spacing w:before="0" w:after="0"/>
              <w:jc w:val="right"/>
              <w:rPr>
                <w:color w:val="000000"/>
              </w:rPr>
            </w:pPr>
            <w:r>
              <w:rPr>
                <w:color w:val="000000"/>
              </w:rPr>
              <w:t>10,000,000</w:t>
            </w:r>
          </w:p>
        </w:tc>
        <w:tc>
          <w:tcPr>
            <w:tcW w:w="139" w:type="dxa"/>
            <w:tcBorders/>
            <w:shd w:fill="CCEEFF" w:val="clear"/>
            <w:vAlign w:val="bottom"/>
          </w:tcPr>
          <w:p>
            <w:pPr>
              <w:pStyle w:val="TableContents"/>
              <w:bidi w:val="0"/>
              <w:spacing w:before="0" w:after="283"/>
              <w:jc w:val="left"/>
              <w:rPr/>
            </w:pPr>
            <w:r>
              <w:rPr/>
              <w:t> </w:t>
            </w:r>
          </w:p>
        </w:tc>
      </w:tr>
      <w:tr>
        <w:trPr/>
        <w:tc>
          <w:tcPr>
            <w:tcW w:w="1413" w:type="dxa"/>
            <w:tcBorders/>
            <w:vAlign w:val="bottom"/>
          </w:tcPr>
          <w:p>
            <w:pPr>
              <w:pStyle w:val="TableContents"/>
              <w:bidi w:val="0"/>
              <w:spacing w:before="0" w:after="0"/>
              <w:ind w:left="324" w:right="0" w:hanging="144"/>
              <w:jc w:val="left"/>
              <w:rPr>
                <w:b/>
                <w:color w:val="000000"/>
              </w:rPr>
            </w:pPr>
            <w:r>
              <w:rPr>
                <w:b/>
                <w:color w:val="000000"/>
              </w:rPr>
              <w:t>Total</w:t>
            </w:r>
          </w:p>
        </w:tc>
        <w:tc>
          <w:tcPr>
            <w:tcW w:w="90" w:type="dxa"/>
            <w:tcBorders/>
            <w:vAlign w:val="bottom"/>
          </w:tcPr>
          <w:p>
            <w:pPr>
              <w:pStyle w:val="TableContents"/>
              <w:bidi w:val="0"/>
              <w:spacing w:before="0" w:after="283"/>
              <w:jc w:val="right"/>
              <w:rPr/>
            </w:pPr>
            <w:r>
              <w:rPr/>
              <w:t> </w:t>
            </w:r>
          </w:p>
        </w:tc>
        <w:tc>
          <w:tcPr>
            <w:tcW w:w="331" w:type="dxa"/>
            <w:tcBorders>
              <w:bottom w:val="double" w:sz="8" w:space="0" w:color="000000"/>
            </w:tcBorders>
            <w:tcMar>
              <w:bottom w:w="28" w:type="dxa"/>
            </w:tcMar>
            <w:vAlign w:val="bottom"/>
          </w:tcPr>
          <w:p>
            <w:pPr>
              <w:pStyle w:val="TableContents"/>
              <w:bidi w:val="0"/>
              <w:spacing w:before="0" w:after="283"/>
              <w:jc w:val="left"/>
              <w:rPr/>
            </w:pPr>
            <w:r>
              <w:rPr/>
              <w:t> </w:t>
            </w:r>
          </w:p>
        </w:tc>
        <w:tc>
          <w:tcPr>
            <w:tcW w:w="106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526"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60" w:type="dxa"/>
            <w:tcBorders/>
            <w:vAlign w:val="bottom"/>
          </w:tcPr>
          <w:p>
            <w:pPr>
              <w:pStyle w:val="TableContents"/>
              <w:bidi w:val="0"/>
              <w:spacing w:before="0" w:after="283"/>
              <w:jc w:val="left"/>
              <w:rPr/>
            </w:pPr>
            <w:r>
              <w:rPr/>
              <w:t> </w:t>
            </w:r>
          </w:p>
        </w:tc>
        <w:tc>
          <w:tcPr>
            <w:tcW w:w="163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39" w:type="dxa"/>
            <w:tcBorders/>
            <w:vAlign w:val="bottom"/>
          </w:tcPr>
          <w:p>
            <w:pPr>
              <w:pStyle w:val="TableContents"/>
              <w:bidi w:val="0"/>
              <w:spacing w:before="0" w:after="283"/>
              <w:jc w:val="left"/>
              <w:rPr/>
            </w:pPr>
            <w:r>
              <w:rPr/>
              <w:t> </w:t>
            </w:r>
          </w:p>
        </w:tc>
        <w:tc>
          <w:tcPr>
            <w:tcW w:w="2260"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70" w:name="z5e8dc15dd8c24d30b1faa706efdba20b"/>
      <w:bookmarkStart w:id="271" w:name="DefaultsuponSeniorSecurit"/>
      <w:bookmarkStart w:id="272" w:name="z5e8dc15dd8c24d30b1faa706efdba20b"/>
      <w:bookmarkStart w:id="273" w:name="DefaultsuponSeniorSecurit"/>
      <w:bookmarkEnd w:id="272"/>
      <w:bookmarkEnd w:id="273"/>
    </w:p>
    <w:tbl>
      <w:tblPr>
        <w:tblW w:w="4045" w:type="dxa"/>
        <w:jc w:val="left"/>
        <w:tblInd w:w="0" w:type="dxa"/>
        <w:tblLayout w:type="fixed"/>
        <w:tblCellMar>
          <w:top w:w="0" w:type="dxa"/>
          <w:left w:w="0" w:type="dxa"/>
          <w:bottom w:w="0" w:type="dxa"/>
          <w:right w:w="0" w:type="dxa"/>
        </w:tblCellMar>
      </w:tblPr>
      <w:tblGrid>
        <w:gridCol w:w="770"/>
        <w:gridCol w:w="3275"/>
      </w:tblGrid>
      <w:tr>
        <w:trPr/>
        <w:tc>
          <w:tcPr>
            <w:tcW w:w="770" w:type="dxa"/>
            <w:tcBorders/>
            <w:vAlign w:val="center"/>
          </w:tcPr>
          <w:p>
            <w:pPr>
              <w:pStyle w:val="TableContents"/>
              <w:bidi w:val="0"/>
              <w:spacing w:before="0" w:after="283"/>
              <w:jc w:val="left"/>
              <w:rPr>
                <w:b/>
                <w:color w:val="000000"/>
              </w:rPr>
            </w:pPr>
            <w:r>
              <w:rPr>
                <w:b/>
                <w:color w:val="000000"/>
              </w:rPr>
              <w:t>Item 3.</w:t>
            </w:r>
          </w:p>
        </w:tc>
        <w:tc>
          <w:tcPr>
            <w:tcW w:w="3275" w:type="dxa"/>
            <w:tcBorders/>
            <w:vAlign w:val="center"/>
          </w:tcPr>
          <w:p>
            <w:pPr>
              <w:pStyle w:val="TableContents"/>
              <w:bidi w:val="0"/>
              <w:spacing w:before="0" w:after="0"/>
              <w:jc w:val="left"/>
              <w:rPr>
                <w:b/>
                <w:color w:val="000000"/>
              </w:rPr>
            </w:pPr>
            <w:r>
              <w:rPr>
                <w:b/>
                <w:color w:val="000000"/>
              </w:rPr>
              <w:t>Defaults upon Senior Securities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74" w:name="z54bd9f496fd5492986475820ee411a28"/>
      <w:bookmarkStart w:id="275" w:name="MineSafetyDisclosures"/>
      <w:bookmarkStart w:id="276" w:name="z54bd9f496fd5492986475820ee411a28"/>
      <w:bookmarkStart w:id="277" w:name="MineSafetyDisclosures"/>
      <w:bookmarkEnd w:id="276"/>
      <w:bookmarkEnd w:id="277"/>
    </w:p>
    <w:tbl>
      <w:tblPr>
        <w:tblW w:w="3280" w:type="dxa"/>
        <w:jc w:val="left"/>
        <w:tblInd w:w="0" w:type="dxa"/>
        <w:tblLayout w:type="fixed"/>
        <w:tblCellMar>
          <w:top w:w="0" w:type="dxa"/>
          <w:left w:w="0" w:type="dxa"/>
          <w:bottom w:w="0" w:type="dxa"/>
          <w:right w:w="0" w:type="dxa"/>
        </w:tblCellMar>
      </w:tblPr>
      <w:tblGrid>
        <w:gridCol w:w="770"/>
        <w:gridCol w:w="2510"/>
      </w:tblGrid>
      <w:tr>
        <w:trPr/>
        <w:tc>
          <w:tcPr>
            <w:tcW w:w="770" w:type="dxa"/>
            <w:tcBorders/>
            <w:vAlign w:val="center"/>
          </w:tcPr>
          <w:p>
            <w:pPr>
              <w:pStyle w:val="TableContents"/>
              <w:bidi w:val="0"/>
              <w:spacing w:before="0" w:after="283"/>
              <w:jc w:val="left"/>
              <w:rPr>
                <w:b/>
                <w:color w:val="000000"/>
              </w:rPr>
            </w:pPr>
            <w:r>
              <w:rPr>
                <w:b/>
                <w:color w:val="000000"/>
              </w:rPr>
              <w:t>Item 4.</w:t>
            </w:r>
          </w:p>
        </w:tc>
        <w:tc>
          <w:tcPr>
            <w:tcW w:w="2510" w:type="dxa"/>
            <w:tcBorders/>
            <w:vAlign w:val="center"/>
          </w:tcPr>
          <w:p>
            <w:pPr>
              <w:pStyle w:val="TableContents"/>
              <w:bidi w:val="0"/>
              <w:spacing w:before="0" w:after="0"/>
              <w:jc w:val="left"/>
              <w:rPr>
                <w:b/>
                <w:color w:val="000000"/>
              </w:rPr>
            </w:pPr>
            <w:r>
              <w:rPr>
                <w:b/>
                <w:color w:val="000000"/>
              </w:rPr>
              <w:t>Mine Safety Disclosures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78" w:name="zaf1465d0022540198af05a920d37c0d2"/>
      <w:bookmarkStart w:id="279" w:name="OtherInformation"/>
      <w:bookmarkStart w:id="280" w:name="zaf1465d0022540198af05a920d37c0d2"/>
      <w:bookmarkStart w:id="281" w:name="OtherInformation"/>
      <w:bookmarkEnd w:id="280"/>
      <w:bookmarkEnd w:id="281"/>
    </w:p>
    <w:tbl>
      <w:tblPr>
        <w:tblW w:w="2755" w:type="dxa"/>
        <w:jc w:val="left"/>
        <w:tblInd w:w="0" w:type="dxa"/>
        <w:tblLayout w:type="fixed"/>
        <w:tblCellMar>
          <w:top w:w="0" w:type="dxa"/>
          <w:left w:w="0" w:type="dxa"/>
          <w:bottom w:w="0" w:type="dxa"/>
          <w:right w:w="0" w:type="dxa"/>
        </w:tblCellMar>
      </w:tblPr>
      <w:tblGrid>
        <w:gridCol w:w="770"/>
        <w:gridCol w:w="1985"/>
      </w:tblGrid>
      <w:tr>
        <w:trPr/>
        <w:tc>
          <w:tcPr>
            <w:tcW w:w="770" w:type="dxa"/>
            <w:tcBorders/>
            <w:vAlign w:val="center"/>
          </w:tcPr>
          <w:p>
            <w:pPr>
              <w:pStyle w:val="TableContents"/>
              <w:bidi w:val="0"/>
              <w:spacing w:before="0" w:after="283"/>
              <w:jc w:val="left"/>
              <w:rPr>
                <w:b/>
                <w:color w:val="000000"/>
              </w:rPr>
            </w:pPr>
            <w:r>
              <w:rPr>
                <w:b/>
                <w:color w:val="000000"/>
              </w:rPr>
              <w:t>Item 5.</w:t>
            </w:r>
          </w:p>
        </w:tc>
        <w:tc>
          <w:tcPr>
            <w:tcW w:w="1985" w:type="dxa"/>
            <w:tcBorders/>
            <w:vAlign w:val="center"/>
          </w:tcPr>
          <w:p>
            <w:pPr>
              <w:pStyle w:val="TableContents"/>
              <w:bidi w:val="0"/>
              <w:spacing w:before="0" w:after="0"/>
              <w:jc w:val="left"/>
              <w:rPr>
                <w:b/>
                <w:color w:val="000000"/>
              </w:rPr>
            </w:pPr>
            <w:r>
              <w:rPr>
                <w:b/>
                <w:color w:val="000000"/>
              </w:rPr>
              <w:t>Other Information</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three months ended March 31, 2026, no director or officer of the Company adopted, modified, or terminated a “Rule 10b5-1 trading arrangement” or a “non-Rule 10b5-1 trading arrangement,” as each term is defined in Item 408 of Regulation S-K.</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Normal"/>
        <w:bidi w:val="0"/>
        <w:spacing w:before="0" w:after="0"/>
        <w:jc w:val="left"/>
        <w:rPr>
          <w:sz w:val="4"/>
          <w:szCs w:val="4"/>
        </w:rPr>
      </w:pPr>
      <w:r>
        <w:rPr>
          <w:sz w:val="4"/>
          <w:szCs w:val="4"/>
        </w:rPr>
      </w:r>
      <w:bookmarkStart w:id="282" w:name="zef56ded0787b4c4ab6de6da45c7b1d72"/>
      <w:bookmarkStart w:id="283" w:name="Exhibits"/>
      <w:bookmarkStart w:id="284" w:name="zef56ded0787b4c4ab6de6da45c7b1d72"/>
      <w:bookmarkStart w:id="285" w:name="Exhibits"/>
      <w:bookmarkEnd w:id="284"/>
      <w:bookmarkEnd w:id="285"/>
    </w:p>
    <w:tbl>
      <w:tblPr>
        <w:tblW w:w="1705" w:type="dxa"/>
        <w:jc w:val="left"/>
        <w:tblInd w:w="0" w:type="dxa"/>
        <w:tblLayout w:type="fixed"/>
        <w:tblCellMar>
          <w:top w:w="0" w:type="dxa"/>
          <w:left w:w="0" w:type="dxa"/>
          <w:bottom w:w="0" w:type="dxa"/>
          <w:right w:w="0" w:type="dxa"/>
        </w:tblCellMar>
      </w:tblPr>
      <w:tblGrid>
        <w:gridCol w:w="770"/>
        <w:gridCol w:w="935"/>
      </w:tblGrid>
      <w:tr>
        <w:trPr/>
        <w:tc>
          <w:tcPr>
            <w:tcW w:w="770" w:type="dxa"/>
            <w:tcBorders/>
            <w:vAlign w:val="center"/>
          </w:tcPr>
          <w:p>
            <w:pPr>
              <w:pStyle w:val="TableContents"/>
              <w:bidi w:val="0"/>
              <w:spacing w:before="0" w:after="0"/>
              <w:jc w:val="left"/>
              <w:rPr>
                <w:b/>
                <w:color w:val="000000"/>
              </w:rPr>
            </w:pPr>
            <w:r>
              <w:rPr>
                <w:b/>
                <w:color w:val="000000"/>
              </w:rPr>
              <w:t>Item 6.</w:t>
            </w:r>
          </w:p>
        </w:tc>
        <w:tc>
          <w:tcPr>
            <w:tcW w:w="935" w:type="dxa"/>
            <w:tcBorders/>
            <w:vAlign w:val="center"/>
          </w:tcPr>
          <w:p>
            <w:pPr>
              <w:pStyle w:val="TableContents"/>
              <w:bidi w:val="0"/>
              <w:spacing w:before="0" w:after="0"/>
              <w:jc w:val="left"/>
              <w:rPr>
                <w:b/>
                <w:color w:val="000000"/>
              </w:rPr>
            </w:pPr>
            <w:r>
              <w:rPr>
                <w:b/>
                <w:color w:val="000000"/>
              </w:rPr>
              <w:t>Exhibits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6" w:name="zb39baa95146c4f359e4da81017878af0"/>
      <w:bookmarkStart w:id="287" w:name="zb39baa95146c4f359e4da81017878af0"/>
      <w:bookmarkEnd w:id="287"/>
    </w:p>
    <w:tbl>
      <w:tblPr>
        <w:tblW w:w="10205" w:type="dxa"/>
        <w:jc w:val="left"/>
        <w:tblInd w:w="0" w:type="dxa"/>
        <w:tblLayout w:type="fixed"/>
        <w:tblCellMar>
          <w:top w:w="0" w:type="dxa"/>
          <w:left w:w="0" w:type="dxa"/>
          <w:bottom w:w="28" w:type="dxa"/>
          <w:right w:w="0" w:type="dxa"/>
        </w:tblCellMar>
      </w:tblPr>
      <w:tblGrid>
        <w:gridCol w:w="905"/>
        <w:gridCol w:w="90"/>
        <w:gridCol w:w="9210"/>
      </w:tblGrid>
      <w:tr>
        <w:trPr/>
        <w:tc>
          <w:tcPr>
            <w:tcW w:w="905" w:type="dxa"/>
            <w:tcBorders>
              <w:bottom w:val="single" w:sz="12" w:space="0" w:color="000000"/>
            </w:tcBorders>
            <w:vAlign w:val="center"/>
          </w:tcPr>
          <w:p>
            <w:pPr>
              <w:pStyle w:val="TableContents"/>
              <w:bidi w:val="0"/>
              <w:spacing w:before="0" w:after="0"/>
              <w:jc w:val="center"/>
              <w:rPr>
                <w:b/>
                <w:color w:val="000000"/>
              </w:rPr>
            </w:pPr>
            <w:r>
              <w:rPr>
                <w:b/>
                <w:color w:val="000000"/>
              </w:rPr>
              <w:t>Exhibit</w:t>
            </w:r>
          </w:p>
          <w:p>
            <w:pPr>
              <w:pStyle w:val="TableContents"/>
              <w:bidi w:val="0"/>
              <w:spacing w:before="0" w:after="0"/>
              <w:jc w:val="center"/>
              <w:rPr>
                <w:b/>
                <w:color w:val="000000"/>
              </w:rPr>
            </w:pPr>
            <w:r>
              <w:rPr>
                <w:b/>
                <w:color w:val="000000"/>
              </w:rPr>
              <w:t>Number</w:t>
            </w:r>
          </w:p>
        </w:tc>
        <w:tc>
          <w:tcPr>
            <w:tcW w:w="90" w:type="dxa"/>
            <w:tcBorders/>
            <w:tcMar>
              <w:bottom w:w="0" w:type="dxa"/>
            </w:tcMar>
            <w:vAlign w:val="center"/>
          </w:tcPr>
          <w:p>
            <w:pPr>
              <w:pStyle w:val="TableContents"/>
              <w:bidi w:val="0"/>
              <w:spacing w:before="0" w:after="283"/>
              <w:jc w:val="left"/>
              <w:rPr/>
            </w:pPr>
            <w:r>
              <w:rPr/>
              <w:t> </w:t>
            </w:r>
          </w:p>
        </w:tc>
        <w:tc>
          <w:tcPr>
            <w:tcW w:w="9210" w:type="dxa"/>
            <w:tcBorders>
              <w:bottom w:val="single" w:sz="12" w:space="0" w:color="000000"/>
            </w:tcBorders>
            <w:vAlign w:val="center"/>
          </w:tcPr>
          <w:p>
            <w:pPr>
              <w:pStyle w:val="TableContents"/>
              <w:bidi w:val="0"/>
              <w:spacing w:before="0" w:after="0"/>
              <w:jc w:val="center"/>
              <w:rPr>
                <w:b/>
                <w:color w:val="000000"/>
              </w:rPr>
            </w:pPr>
            <w:r>
              <w:rPr>
                <w:b/>
                <w:color w:val="000000"/>
              </w:rPr>
              <w:t>Description</w:t>
            </w:r>
          </w:p>
        </w:tc>
      </w:tr>
      <w:tr>
        <w:trPr/>
        <w:tc>
          <w:tcPr>
            <w:tcW w:w="905" w:type="dxa"/>
            <w:tcBorders/>
            <w:shd w:fill="CCEEFF" w:val="clear"/>
            <w:tcMar>
              <w:bottom w:w="0" w:type="dxa"/>
            </w:tcMar>
            <w:vAlign w:val="center"/>
          </w:tcPr>
          <w:p>
            <w:pPr>
              <w:pStyle w:val="TableContents"/>
              <w:bidi w:val="0"/>
              <w:spacing w:before="0" w:after="0"/>
              <w:jc w:val="left"/>
              <w:rPr/>
            </w:pPr>
            <w:hyperlink r:id="rId2">
              <w:r>
                <w:rPr>
                  <w:rStyle w:val="InternetLink"/>
                  <w:color w:val="000000"/>
                </w:rPr>
                <w:t>3.1</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9210" w:type="dxa"/>
            <w:tcBorders/>
            <w:shd w:fill="CCEEFF" w:val="clear"/>
            <w:tcMar>
              <w:bottom w:w="0" w:type="dxa"/>
            </w:tcMar>
            <w:vAlign w:val="center"/>
          </w:tcPr>
          <w:p>
            <w:pPr>
              <w:pStyle w:val="TableContents"/>
              <w:bidi w:val="0"/>
              <w:spacing w:before="0" w:after="0"/>
              <w:jc w:val="both"/>
              <w:rPr>
                <w:color w:val="000000"/>
              </w:rPr>
            </w:pPr>
            <w:r>
              <w:rPr>
                <w:color w:val="000000"/>
              </w:rPr>
              <w:t>Amended and Restated Certificate of Formation of South Plains Financial, Inc. (incorporated by reference to Exhibit 3.1 to the Company’s Registration Statement on Form S-1 filed with the SEC on April 12, 2019) (File No. 333-230851).</w:t>
            </w:r>
          </w:p>
        </w:tc>
      </w:tr>
      <w:tr>
        <w:trPr/>
        <w:tc>
          <w:tcPr>
            <w:tcW w:w="905" w:type="dxa"/>
            <w:tcBorders/>
            <w:tcMar>
              <w:bottom w:w="0" w:type="dxa"/>
            </w:tcMar>
            <w:vAlign w:val="center"/>
          </w:tcPr>
          <w:p>
            <w:pPr>
              <w:pStyle w:val="TableContents"/>
              <w:bidi w:val="0"/>
              <w:spacing w:before="0" w:after="283"/>
              <w:jc w:val="left"/>
              <w:rPr>
                <w:color w:val="000000"/>
              </w:rPr>
            </w:pPr>
            <w:r>
              <w:rPr>
                <w:color w:val="000000"/>
              </w:rPr>
              <w:t> </w:t>
            </w:r>
          </w:p>
        </w:tc>
        <w:tc>
          <w:tcPr>
            <w:tcW w:w="90"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before="0" w:after="283"/>
              <w:jc w:val="left"/>
              <w:rPr/>
            </w:pPr>
            <w:r>
              <w:rPr/>
              <w:t> </w:t>
            </w:r>
          </w:p>
        </w:tc>
      </w:tr>
      <w:tr>
        <w:trPr/>
        <w:tc>
          <w:tcPr>
            <w:tcW w:w="905" w:type="dxa"/>
            <w:tcBorders/>
            <w:shd w:fill="CCEEFF" w:val="clear"/>
            <w:tcMar>
              <w:bottom w:w="0" w:type="dxa"/>
            </w:tcMar>
            <w:vAlign w:val="center"/>
          </w:tcPr>
          <w:p>
            <w:pPr>
              <w:pStyle w:val="TableContents"/>
              <w:bidi w:val="0"/>
              <w:spacing w:before="0" w:after="0"/>
              <w:jc w:val="left"/>
              <w:rPr/>
            </w:pPr>
            <w:hyperlink r:id="rId3">
              <w:r>
                <w:rPr>
                  <w:rStyle w:val="InternetLink"/>
                  <w:color w:val="000000"/>
                </w:rPr>
                <w:t>3.2</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9210" w:type="dxa"/>
            <w:tcBorders/>
            <w:shd w:fill="CCEEFF" w:val="clear"/>
            <w:tcMar>
              <w:bottom w:w="0" w:type="dxa"/>
            </w:tcMar>
            <w:vAlign w:val="center"/>
          </w:tcPr>
          <w:p>
            <w:pPr>
              <w:pStyle w:val="TableContents"/>
              <w:bidi w:val="0"/>
              <w:spacing w:before="0" w:after="0"/>
              <w:jc w:val="both"/>
              <w:rPr>
                <w:color w:val="000000"/>
              </w:rPr>
            </w:pPr>
            <w:r>
              <w:rPr>
                <w:color w:val="000000"/>
              </w:rPr>
              <w:t>Third Amended and Restated Bylaws of South Plains Financial, Inc. (incorporated by reference to Exhibit 3.1 to the Company’s Current Report on Form 8-K filed with the SEC on August 26, 2025) (File No. 001-38895).</w:t>
            </w:r>
          </w:p>
        </w:tc>
      </w:tr>
      <w:tr>
        <w:trPr/>
        <w:tc>
          <w:tcPr>
            <w:tcW w:w="9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before="0" w:after="283"/>
              <w:jc w:val="left"/>
              <w:rPr/>
            </w:pPr>
            <w:r>
              <w:rPr/>
              <w:t> </w:t>
            </w:r>
          </w:p>
        </w:tc>
      </w:tr>
      <w:tr>
        <w:trPr/>
        <w:tc>
          <w:tcPr>
            <w:tcW w:w="905" w:type="dxa"/>
            <w:tcBorders/>
            <w:shd w:fill="CCEEFF" w:val="clear"/>
            <w:tcMar>
              <w:bottom w:w="0" w:type="dxa"/>
            </w:tcMar>
            <w:vAlign w:val="center"/>
          </w:tcPr>
          <w:p>
            <w:pPr>
              <w:pStyle w:val="TableContents"/>
              <w:bidi w:val="0"/>
              <w:spacing w:before="0" w:after="0"/>
              <w:jc w:val="left"/>
              <w:rPr/>
            </w:pPr>
            <w:hyperlink r:id="rId4">
              <w:r>
                <w:rPr>
                  <w:rStyle w:val="InternetLink"/>
                  <w:color w:val="000000"/>
                </w:rPr>
                <w:t>10.1</w:t>
              </w:r>
            </w:hyperlink>
          </w:p>
        </w:tc>
        <w:tc>
          <w:tcPr>
            <w:tcW w:w="90" w:type="dxa"/>
            <w:tcBorders/>
            <w:shd w:fill="CCEEFF" w:val="clear"/>
            <w:tcMar>
              <w:bottom w:w="0" w:type="dxa"/>
            </w:tcMar>
            <w:vAlign w:val="center"/>
          </w:tcPr>
          <w:p>
            <w:pPr>
              <w:pStyle w:val="TableContents"/>
              <w:bidi w:val="0"/>
              <w:spacing w:before="0" w:after="283"/>
              <w:jc w:val="left"/>
              <w:rPr/>
            </w:pPr>
            <w:r>
              <w:rPr/>
            </w:r>
          </w:p>
        </w:tc>
        <w:tc>
          <w:tcPr>
            <w:tcW w:w="9210" w:type="dxa"/>
            <w:tcBorders/>
            <w:shd w:fill="CCEEFF" w:val="clear"/>
            <w:tcMar>
              <w:bottom w:w="0" w:type="dxa"/>
            </w:tcMar>
            <w:vAlign w:val="center"/>
          </w:tcPr>
          <w:p>
            <w:pPr>
              <w:pStyle w:val="TableContents"/>
              <w:bidi w:val="0"/>
              <w:spacing w:before="0" w:after="0"/>
              <w:jc w:val="left"/>
              <w:rPr>
                <w:color w:val="000000"/>
              </w:rPr>
            </w:pPr>
            <w:r>
              <w:rPr>
                <w:color w:val="000000"/>
              </w:rPr>
              <w:t>Employment Agreement, by and between City Bank and James D. Stein (incorporated by reference to Exhibit 10.1 to the Company’s Current Report on Form 8-K filed with the SEC on April 1, 2026) (File No. 001-38895).</w:t>
            </w:r>
          </w:p>
        </w:tc>
      </w:tr>
      <w:tr>
        <w:trPr/>
        <w:tc>
          <w:tcPr>
            <w:tcW w:w="9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before="0" w:after="283"/>
              <w:jc w:val="left"/>
              <w:rPr/>
            </w:pPr>
            <w:r>
              <w:rPr/>
              <w:t> </w:t>
            </w:r>
          </w:p>
        </w:tc>
      </w:tr>
      <w:tr>
        <w:trPr/>
        <w:tc>
          <w:tcPr>
            <w:tcW w:w="905" w:type="dxa"/>
            <w:tcBorders/>
            <w:shd w:fill="CCEEFF" w:val="clear"/>
            <w:tcMar>
              <w:bottom w:w="0" w:type="dxa"/>
            </w:tcMar>
            <w:vAlign w:val="center"/>
          </w:tcPr>
          <w:p>
            <w:pPr>
              <w:pStyle w:val="TableContents"/>
              <w:bidi w:val="0"/>
              <w:spacing w:before="0" w:after="0"/>
              <w:jc w:val="left"/>
              <w:rPr/>
            </w:pPr>
            <w:hyperlink w:anchor="ef20070588_ex31-1.htm">
              <w:r>
                <w:rPr>
                  <w:rStyle w:val="InternetLink"/>
                  <w:color w:val="000000"/>
                </w:rPr>
                <w:t>31.1*</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9210" w:type="dxa"/>
            <w:tcBorders/>
            <w:shd w:fill="CCEEFF" w:val="clear"/>
            <w:tcMar>
              <w:bottom w:w="0" w:type="dxa"/>
            </w:tcMar>
            <w:vAlign w:val="center"/>
          </w:tcPr>
          <w:p>
            <w:pPr>
              <w:pStyle w:val="TableContents"/>
              <w:bidi w:val="0"/>
              <w:spacing w:before="0" w:after="0"/>
              <w:jc w:val="both"/>
              <w:rPr/>
            </w:pPr>
            <w:r>
              <w:rPr/>
              <w:t>Certification by Chief Executive Officer pursuant to Rule 13a-14(a) under the Securities Exchange Act of 1934, as amended.</w:t>
            </w:r>
          </w:p>
        </w:tc>
      </w:tr>
      <w:tr>
        <w:trPr/>
        <w:tc>
          <w:tcPr>
            <w:tcW w:w="9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before="0" w:after="283"/>
              <w:jc w:val="left"/>
              <w:rPr/>
            </w:pPr>
            <w:r>
              <w:rPr/>
              <w:t> </w:t>
            </w:r>
          </w:p>
        </w:tc>
      </w:tr>
      <w:tr>
        <w:trPr/>
        <w:tc>
          <w:tcPr>
            <w:tcW w:w="905" w:type="dxa"/>
            <w:tcBorders/>
            <w:shd w:fill="CCEEFF" w:val="clear"/>
            <w:tcMar>
              <w:bottom w:w="0" w:type="dxa"/>
            </w:tcMar>
            <w:vAlign w:val="center"/>
          </w:tcPr>
          <w:p>
            <w:pPr>
              <w:pStyle w:val="TableContents"/>
              <w:bidi w:val="0"/>
              <w:spacing w:before="0" w:after="0"/>
              <w:jc w:val="left"/>
              <w:rPr/>
            </w:pPr>
            <w:hyperlink w:anchor="ef20070588_ex31-2.htm">
              <w:r>
                <w:rPr>
                  <w:rStyle w:val="InternetLink"/>
                  <w:color w:val="000000"/>
                </w:rPr>
                <w:t>31.2*</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9210" w:type="dxa"/>
            <w:tcBorders/>
            <w:shd w:fill="CCEEFF" w:val="clear"/>
            <w:tcMar>
              <w:bottom w:w="0" w:type="dxa"/>
            </w:tcMar>
            <w:vAlign w:val="center"/>
          </w:tcPr>
          <w:p>
            <w:pPr>
              <w:pStyle w:val="TableContents"/>
              <w:bidi w:val="0"/>
              <w:spacing w:before="0" w:after="0"/>
              <w:jc w:val="both"/>
              <w:rPr/>
            </w:pPr>
            <w:r>
              <w:rPr/>
              <w:t>Certification by Chief Financial Officer pursuant to Rule 13a-14(a) under the Securities Exchange Act of 1934, as amended.</w:t>
            </w:r>
          </w:p>
        </w:tc>
      </w:tr>
      <w:tr>
        <w:trPr/>
        <w:tc>
          <w:tcPr>
            <w:tcW w:w="9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before="0" w:after="283"/>
              <w:jc w:val="left"/>
              <w:rPr/>
            </w:pPr>
            <w:r>
              <w:rPr/>
              <w:t> </w:t>
            </w:r>
          </w:p>
        </w:tc>
      </w:tr>
      <w:tr>
        <w:trPr/>
        <w:tc>
          <w:tcPr>
            <w:tcW w:w="905" w:type="dxa"/>
            <w:tcBorders/>
            <w:shd w:fill="CCEEFF" w:val="clear"/>
            <w:tcMar>
              <w:bottom w:w="0" w:type="dxa"/>
            </w:tcMar>
            <w:vAlign w:val="center"/>
          </w:tcPr>
          <w:p>
            <w:pPr>
              <w:pStyle w:val="TableContents"/>
              <w:bidi w:val="0"/>
              <w:spacing w:before="0" w:after="0"/>
              <w:jc w:val="left"/>
              <w:rPr/>
            </w:pPr>
            <w:hyperlink w:anchor="ef20070588_ex32-1.htm">
              <w:r>
                <w:rPr>
                  <w:rStyle w:val="InternetLink"/>
                  <w:color w:val="000000"/>
                </w:rPr>
                <w:t>32.1**</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9210" w:type="dxa"/>
            <w:tcBorders/>
            <w:shd w:fill="CCEEFF" w:val="clear"/>
            <w:tcMar>
              <w:bottom w:w="0" w:type="dxa"/>
            </w:tcMar>
            <w:vAlign w:val="center"/>
          </w:tcPr>
          <w:p>
            <w:pPr>
              <w:pStyle w:val="TableContents"/>
              <w:bidi w:val="0"/>
              <w:spacing w:before="0" w:after="0"/>
              <w:jc w:val="both"/>
              <w:rPr>
                <w:color w:val="000000"/>
              </w:rPr>
            </w:pPr>
            <w:r>
              <w:rPr>
                <w:color w:val="000000"/>
              </w:rPr>
              <w:t>Section 1350 Certification of Chief Executive Officer.</w:t>
            </w:r>
          </w:p>
        </w:tc>
      </w:tr>
      <w:tr>
        <w:trPr/>
        <w:tc>
          <w:tcPr>
            <w:tcW w:w="9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before="0" w:after="283"/>
              <w:jc w:val="left"/>
              <w:rPr/>
            </w:pPr>
            <w:r>
              <w:rPr/>
              <w:t> </w:t>
            </w:r>
          </w:p>
        </w:tc>
      </w:tr>
      <w:tr>
        <w:trPr/>
        <w:tc>
          <w:tcPr>
            <w:tcW w:w="905" w:type="dxa"/>
            <w:tcBorders/>
            <w:shd w:fill="CCEEFF" w:val="clear"/>
            <w:tcMar>
              <w:bottom w:w="0" w:type="dxa"/>
            </w:tcMar>
            <w:vAlign w:val="center"/>
          </w:tcPr>
          <w:p>
            <w:pPr>
              <w:pStyle w:val="TableContents"/>
              <w:bidi w:val="0"/>
              <w:spacing w:before="0" w:after="0"/>
              <w:jc w:val="left"/>
              <w:rPr/>
            </w:pPr>
            <w:hyperlink w:anchor="ef20070588_ex32-2.htm">
              <w:r>
                <w:rPr>
                  <w:rStyle w:val="InternetLink"/>
                  <w:color w:val="000000"/>
                </w:rPr>
                <w:t>32.2**</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9210" w:type="dxa"/>
            <w:tcBorders/>
            <w:shd w:fill="CCEEFF" w:val="clear"/>
            <w:tcMar>
              <w:bottom w:w="0" w:type="dxa"/>
            </w:tcMar>
            <w:vAlign w:val="center"/>
          </w:tcPr>
          <w:p>
            <w:pPr>
              <w:pStyle w:val="TableContents"/>
              <w:bidi w:val="0"/>
              <w:spacing w:before="0" w:after="0"/>
              <w:jc w:val="both"/>
              <w:rPr>
                <w:color w:val="000000"/>
              </w:rPr>
            </w:pPr>
            <w:r>
              <w:rPr>
                <w:color w:val="000000"/>
              </w:rPr>
              <w:t>Section 1350 Certification of Chief Financial Officer.</w:t>
            </w:r>
          </w:p>
        </w:tc>
      </w:tr>
      <w:tr>
        <w:trPr/>
        <w:tc>
          <w:tcPr>
            <w:tcW w:w="9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before="0" w:after="283"/>
              <w:jc w:val="left"/>
              <w:rPr/>
            </w:pPr>
            <w:r>
              <w:rPr/>
              <w:t> </w:t>
            </w:r>
          </w:p>
        </w:tc>
      </w:tr>
      <w:tr>
        <w:trPr/>
        <w:tc>
          <w:tcPr>
            <w:tcW w:w="905" w:type="dxa"/>
            <w:tcBorders/>
            <w:shd w:fill="CCEEFF" w:val="clear"/>
            <w:tcMar>
              <w:bottom w:w="0" w:type="dxa"/>
            </w:tcMar>
            <w:vAlign w:val="center"/>
          </w:tcPr>
          <w:p>
            <w:pPr>
              <w:pStyle w:val="TableContents"/>
              <w:bidi w:val="0"/>
              <w:spacing w:before="0" w:after="0"/>
              <w:jc w:val="left"/>
              <w:rPr>
                <w:color w:val="000000"/>
              </w:rPr>
            </w:pPr>
            <w:r>
              <w:rPr>
                <w:color w:val="000000"/>
              </w:rPr>
              <w:t>101*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10" w:type="dxa"/>
            <w:tcBorders/>
            <w:shd w:fill="CCEEFF" w:val="clear"/>
            <w:tcMar>
              <w:bottom w:w="0" w:type="dxa"/>
            </w:tcMar>
            <w:vAlign w:val="center"/>
          </w:tcPr>
          <w:p>
            <w:pPr>
              <w:pStyle w:val="TableContents"/>
              <w:bidi w:val="0"/>
              <w:spacing w:before="0" w:after="0"/>
              <w:jc w:val="both"/>
              <w:rPr>
                <w:color w:val="000000"/>
              </w:rPr>
            </w:pPr>
            <w:r>
              <w:rPr>
                <w:color w:val="000000"/>
              </w:rPr>
              <w:t>The following material from South Plains Financial, Inc.’s Form 10-Q for the quarter ended March 31, 2026, formatted in XBRL (eXtensible Business Reporting Language), filed herewith: (i) Consolidated Balance Sheets, (ii) Consolidated Statements of Comprehensive Income, (iii) Consolidated Statements of Changes in Stockholders’ Equity, (iv) Consolidated Statements of Cash Flows, and (v) Notes to Unaudited Consolidated Financial Statements.</w:t>
            </w:r>
          </w:p>
        </w:tc>
      </w:tr>
      <w:tr>
        <w:trPr/>
        <w:tc>
          <w:tcPr>
            <w:tcW w:w="9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before="0" w:after="283"/>
              <w:jc w:val="left"/>
              <w:rPr/>
            </w:pPr>
            <w:r>
              <w:rPr/>
              <w:t> </w:t>
            </w:r>
          </w:p>
        </w:tc>
      </w:tr>
      <w:tr>
        <w:trPr/>
        <w:tc>
          <w:tcPr>
            <w:tcW w:w="905" w:type="dxa"/>
            <w:tcBorders/>
            <w:shd w:fill="CCEEFF" w:val="clear"/>
            <w:tcMar>
              <w:bottom w:w="0" w:type="dxa"/>
            </w:tcMar>
            <w:vAlign w:val="center"/>
          </w:tcPr>
          <w:p>
            <w:pPr>
              <w:pStyle w:val="TableContents"/>
              <w:bidi w:val="0"/>
              <w:spacing w:before="0" w:after="0"/>
              <w:jc w:val="left"/>
              <w:rPr>
                <w:color w:val="000000"/>
              </w:rPr>
            </w:pPr>
            <w:r>
              <w:rPr>
                <w:color w:val="000000"/>
              </w:rPr>
              <w:t>104*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10" w:type="dxa"/>
            <w:tcBorders/>
            <w:shd w:fill="CCEEFF" w:val="clear"/>
            <w:tcMar>
              <w:bottom w:w="0" w:type="dxa"/>
            </w:tcMar>
            <w:vAlign w:val="center"/>
          </w:tcPr>
          <w:p>
            <w:pPr>
              <w:pStyle w:val="TableContents"/>
              <w:bidi w:val="0"/>
              <w:spacing w:before="0" w:after="0"/>
              <w:jc w:val="both"/>
              <w:rPr>
                <w:color w:val="000000"/>
              </w:rPr>
            </w:pPr>
            <w:r>
              <w:rPr>
                <w:color w:val="000000"/>
              </w:rPr>
              <w:t>Cover Page Interactive Data File (formatted as Inline XBRL).</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8" w:name="z75d7d12d531c4bd196be54aff73c3461"/>
      <w:bookmarkStart w:id="289" w:name="z75d7d12d531c4bd196be54aff73c3461"/>
      <w:bookmarkEnd w:id="289"/>
    </w:p>
    <w:tbl>
      <w:tblPr>
        <w:tblW w:w="2755" w:type="dxa"/>
        <w:jc w:val="left"/>
        <w:tblInd w:w="0" w:type="dxa"/>
        <w:tblLayout w:type="fixed"/>
        <w:tblCellMar>
          <w:top w:w="0" w:type="dxa"/>
          <w:left w:w="0" w:type="dxa"/>
          <w:bottom w:w="0" w:type="dxa"/>
          <w:right w:w="0" w:type="dxa"/>
        </w:tblCellMar>
      </w:tblPr>
      <w:tblGrid>
        <w:gridCol w:w="185"/>
        <w:gridCol w:w="2570"/>
      </w:tblGrid>
      <w:tr>
        <w:trPr/>
        <w:tc>
          <w:tcPr>
            <w:tcW w:w="185" w:type="dxa"/>
            <w:tcBorders/>
            <w:vAlign w:val="center"/>
          </w:tcPr>
          <w:p>
            <w:pPr>
              <w:pStyle w:val="TableContents"/>
              <w:bidi w:val="0"/>
              <w:spacing w:before="0" w:after="283"/>
              <w:jc w:val="left"/>
              <w:rPr>
                <w:color w:val="222222"/>
              </w:rPr>
            </w:pPr>
            <w:r>
              <w:rPr>
                <w:color w:val="222222"/>
              </w:rPr>
              <w:t>*</w:t>
            </w:r>
          </w:p>
        </w:tc>
        <w:tc>
          <w:tcPr>
            <w:tcW w:w="2570" w:type="dxa"/>
            <w:tcBorders/>
            <w:vAlign w:val="center"/>
          </w:tcPr>
          <w:p>
            <w:pPr>
              <w:pStyle w:val="TableContents"/>
              <w:bidi w:val="0"/>
              <w:spacing w:before="0" w:after="0"/>
              <w:jc w:val="left"/>
              <w:rPr>
                <w:color w:val="222222"/>
              </w:rPr>
            </w:pPr>
            <w:r>
              <w:rPr>
                <w:color w:val="222222"/>
              </w:rPr>
              <w:t>Filed with this Form 10-Q</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90" w:name="z59db711ef7b04832b6a62b582c847329"/>
      <w:bookmarkStart w:id="291" w:name="z59db711ef7b04832b6a62b582c847329"/>
      <w:bookmarkEnd w:id="291"/>
    </w:p>
    <w:tbl>
      <w:tblPr>
        <w:tblW w:w="3340" w:type="dxa"/>
        <w:jc w:val="left"/>
        <w:tblInd w:w="0" w:type="dxa"/>
        <w:tblLayout w:type="fixed"/>
        <w:tblCellMar>
          <w:top w:w="0" w:type="dxa"/>
          <w:left w:w="0" w:type="dxa"/>
          <w:bottom w:w="0" w:type="dxa"/>
          <w:right w:w="0" w:type="dxa"/>
        </w:tblCellMar>
      </w:tblPr>
      <w:tblGrid>
        <w:gridCol w:w="305"/>
        <w:gridCol w:w="3035"/>
      </w:tblGrid>
      <w:tr>
        <w:trPr/>
        <w:tc>
          <w:tcPr>
            <w:tcW w:w="305" w:type="dxa"/>
            <w:tcBorders/>
            <w:vAlign w:val="center"/>
          </w:tcPr>
          <w:p>
            <w:pPr>
              <w:pStyle w:val="TableContents"/>
              <w:bidi w:val="0"/>
              <w:spacing w:before="0" w:after="283"/>
              <w:jc w:val="left"/>
              <w:rPr>
                <w:color w:val="222222"/>
              </w:rPr>
            </w:pPr>
            <w:r>
              <w:rPr>
                <w:color w:val="222222"/>
              </w:rPr>
              <w:t>**</w:t>
            </w:r>
          </w:p>
        </w:tc>
        <w:tc>
          <w:tcPr>
            <w:tcW w:w="3035" w:type="dxa"/>
            <w:tcBorders/>
            <w:vAlign w:val="center"/>
          </w:tcPr>
          <w:p>
            <w:pPr>
              <w:pStyle w:val="TableContents"/>
              <w:bidi w:val="0"/>
              <w:spacing w:before="0" w:after="0"/>
              <w:jc w:val="left"/>
              <w:rPr>
                <w:color w:val="222222"/>
              </w:rPr>
            </w:pPr>
            <w:r>
              <w:rPr>
                <w:color w:val="222222"/>
              </w:rPr>
              <w:t>Furnished with this Form 10-Q</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292" w:name="SIGNATURES"/>
      <w:bookmarkEnd w:id="292"/>
      <w:r>
        <w:rPr>
          <w:rFonts w:ascii="Times New Roman" w:hAnsi="Times New Roman"/>
          <w:b/>
          <w:color w:val="000000"/>
          <w:sz w:val="20"/>
          <w:shd w:fill="FFFFFF" w:val="clear"/>
        </w:rPr>
        <w:t>SIGNATURES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93" w:name="ze856ba1dbc0a489fb9e76dc2be00b7c9"/>
      <w:bookmarkStart w:id="294" w:name="ze856ba1dbc0a489fb9e76dc2be00b7c9"/>
      <w:bookmarkEnd w:id="294"/>
    </w:p>
    <w:tbl>
      <w:tblPr>
        <w:tblW w:w="5885" w:type="dxa"/>
        <w:jc w:val="left"/>
        <w:tblInd w:w="0" w:type="dxa"/>
        <w:tblLayout w:type="fixed"/>
        <w:tblCellMar>
          <w:top w:w="0" w:type="dxa"/>
          <w:left w:w="0" w:type="dxa"/>
          <w:bottom w:w="0" w:type="dxa"/>
          <w:right w:w="0" w:type="dxa"/>
        </w:tblCellMar>
      </w:tblPr>
      <w:tblGrid>
        <w:gridCol w:w="575"/>
        <w:gridCol w:w="1265"/>
        <w:gridCol w:w="395"/>
        <w:gridCol w:w="3650"/>
      </w:tblGrid>
      <w:tr>
        <w:trPr/>
        <w:tc>
          <w:tcPr>
            <w:tcW w:w="1840" w:type="dxa"/>
            <w:gridSpan w:val="2"/>
            <w:tcBorders/>
            <w:vAlign w:val="center"/>
          </w:tcPr>
          <w:p>
            <w:pPr>
              <w:pStyle w:val="TableContents"/>
              <w:bidi w:val="0"/>
              <w:spacing w:before="0" w:after="283"/>
              <w:jc w:val="left"/>
              <w:rPr/>
            </w:pPr>
            <w:r>
              <w:rPr/>
              <w:t> </w:t>
            </w:r>
          </w:p>
        </w:tc>
        <w:tc>
          <w:tcPr>
            <w:tcW w:w="4045" w:type="dxa"/>
            <w:gridSpan w:val="2"/>
            <w:tcBorders/>
            <w:vAlign w:val="center"/>
          </w:tcPr>
          <w:p>
            <w:pPr>
              <w:pStyle w:val="TableContents"/>
              <w:bidi w:val="0"/>
              <w:spacing w:before="0" w:after="0"/>
              <w:jc w:val="left"/>
              <w:rPr>
                <w:b/>
                <w:color w:val="000000"/>
              </w:rPr>
            </w:pPr>
            <w:r>
              <w:rPr>
                <w:b/>
                <w:color w:val="000000"/>
              </w:rPr>
              <w:t>South Plains Financial, Inc.</w:t>
            </w:r>
          </w:p>
        </w:tc>
      </w:tr>
      <w:tr>
        <w:trPr/>
        <w:tc>
          <w:tcPr>
            <w:tcW w:w="1840" w:type="dxa"/>
            <w:gridSpan w:val="2"/>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0"/>
              <w:jc w:val="left"/>
              <w:rPr>
                <w:color w:val="000000"/>
              </w:rPr>
            </w:pPr>
            <w:r>
              <w:rPr>
                <w:color w:val="000000"/>
              </w:rPr>
              <w:t>Date:</w:t>
            </w:r>
          </w:p>
        </w:tc>
        <w:tc>
          <w:tcPr>
            <w:tcW w:w="1265" w:type="dxa"/>
            <w:tcBorders/>
            <w:vAlign w:val="center"/>
          </w:tcPr>
          <w:p>
            <w:pPr>
              <w:pStyle w:val="TableContents"/>
              <w:bidi w:val="0"/>
              <w:spacing w:before="0" w:after="0"/>
              <w:jc w:val="left"/>
              <w:rPr/>
            </w:pPr>
            <w:r>
              <w:rPr/>
              <w:t>May 5, 2026</w:t>
            </w:r>
          </w:p>
        </w:tc>
        <w:tc>
          <w:tcPr>
            <w:tcW w:w="395" w:type="dxa"/>
            <w:tcBorders/>
            <w:vAlign w:val="center"/>
          </w:tcPr>
          <w:p>
            <w:pPr>
              <w:pStyle w:val="TableContents"/>
              <w:bidi w:val="0"/>
              <w:spacing w:before="0" w:after="0"/>
              <w:jc w:val="left"/>
              <w:rPr>
                <w:color w:val="000000"/>
              </w:rPr>
            </w:pPr>
            <w:r>
              <w:rPr>
                <w:color w:val="000000"/>
              </w:rPr>
              <w:t>By:</w:t>
            </w:r>
          </w:p>
        </w:tc>
        <w:tc>
          <w:tcPr>
            <w:tcW w:w="3650"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/s/ Cory T. Newsom</w:t>
            </w:r>
          </w:p>
        </w:tc>
      </w:tr>
      <w:tr>
        <w:trPr/>
        <w:tc>
          <w:tcPr>
            <w:tcW w:w="1840" w:type="dxa"/>
            <w:gridSpan w:val="2"/>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jc w:val="center"/>
              <w:rPr>
                <w:color w:val="000000"/>
              </w:rPr>
            </w:pPr>
            <w:r>
              <w:rPr>
                <w:color w:val="000000"/>
              </w:rPr>
              <w:t>Cory T. Newsom</w:t>
            </w:r>
          </w:p>
        </w:tc>
      </w:tr>
      <w:tr>
        <w:trPr/>
        <w:tc>
          <w:tcPr>
            <w:tcW w:w="1840" w:type="dxa"/>
            <w:gridSpan w:val="2"/>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jc w:val="center"/>
              <w:rPr>
                <w:color w:val="000000"/>
              </w:rPr>
            </w:pPr>
            <w:r>
              <w:rPr>
                <w:color w:val="000000"/>
              </w:rPr>
              <w:t>President</w:t>
            </w:r>
          </w:p>
        </w:tc>
      </w:tr>
      <w:tr>
        <w:trPr/>
        <w:tc>
          <w:tcPr>
            <w:tcW w:w="1840" w:type="dxa"/>
            <w:gridSpan w:val="2"/>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jc w:val="center"/>
              <w:rPr>
                <w:color w:val="000000"/>
              </w:rPr>
            </w:pPr>
            <w:r>
              <w:rPr>
                <w:color w:val="000000"/>
              </w:rPr>
              <w:t>(Principal Executive Officer)</w:t>
            </w:r>
          </w:p>
        </w:tc>
      </w:tr>
      <w:tr>
        <w:trPr/>
        <w:tc>
          <w:tcPr>
            <w:tcW w:w="1840" w:type="dxa"/>
            <w:gridSpan w:val="2"/>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0"/>
              <w:jc w:val="left"/>
              <w:rPr>
                <w:color w:val="000000"/>
              </w:rPr>
            </w:pPr>
            <w:r>
              <w:rPr>
                <w:color w:val="000000"/>
              </w:rPr>
              <w:t>Date:</w:t>
            </w:r>
          </w:p>
        </w:tc>
        <w:tc>
          <w:tcPr>
            <w:tcW w:w="1265" w:type="dxa"/>
            <w:tcBorders/>
            <w:vAlign w:val="center"/>
          </w:tcPr>
          <w:p>
            <w:pPr>
              <w:pStyle w:val="TableContents"/>
              <w:bidi w:val="0"/>
              <w:spacing w:before="0" w:after="0"/>
              <w:jc w:val="left"/>
              <w:rPr/>
            </w:pPr>
            <w:r>
              <w:rPr/>
              <w:t>May 5, 2026</w:t>
            </w:r>
          </w:p>
        </w:tc>
        <w:tc>
          <w:tcPr>
            <w:tcW w:w="395" w:type="dxa"/>
            <w:tcBorders/>
            <w:vAlign w:val="center"/>
          </w:tcPr>
          <w:p>
            <w:pPr>
              <w:pStyle w:val="TableContents"/>
              <w:bidi w:val="0"/>
              <w:spacing w:before="0" w:after="0"/>
              <w:jc w:val="left"/>
              <w:rPr>
                <w:color w:val="000000"/>
              </w:rPr>
            </w:pPr>
            <w:r>
              <w:rPr>
                <w:color w:val="000000"/>
              </w:rPr>
              <w:t>By:</w:t>
            </w:r>
          </w:p>
        </w:tc>
        <w:tc>
          <w:tcPr>
            <w:tcW w:w="3650"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/s/ Steven B. Crockett</w:t>
            </w:r>
          </w:p>
        </w:tc>
      </w:tr>
      <w:tr>
        <w:trPr/>
        <w:tc>
          <w:tcPr>
            <w:tcW w:w="1840" w:type="dxa"/>
            <w:gridSpan w:val="2"/>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jc w:val="center"/>
              <w:rPr>
                <w:color w:val="000000"/>
              </w:rPr>
            </w:pPr>
            <w:r>
              <w:rPr>
                <w:color w:val="000000"/>
              </w:rPr>
              <w:t>Steven B. Crockett</w:t>
            </w:r>
          </w:p>
        </w:tc>
      </w:tr>
      <w:tr>
        <w:trPr/>
        <w:tc>
          <w:tcPr>
            <w:tcW w:w="1840" w:type="dxa"/>
            <w:gridSpan w:val="2"/>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jc w:val="center"/>
              <w:rPr>
                <w:color w:val="000000"/>
              </w:rPr>
            </w:pPr>
            <w:r>
              <w:rPr>
                <w:color w:val="000000"/>
              </w:rPr>
              <w:t>Chief Financial Officer and Treasurer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48</w:t>
      </w:r>
    </w:p>
    <w:p>
      <w:pPr>
        <w:pStyle w:val="HorizontalLine"/>
        <w:bidi w:val="0"/>
        <w:jc w:val="left"/>
        <w:rPr/>
      </w:pPr>
      <w:r>
        <w:rPr/>
      </w:r>
    </w:p>
    <w:p>
      <w:pPr>
        <w:pStyle w:val="HorizontalLine"/>
        <w:bidi w:val="0"/>
        <w:jc w:val="left"/>
        <w:rPr/>
      </w:pPr>
      <w:r>
        <w:rPr/>
      </w:r>
      <w:bookmarkStart w:id="295" w:name="ef20070588_ex31-1.htm"/>
      <w:bookmarkStart w:id="296" w:name="ksef20070588_ex311"/>
      <w:bookmarkStart w:id="297" w:name="ef20070588_ex31-1.htm"/>
      <w:bookmarkStart w:id="298" w:name="ksef20070588_ex311"/>
      <w:bookmarkEnd w:id="297"/>
      <w:bookmarkEnd w:id="298"/>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Cory T. Newsom, certify that:</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color w:val="000000"/>
              </w:rPr>
            </w:pPr>
            <w:r>
              <w:rPr>
                <w:color w:val="000000"/>
              </w:rPr>
              <w:t>1.</w:t>
            </w:r>
          </w:p>
        </w:tc>
        <w:tc>
          <w:tcPr>
            <w:tcW w:w="9981" w:type="dxa"/>
            <w:tcBorders/>
            <w:vAlign w:val="center"/>
          </w:tcPr>
          <w:p>
            <w:pPr>
              <w:pStyle w:val="TableContents"/>
              <w:bidi w:val="0"/>
              <w:spacing w:before="0" w:after="0"/>
              <w:jc w:val="both"/>
              <w:rPr>
                <w:color w:val="000000"/>
              </w:rPr>
            </w:pPr>
            <w:r>
              <w:rPr>
                <w:color w:val="000000"/>
              </w:rPr>
              <w:t>I have reviewed this Quarterly Report on Form 10-Q of South Plains Financial, Inc. (the “registrant”) for the quarter ended March 31, 2026 (this “report”);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color w:val="000000"/>
              </w:rPr>
            </w:pPr>
            <w:r>
              <w:rPr>
                <w:color w:val="000000"/>
              </w:rPr>
              <w:t>2.</w:t>
            </w:r>
          </w:p>
        </w:tc>
        <w:tc>
          <w:tcPr>
            <w:tcW w:w="10001" w:type="dxa"/>
            <w:tcBorders/>
            <w:vAlign w:val="center"/>
          </w:tcPr>
          <w:p>
            <w:pPr>
              <w:pStyle w:val="TableContents"/>
              <w:bidi w:val="0"/>
              <w:spacing w:before="0" w:after="0"/>
              <w:jc w:val="both"/>
              <w:rPr>
                <w:color w:val="000000"/>
              </w:rPr>
            </w:pPr>
            <w:r>
              <w:rPr>
                <w:color w:val="00000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pPr>
            <w:r>
              <w:rPr/>
              <w:t>3.</w:t>
            </w:r>
          </w:p>
        </w:tc>
        <w:tc>
          <w:tcPr>
            <w:tcW w:w="9999" w:type="dxa"/>
            <w:tcBorders/>
            <w:vAlign w:val="center"/>
          </w:tcPr>
          <w:p>
            <w:pPr>
              <w:pStyle w:val="TableContents"/>
              <w:bidi w:val="0"/>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pPr>
            <w:r>
              <w:rPr/>
              <w:t>4.</w:t>
            </w:r>
          </w:p>
        </w:tc>
        <w:tc>
          <w:tcPr>
            <w:tcW w:w="10002" w:type="dxa"/>
            <w:tcBorders/>
            <w:vAlign w:val="center"/>
          </w:tcPr>
          <w:p>
            <w:pPr>
              <w:pStyle w:val="TableContents"/>
              <w:bidi w:val="0"/>
              <w:spacing w:before="0" w:after="0"/>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05"/>
        <w:gridCol w:w="249"/>
        <w:gridCol w:w="9851"/>
      </w:tblGrid>
      <w:tr>
        <w:trPr/>
        <w:tc>
          <w:tcPr>
            <w:tcW w:w="105"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(a)</w:t>
            </w:r>
          </w:p>
        </w:tc>
        <w:tc>
          <w:tcPr>
            <w:tcW w:w="9851" w:type="dxa"/>
            <w:tcBorders/>
            <w:vAlign w:val="center"/>
          </w:tcPr>
          <w:p>
            <w:pPr>
              <w:pStyle w:val="TableContents"/>
              <w:bidi w:val="0"/>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8"/>
        <w:gridCol w:w="265"/>
        <w:gridCol w:w="9872"/>
      </w:tblGrid>
      <w:tr>
        <w:trPr/>
        <w:tc>
          <w:tcPr>
            <w:tcW w:w="68" w:type="dxa"/>
            <w:tcBorders/>
            <w:vAlign w:val="center"/>
          </w:tcPr>
          <w:p>
            <w:pPr>
              <w:pStyle w:val="TableContents"/>
              <w:bidi w:val="0"/>
              <w:spacing w:before="0" w:after="283"/>
              <w:jc w:val="left"/>
              <w:rPr/>
            </w:pPr>
            <w:r>
              <w:rPr/>
            </w:r>
          </w:p>
        </w:tc>
        <w:tc>
          <w:tcPr>
            <w:tcW w:w="265" w:type="dxa"/>
            <w:tcBorders/>
            <w:vAlign w:val="center"/>
          </w:tcPr>
          <w:p>
            <w:pPr>
              <w:pStyle w:val="TableContents"/>
              <w:bidi w:val="0"/>
              <w:spacing w:before="0" w:after="283"/>
              <w:jc w:val="left"/>
              <w:rPr/>
            </w:pPr>
            <w:r>
              <w:rPr/>
              <w:t>(b)</w:t>
            </w:r>
          </w:p>
        </w:tc>
        <w:tc>
          <w:tcPr>
            <w:tcW w:w="9872" w:type="dxa"/>
            <w:tcBorders/>
            <w:vAlign w:val="center"/>
          </w:tcPr>
          <w:p>
            <w:pPr>
              <w:pStyle w:val="TableContents"/>
              <w:bidi w:val="0"/>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8"/>
        <w:gridCol w:w="256"/>
        <w:gridCol w:w="9881"/>
      </w:tblGrid>
      <w:tr>
        <w:trPr/>
        <w:tc>
          <w:tcPr>
            <w:tcW w:w="68" w:type="dxa"/>
            <w:tcBorders/>
            <w:vAlign w:val="center"/>
          </w:tcPr>
          <w:p>
            <w:pPr>
              <w:pStyle w:val="TableContents"/>
              <w:bidi w:val="0"/>
              <w:spacing w:before="0" w:after="283"/>
              <w:jc w:val="left"/>
              <w:rPr/>
            </w:pPr>
            <w:r>
              <w:rPr/>
            </w:r>
          </w:p>
        </w:tc>
        <w:tc>
          <w:tcPr>
            <w:tcW w:w="256" w:type="dxa"/>
            <w:tcBorders/>
            <w:vAlign w:val="center"/>
          </w:tcPr>
          <w:p>
            <w:pPr>
              <w:pStyle w:val="TableContents"/>
              <w:bidi w:val="0"/>
              <w:spacing w:before="0" w:after="283"/>
              <w:jc w:val="left"/>
              <w:rPr/>
            </w:pPr>
            <w:r>
              <w:rPr/>
              <w:t>(c)</w:t>
            </w:r>
          </w:p>
        </w:tc>
        <w:tc>
          <w:tcPr>
            <w:tcW w:w="9881" w:type="dxa"/>
            <w:tcBorders/>
            <w:vAlign w:val="center"/>
          </w:tcPr>
          <w:p>
            <w:pPr>
              <w:pStyle w:val="TableContents"/>
              <w:bidi w:val="0"/>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8"/>
        <w:gridCol w:w="265"/>
        <w:gridCol w:w="9872"/>
      </w:tblGrid>
      <w:tr>
        <w:trPr/>
        <w:tc>
          <w:tcPr>
            <w:tcW w:w="68" w:type="dxa"/>
            <w:tcBorders/>
            <w:vAlign w:val="center"/>
          </w:tcPr>
          <w:p>
            <w:pPr>
              <w:pStyle w:val="TableContents"/>
              <w:bidi w:val="0"/>
              <w:spacing w:before="0" w:after="283"/>
              <w:jc w:val="left"/>
              <w:rPr/>
            </w:pPr>
            <w:r>
              <w:rPr/>
            </w:r>
          </w:p>
        </w:tc>
        <w:tc>
          <w:tcPr>
            <w:tcW w:w="265" w:type="dxa"/>
            <w:tcBorders/>
            <w:vAlign w:val="center"/>
          </w:tcPr>
          <w:p>
            <w:pPr>
              <w:pStyle w:val="TableContents"/>
              <w:bidi w:val="0"/>
              <w:spacing w:before="0" w:after="283"/>
              <w:jc w:val="left"/>
              <w:rPr/>
            </w:pPr>
            <w:r>
              <w:rPr/>
              <w:t>(d)</w:t>
            </w:r>
          </w:p>
        </w:tc>
        <w:tc>
          <w:tcPr>
            <w:tcW w:w="9872" w:type="dxa"/>
            <w:tcBorders/>
            <w:vAlign w:val="center"/>
          </w:tcPr>
          <w:p>
            <w:pPr>
              <w:pStyle w:val="TableContents"/>
              <w:bidi w:val="0"/>
              <w:spacing w:before="0" w:after="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pPr>
            <w:r>
              <w:rPr/>
              <w:t>5.</w:t>
            </w:r>
          </w:p>
        </w:tc>
        <w:tc>
          <w:tcPr>
            <w:tcW w:w="9999" w:type="dxa"/>
            <w:tcBorders/>
            <w:vAlign w:val="center"/>
          </w:tcPr>
          <w:p>
            <w:pPr>
              <w:pStyle w:val="TableContents"/>
              <w:bidi w:val="0"/>
              <w:spacing w:before="0" w:after="0"/>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8"/>
        <w:gridCol w:w="258"/>
        <w:gridCol w:w="9879"/>
      </w:tblGrid>
      <w:tr>
        <w:trPr/>
        <w:tc>
          <w:tcPr>
            <w:tcW w:w="68" w:type="dxa"/>
            <w:tcBorders/>
            <w:vAlign w:val="center"/>
          </w:tcPr>
          <w:p>
            <w:pPr>
              <w:pStyle w:val="TableContents"/>
              <w:bidi w:val="0"/>
              <w:spacing w:before="0" w:after="283"/>
              <w:jc w:val="left"/>
              <w:rPr/>
            </w:pPr>
            <w:r>
              <w:rPr/>
            </w:r>
          </w:p>
        </w:tc>
        <w:tc>
          <w:tcPr>
            <w:tcW w:w="258" w:type="dxa"/>
            <w:tcBorders/>
            <w:vAlign w:val="center"/>
          </w:tcPr>
          <w:p>
            <w:pPr>
              <w:pStyle w:val="TableContents"/>
              <w:bidi w:val="0"/>
              <w:spacing w:before="0" w:after="283"/>
              <w:jc w:val="left"/>
              <w:rPr/>
            </w:pPr>
            <w:r>
              <w:rPr/>
              <w:t>(a)</w:t>
            </w:r>
          </w:p>
        </w:tc>
        <w:tc>
          <w:tcPr>
            <w:tcW w:w="9879" w:type="dxa"/>
            <w:tcBorders/>
            <w:vAlign w:val="center"/>
          </w:tcPr>
          <w:p>
            <w:pPr>
              <w:pStyle w:val="TableContents"/>
              <w:bidi w:val="0"/>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8"/>
        <w:gridCol w:w="288"/>
        <w:gridCol w:w="9849"/>
      </w:tblGrid>
      <w:tr>
        <w:trPr/>
        <w:tc>
          <w:tcPr>
            <w:tcW w:w="68" w:type="dxa"/>
            <w:tcBorders/>
            <w:vAlign w:val="center"/>
          </w:tcPr>
          <w:p>
            <w:pPr>
              <w:pStyle w:val="TableContents"/>
              <w:bidi w:val="0"/>
              <w:spacing w:before="0" w:after="283"/>
              <w:jc w:val="left"/>
              <w:rPr/>
            </w:pPr>
            <w:r>
              <w:rPr/>
            </w:r>
          </w:p>
        </w:tc>
        <w:tc>
          <w:tcPr>
            <w:tcW w:w="288" w:type="dxa"/>
            <w:tcBorders/>
            <w:vAlign w:val="center"/>
          </w:tcPr>
          <w:p>
            <w:pPr>
              <w:pStyle w:val="TableContents"/>
              <w:bidi w:val="0"/>
              <w:spacing w:before="0" w:after="283"/>
              <w:jc w:val="left"/>
              <w:rPr/>
            </w:pPr>
            <w:r>
              <w:rPr/>
              <w:t>(b)</w:t>
            </w:r>
          </w:p>
        </w:tc>
        <w:tc>
          <w:tcPr>
            <w:tcW w:w="9849" w:type="dxa"/>
            <w:tcBorders/>
            <w:vAlign w:val="center"/>
          </w:tcPr>
          <w:p>
            <w:pPr>
              <w:pStyle w:val="TableContents"/>
              <w:bidi w:val="0"/>
              <w:spacing w:before="0" w:after="0"/>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tbl>
      <w:tblPr>
        <w:tblW w:w="4920" w:type="dxa"/>
        <w:jc w:val="left"/>
        <w:tblInd w:w="0" w:type="dxa"/>
        <w:tblLayout w:type="fixed"/>
        <w:tblCellMar>
          <w:top w:w="0" w:type="dxa"/>
          <w:left w:w="0" w:type="dxa"/>
          <w:bottom w:w="0" w:type="dxa"/>
          <w:right w:w="0" w:type="dxa"/>
        </w:tblCellMar>
      </w:tblPr>
      <w:tblGrid>
        <w:gridCol w:w="1850"/>
        <w:gridCol w:w="395"/>
        <w:gridCol w:w="2675"/>
      </w:tblGrid>
      <w:tr>
        <w:trPr/>
        <w:tc>
          <w:tcPr>
            <w:tcW w:w="1850" w:type="dxa"/>
            <w:tcBorders/>
            <w:vAlign w:val="center"/>
          </w:tcPr>
          <w:p>
            <w:pPr>
              <w:pStyle w:val="TableContents"/>
              <w:bidi w:val="0"/>
              <w:spacing w:before="0" w:after="0"/>
              <w:jc w:val="left"/>
              <w:rPr/>
            </w:pPr>
            <w:r>
              <w:rPr/>
              <w:t>Date: May 5, 2026</w:t>
            </w:r>
          </w:p>
        </w:tc>
        <w:tc>
          <w:tcPr>
            <w:tcW w:w="395" w:type="dxa"/>
            <w:tcBorders/>
            <w:vAlign w:val="center"/>
          </w:tcPr>
          <w:p>
            <w:pPr>
              <w:pStyle w:val="TableContents"/>
              <w:bidi w:val="0"/>
              <w:spacing w:before="0" w:after="0"/>
              <w:jc w:val="left"/>
              <w:rPr/>
            </w:pPr>
            <w:r>
              <w:rPr/>
              <w:t>By:</w:t>
            </w:r>
          </w:p>
        </w:tc>
        <w:tc>
          <w:tcPr>
            <w:tcW w:w="2675" w:type="dxa"/>
            <w:tcBorders>
              <w:bottom w:val="single" w:sz="12" w:space="0" w:color="000000"/>
            </w:tcBorders>
            <w:tcMar>
              <w:bottom w:w="28" w:type="dxa"/>
            </w:tcMar>
            <w:vAlign w:val="center"/>
          </w:tcPr>
          <w:p>
            <w:pPr>
              <w:pStyle w:val="TableContents"/>
              <w:bidi w:val="0"/>
              <w:spacing w:before="0" w:after="0"/>
              <w:jc w:val="center"/>
              <w:rPr/>
            </w:pPr>
            <w:r>
              <w:rPr/>
              <w:t>/s/ Cory T. Newsom</w:t>
            </w:r>
          </w:p>
        </w:tc>
      </w:tr>
      <w:tr>
        <w:trPr/>
        <w:tc>
          <w:tcPr>
            <w:tcW w:w="185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0"/>
              <w:jc w:val="center"/>
              <w:rPr>
                <w:color w:val="000000"/>
              </w:rPr>
            </w:pPr>
            <w:r>
              <w:rPr>
                <w:color w:val="000000"/>
              </w:rPr>
              <w:t>Cory T. Newsom</w:t>
            </w:r>
          </w:p>
        </w:tc>
      </w:tr>
      <w:tr>
        <w:trPr/>
        <w:tc>
          <w:tcPr>
            <w:tcW w:w="185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0"/>
              <w:jc w:val="center"/>
              <w:rPr/>
            </w:pPr>
            <w:r>
              <w:rPr/>
              <w:t>Principal Executive Officer</w:t>
            </w:r>
          </w:p>
        </w:tc>
      </w:tr>
    </w:tbl>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HorizontalLine"/>
        <w:bidi w:val="0"/>
        <w:jc w:val="left"/>
        <w:rPr/>
      </w:pPr>
      <w:r>
        <w:rPr/>
      </w:r>
      <w:bookmarkStart w:id="299" w:name="ef20070588_ex31-2.htm"/>
      <w:bookmarkStart w:id="300" w:name="ksef20070588_ex312"/>
      <w:bookmarkStart w:id="301" w:name="ef20070588_ex31-2.htm"/>
      <w:bookmarkStart w:id="302" w:name="ksef20070588_ex312"/>
      <w:bookmarkEnd w:id="301"/>
      <w:bookmarkEnd w:id="302"/>
      <w:r>
        <w:br w:type="page"/>
      </w:r>
    </w:p>
    <w:p>
      <w:pPr>
        <w:pStyle w:val="TextBody"/>
        <w:bidi w:val="0"/>
        <w:spacing w:before="0" w:after="0"/>
        <w:jc w:val="right"/>
        <w:rPr>
          <w:color w:val="000000"/>
        </w:rPr>
      </w:pPr>
      <w:r>
        <w:rPr>
          <w:color w:val="000000"/>
        </w:rPr>
        <w:drawing>
          <wp:inline distT="0" distB="0" distL="0" distR="0">
            <wp:extent cx="19050" cy="76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
                    <a:stretch>
                      <a:fillRect/>
                    </a:stretch>
                  </pic:blipFill>
                  <pic:spPr bwMode="auto">
                    <a:xfrm>
                      <a:off x="0" y="0"/>
                      <a:ext cx="19050" cy="76200"/>
                    </a:xfrm>
                    <a:prstGeom prst="rect">
                      <a:avLst/>
                    </a:prstGeom>
                  </pic:spPr>
                </pic:pic>
              </a:graphicData>
            </a:graphic>
          </wp:inline>
        </w:drawing>
      </w:r>
      <w:r>
        <w:rPr>
          <w:rFonts w:ascii="Times New Roman" w:hAnsi="Times New Roman"/>
          <w:b/>
          <w:color w:val="000000"/>
          <w:sz w:val="20"/>
        </w:rPr>
        <w:t>Exhibit 31.2</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Steven B. Crockett, certify that:</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pPr>
            <w:r>
              <w:rPr/>
              <w:t>1.</w:t>
            </w:r>
          </w:p>
        </w:tc>
        <w:tc>
          <w:tcPr>
            <w:tcW w:w="9981" w:type="dxa"/>
            <w:tcBorders/>
            <w:vAlign w:val="center"/>
          </w:tcPr>
          <w:p>
            <w:pPr>
              <w:pStyle w:val="TableContents"/>
              <w:bidi w:val="0"/>
              <w:spacing w:before="0" w:after="0"/>
              <w:jc w:val="both"/>
              <w:rPr/>
            </w:pPr>
            <w:r>
              <w:rPr/>
              <w:t>I have reviewed this Quarterly Report on Form 10-Q of South Plains Financial, Inc. (the “registrant”) for the quarter ended March 31, 2026 (this “report”);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pPr>
            <w:r>
              <w:rPr/>
              <w:t>2.</w:t>
            </w:r>
          </w:p>
        </w:tc>
        <w:tc>
          <w:tcPr>
            <w:tcW w:w="10001" w:type="dxa"/>
            <w:tcBorders/>
            <w:vAlign w:val="center"/>
          </w:tcPr>
          <w:p>
            <w:pPr>
              <w:pStyle w:val="TableContents"/>
              <w:bidi w:val="0"/>
              <w:spacing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pPr>
            <w:r>
              <w:rPr/>
              <w:t>3.</w:t>
            </w:r>
          </w:p>
        </w:tc>
        <w:tc>
          <w:tcPr>
            <w:tcW w:w="9999" w:type="dxa"/>
            <w:tcBorders/>
            <w:vAlign w:val="center"/>
          </w:tcPr>
          <w:p>
            <w:pPr>
              <w:pStyle w:val="TableContents"/>
              <w:bidi w:val="0"/>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pPr>
            <w:r>
              <w:rPr/>
              <w:t>4.</w:t>
            </w:r>
          </w:p>
        </w:tc>
        <w:tc>
          <w:tcPr>
            <w:tcW w:w="10002" w:type="dxa"/>
            <w:tcBorders/>
            <w:vAlign w:val="center"/>
          </w:tcPr>
          <w:p>
            <w:pPr>
              <w:pStyle w:val="TableContents"/>
              <w:bidi w:val="0"/>
              <w:spacing w:before="0" w:after="0"/>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8"/>
        <w:gridCol w:w="249"/>
        <w:gridCol w:w="9888"/>
      </w:tblGrid>
      <w:tr>
        <w:trPr/>
        <w:tc>
          <w:tcPr>
            <w:tcW w:w="68" w:type="dxa"/>
            <w:tcBorders/>
            <w:vAlign w:val="center"/>
          </w:tcPr>
          <w:p>
            <w:pPr>
              <w:pStyle w:val="TableContents"/>
              <w:bidi w:val="0"/>
              <w:spacing w:before="0" w:after="283"/>
              <w:jc w:val="left"/>
              <w:rPr/>
            </w:pPr>
            <w:r>
              <w:rPr/>
            </w:r>
          </w:p>
        </w:tc>
        <w:tc>
          <w:tcPr>
            <w:tcW w:w="249" w:type="dxa"/>
            <w:tcBorders/>
            <w:vAlign w:val="center"/>
          </w:tcPr>
          <w:p>
            <w:pPr>
              <w:pStyle w:val="TableContents"/>
              <w:bidi w:val="0"/>
              <w:spacing w:before="0" w:after="283"/>
              <w:jc w:val="left"/>
              <w:rPr/>
            </w:pPr>
            <w:r>
              <w:rPr/>
              <w:t>(a)</w:t>
            </w:r>
          </w:p>
        </w:tc>
        <w:tc>
          <w:tcPr>
            <w:tcW w:w="9888" w:type="dxa"/>
            <w:tcBorders/>
            <w:vAlign w:val="center"/>
          </w:tcPr>
          <w:p>
            <w:pPr>
              <w:pStyle w:val="TableContents"/>
              <w:bidi w:val="0"/>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8"/>
        <w:gridCol w:w="265"/>
        <w:gridCol w:w="9872"/>
      </w:tblGrid>
      <w:tr>
        <w:trPr/>
        <w:tc>
          <w:tcPr>
            <w:tcW w:w="68" w:type="dxa"/>
            <w:tcBorders/>
            <w:vAlign w:val="center"/>
          </w:tcPr>
          <w:p>
            <w:pPr>
              <w:pStyle w:val="TableContents"/>
              <w:bidi w:val="0"/>
              <w:spacing w:before="0" w:after="283"/>
              <w:jc w:val="left"/>
              <w:rPr/>
            </w:pPr>
            <w:r>
              <w:rPr/>
            </w:r>
          </w:p>
        </w:tc>
        <w:tc>
          <w:tcPr>
            <w:tcW w:w="265" w:type="dxa"/>
            <w:tcBorders/>
            <w:vAlign w:val="center"/>
          </w:tcPr>
          <w:p>
            <w:pPr>
              <w:pStyle w:val="TableContents"/>
              <w:bidi w:val="0"/>
              <w:spacing w:before="0" w:after="283"/>
              <w:jc w:val="left"/>
              <w:rPr/>
            </w:pPr>
            <w:r>
              <w:rPr/>
              <w:t>(b)</w:t>
            </w:r>
          </w:p>
        </w:tc>
        <w:tc>
          <w:tcPr>
            <w:tcW w:w="9872" w:type="dxa"/>
            <w:tcBorders/>
            <w:vAlign w:val="center"/>
          </w:tcPr>
          <w:p>
            <w:pPr>
              <w:pStyle w:val="TableContents"/>
              <w:bidi w:val="0"/>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8"/>
        <w:gridCol w:w="256"/>
        <w:gridCol w:w="9881"/>
      </w:tblGrid>
      <w:tr>
        <w:trPr/>
        <w:tc>
          <w:tcPr>
            <w:tcW w:w="68" w:type="dxa"/>
            <w:tcBorders/>
            <w:vAlign w:val="center"/>
          </w:tcPr>
          <w:p>
            <w:pPr>
              <w:pStyle w:val="TableContents"/>
              <w:bidi w:val="0"/>
              <w:spacing w:before="0" w:after="283"/>
              <w:jc w:val="left"/>
              <w:rPr/>
            </w:pPr>
            <w:r>
              <w:rPr/>
            </w:r>
          </w:p>
        </w:tc>
        <w:tc>
          <w:tcPr>
            <w:tcW w:w="256" w:type="dxa"/>
            <w:tcBorders/>
            <w:vAlign w:val="center"/>
          </w:tcPr>
          <w:p>
            <w:pPr>
              <w:pStyle w:val="TableContents"/>
              <w:bidi w:val="0"/>
              <w:spacing w:before="0" w:after="283"/>
              <w:jc w:val="left"/>
              <w:rPr/>
            </w:pPr>
            <w:r>
              <w:rPr/>
              <w:t>(c)</w:t>
            </w:r>
          </w:p>
        </w:tc>
        <w:tc>
          <w:tcPr>
            <w:tcW w:w="9881" w:type="dxa"/>
            <w:tcBorders/>
            <w:vAlign w:val="center"/>
          </w:tcPr>
          <w:p>
            <w:pPr>
              <w:pStyle w:val="TableContents"/>
              <w:bidi w:val="0"/>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8"/>
        <w:gridCol w:w="265"/>
        <w:gridCol w:w="9872"/>
      </w:tblGrid>
      <w:tr>
        <w:trPr/>
        <w:tc>
          <w:tcPr>
            <w:tcW w:w="68" w:type="dxa"/>
            <w:tcBorders/>
            <w:vAlign w:val="center"/>
          </w:tcPr>
          <w:p>
            <w:pPr>
              <w:pStyle w:val="TableContents"/>
              <w:bidi w:val="0"/>
              <w:spacing w:before="0" w:after="283"/>
              <w:jc w:val="left"/>
              <w:rPr/>
            </w:pPr>
            <w:r>
              <w:rPr/>
            </w:r>
          </w:p>
        </w:tc>
        <w:tc>
          <w:tcPr>
            <w:tcW w:w="265" w:type="dxa"/>
            <w:tcBorders/>
            <w:vAlign w:val="center"/>
          </w:tcPr>
          <w:p>
            <w:pPr>
              <w:pStyle w:val="TableContents"/>
              <w:bidi w:val="0"/>
              <w:spacing w:before="0" w:after="283"/>
              <w:jc w:val="left"/>
              <w:rPr/>
            </w:pPr>
            <w:r>
              <w:rPr/>
              <w:t>(d)</w:t>
            </w:r>
          </w:p>
        </w:tc>
        <w:tc>
          <w:tcPr>
            <w:tcW w:w="9872" w:type="dxa"/>
            <w:tcBorders/>
            <w:vAlign w:val="center"/>
          </w:tcPr>
          <w:p>
            <w:pPr>
              <w:pStyle w:val="TableContents"/>
              <w:bidi w:val="0"/>
              <w:spacing w:before="0" w:after="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pPr>
            <w:r>
              <w:rPr/>
              <w:t>5.</w:t>
            </w:r>
          </w:p>
        </w:tc>
        <w:tc>
          <w:tcPr>
            <w:tcW w:w="9999" w:type="dxa"/>
            <w:tcBorders/>
            <w:vAlign w:val="center"/>
          </w:tcPr>
          <w:p>
            <w:pPr>
              <w:pStyle w:val="TableContents"/>
              <w:bidi w:val="0"/>
              <w:spacing w:before="0" w:after="0"/>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8"/>
        <w:gridCol w:w="258"/>
        <w:gridCol w:w="9879"/>
      </w:tblGrid>
      <w:tr>
        <w:trPr/>
        <w:tc>
          <w:tcPr>
            <w:tcW w:w="68" w:type="dxa"/>
            <w:tcBorders/>
            <w:vAlign w:val="center"/>
          </w:tcPr>
          <w:p>
            <w:pPr>
              <w:pStyle w:val="TableContents"/>
              <w:bidi w:val="0"/>
              <w:spacing w:before="0" w:after="283"/>
              <w:jc w:val="left"/>
              <w:rPr/>
            </w:pPr>
            <w:r>
              <w:rPr/>
            </w:r>
          </w:p>
        </w:tc>
        <w:tc>
          <w:tcPr>
            <w:tcW w:w="258" w:type="dxa"/>
            <w:tcBorders/>
            <w:vAlign w:val="center"/>
          </w:tcPr>
          <w:p>
            <w:pPr>
              <w:pStyle w:val="TableContents"/>
              <w:bidi w:val="0"/>
              <w:spacing w:before="0" w:after="283"/>
              <w:jc w:val="left"/>
              <w:rPr/>
            </w:pPr>
            <w:r>
              <w:rPr/>
              <w:t>(a)</w:t>
            </w:r>
          </w:p>
        </w:tc>
        <w:tc>
          <w:tcPr>
            <w:tcW w:w="9879" w:type="dxa"/>
            <w:tcBorders/>
            <w:vAlign w:val="center"/>
          </w:tcPr>
          <w:p>
            <w:pPr>
              <w:pStyle w:val="TableContents"/>
              <w:bidi w:val="0"/>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8"/>
        <w:gridCol w:w="288"/>
        <w:gridCol w:w="9849"/>
      </w:tblGrid>
      <w:tr>
        <w:trPr/>
        <w:tc>
          <w:tcPr>
            <w:tcW w:w="68" w:type="dxa"/>
            <w:tcBorders/>
            <w:vAlign w:val="center"/>
          </w:tcPr>
          <w:p>
            <w:pPr>
              <w:pStyle w:val="TableContents"/>
              <w:bidi w:val="0"/>
              <w:spacing w:before="0" w:after="283"/>
              <w:jc w:val="left"/>
              <w:rPr/>
            </w:pPr>
            <w:r>
              <w:rPr/>
            </w:r>
          </w:p>
        </w:tc>
        <w:tc>
          <w:tcPr>
            <w:tcW w:w="288" w:type="dxa"/>
            <w:tcBorders/>
            <w:vAlign w:val="center"/>
          </w:tcPr>
          <w:p>
            <w:pPr>
              <w:pStyle w:val="TableContents"/>
              <w:bidi w:val="0"/>
              <w:spacing w:before="0" w:after="283"/>
              <w:jc w:val="left"/>
              <w:rPr/>
            </w:pPr>
            <w:r>
              <w:rPr/>
              <w:t>(b)</w:t>
            </w:r>
          </w:p>
        </w:tc>
        <w:tc>
          <w:tcPr>
            <w:tcW w:w="9849" w:type="dxa"/>
            <w:tcBorders/>
            <w:vAlign w:val="center"/>
          </w:tcPr>
          <w:p>
            <w:pPr>
              <w:pStyle w:val="TableContents"/>
              <w:bidi w:val="0"/>
              <w:spacing w:before="0" w:after="0"/>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tbl>
      <w:tblPr>
        <w:tblW w:w="4530" w:type="dxa"/>
        <w:jc w:val="left"/>
        <w:tblInd w:w="0" w:type="dxa"/>
        <w:tblLayout w:type="fixed"/>
        <w:tblCellMar>
          <w:top w:w="0" w:type="dxa"/>
          <w:left w:w="0" w:type="dxa"/>
          <w:bottom w:w="0" w:type="dxa"/>
          <w:right w:w="0" w:type="dxa"/>
        </w:tblCellMar>
      </w:tblPr>
      <w:tblGrid>
        <w:gridCol w:w="1850"/>
        <w:gridCol w:w="395"/>
        <w:gridCol w:w="2285"/>
      </w:tblGrid>
      <w:tr>
        <w:trPr/>
        <w:tc>
          <w:tcPr>
            <w:tcW w:w="1850" w:type="dxa"/>
            <w:tcBorders/>
            <w:vAlign w:val="center"/>
          </w:tcPr>
          <w:p>
            <w:pPr>
              <w:pStyle w:val="TableContents"/>
              <w:bidi w:val="0"/>
              <w:spacing w:before="0" w:after="0"/>
              <w:jc w:val="left"/>
              <w:rPr/>
            </w:pPr>
            <w:r>
              <w:rPr/>
              <w:t>Date: May 5, 2026</w:t>
            </w:r>
          </w:p>
        </w:tc>
        <w:tc>
          <w:tcPr>
            <w:tcW w:w="395" w:type="dxa"/>
            <w:tcBorders/>
            <w:vAlign w:val="center"/>
          </w:tcPr>
          <w:p>
            <w:pPr>
              <w:pStyle w:val="TableContents"/>
              <w:bidi w:val="0"/>
              <w:spacing w:before="0" w:after="0"/>
              <w:jc w:val="left"/>
              <w:rPr/>
            </w:pPr>
            <w:r>
              <w:rPr/>
              <w:t>By:</w:t>
            </w:r>
          </w:p>
        </w:tc>
        <w:tc>
          <w:tcPr>
            <w:tcW w:w="2285" w:type="dxa"/>
            <w:tcBorders>
              <w:bottom w:val="single" w:sz="12" w:space="0" w:color="000000"/>
            </w:tcBorders>
            <w:tcMar>
              <w:bottom w:w="28" w:type="dxa"/>
            </w:tcMar>
            <w:vAlign w:val="center"/>
          </w:tcPr>
          <w:p>
            <w:pPr>
              <w:pStyle w:val="TableContents"/>
              <w:bidi w:val="0"/>
              <w:spacing w:before="0" w:after="0"/>
              <w:jc w:val="center"/>
              <w:rPr/>
            </w:pPr>
            <w:r>
              <w:rPr/>
              <w:t>/s/ Steven B. Crockett</w:t>
            </w:r>
          </w:p>
        </w:tc>
      </w:tr>
      <w:tr>
        <w:trPr/>
        <w:tc>
          <w:tcPr>
            <w:tcW w:w="185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center"/>
              <w:rPr/>
            </w:pPr>
            <w:r>
              <w:rPr/>
              <w:t>Steven B. Crockett</w:t>
            </w:r>
          </w:p>
        </w:tc>
      </w:tr>
      <w:tr>
        <w:trPr/>
        <w:tc>
          <w:tcPr>
            <w:tcW w:w="185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center"/>
              <w:rPr/>
            </w:pPr>
            <w:r>
              <w:rPr/>
              <w:t>Chief Financial Officer</w:t>
            </w:r>
          </w:p>
        </w:tc>
      </w:tr>
    </w:tbl>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HorizontalLine"/>
        <w:bidi w:val="0"/>
        <w:jc w:val="left"/>
        <w:rPr/>
      </w:pPr>
      <w:r>
        <w:rPr/>
      </w:r>
      <w:bookmarkStart w:id="303" w:name="ef20070588_ex32-1.htm"/>
      <w:bookmarkStart w:id="304" w:name="ksef20070588_ex321"/>
      <w:bookmarkStart w:id="305" w:name="ef20070588_ex32-1.htm"/>
      <w:bookmarkStart w:id="306" w:name="ksef20070588_ex321"/>
      <w:bookmarkEnd w:id="305"/>
      <w:bookmarkEnd w:id="306"/>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Quarterly Report on Form 10-Q of South Plains Financial, Inc. (the “Company”) for the quarter ended March 31, 2026 (the “Report”), as filed with the Securities and Exchange Commission on the date hereof, I certify, pursuant to 18 U.S.C. § 1350, as adopted pursuant to § 906 of the Sarbanes-Oxley Act of 2002, that to the best of my knowledge:</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05"/>
        <w:gridCol w:w="298"/>
        <w:gridCol w:w="9802"/>
      </w:tblGrid>
      <w:tr>
        <w:trPr/>
        <w:tc>
          <w:tcPr>
            <w:tcW w:w="105"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(1)</w:t>
            </w:r>
          </w:p>
        </w:tc>
        <w:tc>
          <w:tcPr>
            <w:tcW w:w="9802" w:type="dxa"/>
            <w:tcBorders/>
            <w:vAlign w:val="center"/>
          </w:tcPr>
          <w:p>
            <w:pPr>
              <w:pStyle w:val="TableContents"/>
              <w:bidi w:val="0"/>
              <w:spacing w:before="0" w:after="0"/>
              <w:jc w:val="both"/>
              <w:rPr/>
            </w:pPr>
            <w:r>
              <w:rPr/>
              <w:t>The Report fully complies with the requirements of Section 13(a) or Section 15(d) of the Securities Exchange Act of 1934, as amended;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8"/>
        <w:gridCol w:w="296"/>
        <w:gridCol w:w="9841"/>
      </w:tblGrid>
      <w:tr>
        <w:trPr/>
        <w:tc>
          <w:tcPr>
            <w:tcW w:w="68" w:type="dxa"/>
            <w:tcBorders/>
            <w:vAlign w:val="center"/>
          </w:tcPr>
          <w:p>
            <w:pPr>
              <w:pStyle w:val="TableContents"/>
              <w:bidi w:val="0"/>
              <w:spacing w:before="0" w:after="283"/>
              <w:jc w:val="left"/>
              <w:rPr/>
            </w:pPr>
            <w:r>
              <w:rPr/>
            </w:r>
          </w:p>
        </w:tc>
        <w:tc>
          <w:tcPr>
            <w:tcW w:w="296" w:type="dxa"/>
            <w:tcBorders/>
            <w:vAlign w:val="center"/>
          </w:tcPr>
          <w:p>
            <w:pPr>
              <w:pStyle w:val="TableContents"/>
              <w:bidi w:val="0"/>
              <w:spacing w:before="0" w:after="283"/>
              <w:jc w:val="left"/>
              <w:rPr/>
            </w:pPr>
            <w:r>
              <w:rPr/>
              <w:t>(2)</w:t>
            </w:r>
          </w:p>
        </w:tc>
        <w:tc>
          <w:tcPr>
            <w:tcW w:w="9841" w:type="dxa"/>
            <w:tcBorders/>
            <w:vAlign w:val="center"/>
          </w:tcPr>
          <w:p>
            <w:pPr>
              <w:pStyle w:val="TableContents"/>
              <w:bidi w:val="0"/>
              <w:spacing w:before="0" w:after="0"/>
              <w:jc w:val="both"/>
              <w:rPr/>
            </w:pPr>
            <w:r>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4920" w:type="dxa"/>
        <w:jc w:val="left"/>
        <w:tblInd w:w="0" w:type="dxa"/>
        <w:tblLayout w:type="fixed"/>
        <w:tblCellMar>
          <w:top w:w="0" w:type="dxa"/>
          <w:left w:w="0" w:type="dxa"/>
          <w:bottom w:w="0" w:type="dxa"/>
          <w:right w:w="0" w:type="dxa"/>
        </w:tblCellMar>
      </w:tblPr>
      <w:tblGrid>
        <w:gridCol w:w="1850"/>
        <w:gridCol w:w="395"/>
        <w:gridCol w:w="2675"/>
      </w:tblGrid>
      <w:tr>
        <w:trPr/>
        <w:tc>
          <w:tcPr>
            <w:tcW w:w="1850" w:type="dxa"/>
            <w:tcBorders/>
            <w:vAlign w:val="center"/>
          </w:tcPr>
          <w:p>
            <w:pPr>
              <w:pStyle w:val="TableContents"/>
              <w:bidi w:val="0"/>
              <w:spacing w:before="0" w:after="0"/>
              <w:jc w:val="left"/>
              <w:rPr/>
            </w:pPr>
            <w:r>
              <w:rPr/>
              <w:t>Date: May 5, 2026</w:t>
            </w:r>
          </w:p>
        </w:tc>
        <w:tc>
          <w:tcPr>
            <w:tcW w:w="395" w:type="dxa"/>
            <w:tcBorders/>
            <w:vAlign w:val="center"/>
          </w:tcPr>
          <w:p>
            <w:pPr>
              <w:pStyle w:val="TableContents"/>
              <w:bidi w:val="0"/>
              <w:spacing w:before="0" w:after="0"/>
              <w:jc w:val="left"/>
              <w:rPr/>
            </w:pPr>
            <w:r>
              <w:rPr/>
              <w:t>By:</w:t>
            </w:r>
          </w:p>
        </w:tc>
        <w:tc>
          <w:tcPr>
            <w:tcW w:w="2675" w:type="dxa"/>
            <w:tcBorders>
              <w:bottom w:val="single" w:sz="12" w:space="0" w:color="000000"/>
            </w:tcBorders>
            <w:tcMar>
              <w:bottom w:w="28" w:type="dxa"/>
            </w:tcMar>
            <w:vAlign w:val="center"/>
          </w:tcPr>
          <w:p>
            <w:pPr>
              <w:pStyle w:val="TableContents"/>
              <w:bidi w:val="0"/>
              <w:spacing w:before="0" w:after="0"/>
              <w:jc w:val="center"/>
              <w:rPr/>
            </w:pPr>
            <w:r>
              <w:rPr/>
              <w:t>/s/ Cory T. Newsom</w:t>
            </w:r>
          </w:p>
        </w:tc>
      </w:tr>
      <w:tr>
        <w:trPr/>
        <w:tc>
          <w:tcPr>
            <w:tcW w:w="185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0"/>
              <w:jc w:val="center"/>
              <w:rPr>
                <w:color w:val="000000"/>
              </w:rPr>
            </w:pPr>
            <w:r>
              <w:rPr>
                <w:color w:val="000000"/>
              </w:rPr>
              <w:t>Cory T. Newsom</w:t>
            </w:r>
          </w:p>
        </w:tc>
      </w:tr>
      <w:tr>
        <w:trPr/>
        <w:tc>
          <w:tcPr>
            <w:tcW w:w="185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0"/>
              <w:jc w:val="center"/>
              <w:rPr/>
            </w:pPr>
            <w:r>
              <w:rPr/>
              <w:t>Principal Executive Officer</w:t>
            </w:r>
          </w:p>
        </w:tc>
      </w:tr>
    </w:tbl>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HorizontalLine"/>
        <w:bidi w:val="0"/>
        <w:jc w:val="left"/>
        <w:rPr/>
      </w:pPr>
      <w:r>
        <w:rPr/>
      </w:r>
      <w:bookmarkStart w:id="307" w:name="ef20070588_ex32-2.htm"/>
      <w:bookmarkStart w:id="308" w:name="ksef20070588_ex322"/>
      <w:bookmarkStart w:id="309" w:name="ef20070588_ex32-2.htm"/>
      <w:bookmarkStart w:id="310" w:name="ksef20070588_ex322"/>
      <w:bookmarkEnd w:id="309"/>
      <w:bookmarkEnd w:id="310"/>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Quarterly Report on Form 10-Q of South Plains Financial, Inc. (the “Company”) for the quarter ended March 31, 2026 (the “Report”), as filed with the Securities and Exchange Commission on the date hereof, I certify, pursuant to 18 U.S.C. § 1350, as adopted pursuant to § 906 of the Sarbanes-Oxley Act of 2002, that to the best of my knowledge:</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8"/>
        <w:gridCol w:w="298"/>
        <w:gridCol w:w="9839"/>
      </w:tblGrid>
      <w:tr>
        <w:trPr/>
        <w:tc>
          <w:tcPr>
            <w:tcW w:w="68" w:type="dxa"/>
            <w:tcBorders/>
            <w:vAlign w:val="center"/>
          </w:tcPr>
          <w:p>
            <w:pPr>
              <w:pStyle w:val="TableContents"/>
              <w:bidi w:val="0"/>
              <w:spacing w:before="0" w:after="283"/>
              <w:jc w:val="left"/>
              <w:rPr/>
            </w:pPr>
            <w:r>
              <w:rPr/>
            </w:r>
          </w:p>
        </w:tc>
        <w:tc>
          <w:tcPr>
            <w:tcW w:w="298" w:type="dxa"/>
            <w:tcBorders/>
            <w:vAlign w:val="center"/>
          </w:tcPr>
          <w:p>
            <w:pPr>
              <w:pStyle w:val="TableContents"/>
              <w:bidi w:val="0"/>
              <w:spacing w:before="0" w:after="283"/>
              <w:jc w:val="left"/>
              <w:rPr/>
            </w:pPr>
            <w:r>
              <w:rPr/>
              <w:t>(1)</w:t>
            </w:r>
          </w:p>
        </w:tc>
        <w:tc>
          <w:tcPr>
            <w:tcW w:w="9839" w:type="dxa"/>
            <w:tcBorders/>
            <w:vAlign w:val="center"/>
          </w:tcPr>
          <w:p>
            <w:pPr>
              <w:pStyle w:val="TableContents"/>
              <w:bidi w:val="0"/>
              <w:spacing w:before="0" w:after="0"/>
              <w:jc w:val="both"/>
              <w:rPr/>
            </w:pPr>
            <w:r>
              <w:rPr/>
              <w:t>The Report fully complies with the requirements of Section 13(a) or Section 15(d) of the Securities Exchange Act of 1934, as amended;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8"/>
        <w:gridCol w:w="296"/>
        <w:gridCol w:w="9841"/>
      </w:tblGrid>
      <w:tr>
        <w:trPr/>
        <w:tc>
          <w:tcPr>
            <w:tcW w:w="68" w:type="dxa"/>
            <w:tcBorders/>
            <w:vAlign w:val="center"/>
          </w:tcPr>
          <w:p>
            <w:pPr>
              <w:pStyle w:val="TableContents"/>
              <w:bidi w:val="0"/>
              <w:spacing w:before="0" w:after="283"/>
              <w:jc w:val="left"/>
              <w:rPr/>
            </w:pPr>
            <w:r>
              <w:rPr/>
            </w:r>
          </w:p>
        </w:tc>
        <w:tc>
          <w:tcPr>
            <w:tcW w:w="296" w:type="dxa"/>
            <w:tcBorders/>
            <w:vAlign w:val="center"/>
          </w:tcPr>
          <w:p>
            <w:pPr>
              <w:pStyle w:val="TableContents"/>
              <w:bidi w:val="0"/>
              <w:spacing w:before="0" w:after="283"/>
              <w:jc w:val="left"/>
              <w:rPr/>
            </w:pPr>
            <w:r>
              <w:rPr/>
              <w:t>(2)</w:t>
            </w:r>
          </w:p>
        </w:tc>
        <w:tc>
          <w:tcPr>
            <w:tcW w:w="9841" w:type="dxa"/>
            <w:tcBorders/>
            <w:vAlign w:val="center"/>
          </w:tcPr>
          <w:p>
            <w:pPr>
              <w:pStyle w:val="TableContents"/>
              <w:bidi w:val="0"/>
              <w:spacing w:before="0" w:after="0"/>
              <w:jc w:val="both"/>
              <w:rPr/>
            </w:pPr>
            <w:r>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4530" w:type="dxa"/>
        <w:jc w:val="left"/>
        <w:tblInd w:w="0" w:type="dxa"/>
        <w:tblLayout w:type="fixed"/>
        <w:tblCellMar>
          <w:top w:w="0" w:type="dxa"/>
          <w:left w:w="0" w:type="dxa"/>
          <w:bottom w:w="0" w:type="dxa"/>
          <w:right w:w="0" w:type="dxa"/>
        </w:tblCellMar>
      </w:tblPr>
      <w:tblGrid>
        <w:gridCol w:w="1850"/>
        <w:gridCol w:w="395"/>
        <w:gridCol w:w="2285"/>
      </w:tblGrid>
      <w:tr>
        <w:trPr/>
        <w:tc>
          <w:tcPr>
            <w:tcW w:w="1850" w:type="dxa"/>
            <w:tcBorders/>
            <w:vAlign w:val="center"/>
          </w:tcPr>
          <w:p>
            <w:pPr>
              <w:pStyle w:val="TableContents"/>
              <w:bidi w:val="0"/>
              <w:spacing w:before="0" w:after="0"/>
              <w:jc w:val="left"/>
              <w:rPr/>
            </w:pPr>
            <w:r>
              <w:rPr/>
              <w:t>Date: May 5, 2026</w:t>
            </w:r>
          </w:p>
        </w:tc>
        <w:tc>
          <w:tcPr>
            <w:tcW w:w="395" w:type="dxa"/>
            <w:tcBorders/>
            <w:vAlign w:val="center"/>
          </w:tcPr>
          <w:p>
            <w:pPr>
              <w:pStyle w:val="TableContents"/>
              <w:bidi w:val="0"/>
              <w:spacing w:before="0" w:after="0"/>
              <w:jc w:val="left"/>
              <w:rPr/>
            </w:pPr>
            <w:r>
              <w:rPr/>
              <w:t>By:</w:t>
            </w:r>
          </w:p>
        </w:tc>
        <w:tc>
          <w:tcPr>
            <w:tcW w:w="2285" w:type="dxa"/>
            <w:tcBorders>
              <w:bottom w:val="single" w:sz="12" w:space="0" w:color="000000"/>
            </w:tcBorders>
            <w:tcMar>
              <w:bottom w:w="28" w:type="dxa"/>
            </w:tcMar>
            <w:vAlign w:val="center"/>
          </w:tcPr>
          <w:p>
            <w:pPr>
              <w:pStyle w:val="TableContents"/>
              <w:bidi w:val="0"/>
              <w:spacing w:before="0" w:after="0"/>
              <w:jc w:val="center"/>
              <w:rPr/>
            </w:pPr>
            <w:r>
              <w:rPr/>
              <w:t>/s/ Steven B. Crockett</w:t>
            </w:r>
          </w:p>
        </w:tc>
      </w:tr>
      <w:tr>
        <w:trPr/>
        <w:tc>
          <w:tcPr>
            <w:tcW w:w="185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center"/>
              <w:rPr/>
            </w:pPr>
            <w:r>
              <w:rPr/>
              <w:t>Steven B. Crockett</w:t>
            </w:r>
          </w:p>
        </w:tc>
      </w:tr>
      <w:tr>
        <w:trPr/>
        <w:tc>
          <w:tcPr>
            <w:tcW w:w="185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center"/>
              <w:rPr/>
            </w:pPr>
            <w:r>
              <w:rPr/>
              <w:t>Chief Financial Officer</w:t>
            </w:r>
          </w:p>
        </w:tc>
      </w:tr>
    </w:tbl>
    <w:p>
      <w:pPr>
        <w:pStyle w:val="TextBody"/>
        <w:bidi w:val="0"/>
        <w:spacing w:before="0" w:after="0"/>
        <w:jc w:val="left"/>
        <w:rPr/>
      </w:pPr>
      <w:r>
        <w:rPr/>
      </w:r>
    </w:p>
    <w:p>
      <w:pPr>
        <w:pStyle w:val="TextBody"/>
        <w:bidi w:val="0"/>
        <w:spacing w:before="0" w:after="0"/>
        <w:jc w:val="left"/>
        <w:rPr/>
      </w:pPr>
      <w:r>
        <w:rPr/>
      </w:r>
    </w:p>
    <w:p>
      <w:pPr>
        <w:pStyle w:val="HorizontalLine"/>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63668/000114036119007042/s002614x4_ex3-1.htm" TargetMode="External"/><Relationship Id="rId3" Type="http://schemas.openxmlformats.org/officeDocument/2006/relationships/hyperlink" Target="https://www.sec.gov/Archives/edgar/data/1163668/000114036125032756/ef20054566_ex3-1.htm" TargetMode="External"/><Relationship Id="rId4" Type="http://schemas.openxmlformats.org/officeDocument/2006/relationships/hyperlink" Target="https://www.sec.gov/Archives/edgar/data/1163668/000114036126012794/ef20069677_ex10-1.htm" TargetMode="Externa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29356</Words>
  <Characters>160705</Characters>
  <CharactersWithSpaces>195951</CharactersWithSpaces>
  <Paragraphs>16244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