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8197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819785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Griffith Curtis C</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200"/>
              <w:spacing w:after="0"/>
              <w:rPr>
                <w:sz w:val="20"/>
                <w:szCs w:val="20"/>
                <w:color w:val="auto"/>
              </w:rPr>
            </w:pPr>
            <w:r>
              <w:rPr>
                <w:rFonts w:ascii="Arial" w:cs="Arial" w:eastAsia="Arial" w:hAnsi="Arial"/>
                <w:sz w:val="14"/>
                <w:szCs w:val="14"/>
                <w:color w:val="auto"/>
              </w:rPr>
              <w:t>(First)</w:t>
            </w:r>
          </w:p>
        </w:tc>
        <w:tc>
          <w:tcPr>
            <w:tcW w:w="1300" w:type="dxa"/>
            <w:vAlign w:val="bottom"/>
          </w:tcPr>
          <w:p>
            <w:pPr>
              <w:ind w:left="1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w w:val="98"/>
              </w:rPr>
              <w:t>5219 CITY BANK PARKWAY</w:t>
            </w:r>
          </w:p>
        </w:tc>
        <w:tc>
          <w:tcPr>
            <w:tcW w:w="130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LUBBOCK</w:t>
            </w:r>
          </w:p>
        </w:tc>
        <w:tc>
          <w:tcPr>
            <w:tcW w:w="1300" w:type="dxa"/>
            <w:vAlign w:val="bottom"/>
          </w:tcPr>
          <w:p>
            <w:pPr>
              <w:ind w:left="200"/>
              <w:spacing w:after="0"/>
              <w:rPr>
                <w:sz w:val="20"/>
                <w:szCs w:val="20"/>
                <w:color w:val="auto"/>
              </w:rPr>
            </w:pPr>
            <w:r>
              <w:rPr>
                <w:rFonts w:ascii="Arial" w:cs="Arial" w:eastAsia="Arial" w:hAnsi="Arial"/>
                <w:sz w:val="18"/>
                <w:szCs w:val="18"/>
                <w:color w:val="0000FF"/>
              </w:rPr>
              <w:t>TX</w:t>
            </w:r>
          </w:p>
        </w:tc>
        <w:tc>
          <w:tcPr>
            <w:tcW w:w="1300" w:type="dxa"/>
            <w:vAlign w:val="bottom"/>
          </w:tcPr>
          <w:p>
            <w:pPr>
              <w:ind w:left="120"/>
              <w:spacing w:after="0"/>
              <w:rPr>
                <w:sz w:val="20"/>
                <w:szCs w:val="20"/>
                <w:color w:val="auto"/>
              </w:rPr>
            </w:pPr>
            <w:r>
              <w:rPr>
                <w:rFonts w:ascii="Arial" w:cs="Arial" w:eastAsia="Arial" w:hAnsi="Arial"/>
                <w:sz w:val="18"/>
                <w:szCs w:val="18"/>
                <w:color w:val="0000FF"/>
              </w:rPr>
              <w:t>79407-3544</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200"/>
              <w:spacing w:after="0"/>
              <w:rPr>
                <w:sz w:val="20"/>
                <w:szCs w:val="20"/>
                <w:color w:val="auto"/>
              </w:rPr>
            </w:pPr>
            <w:r>
              <w:rPr>
                <w:rFonts w:ascii="Arial" w:cs="Arial" w:eastAsia="Arial" w:hAnsi="Arial"/>
                <w:sz w:val="14"/>
                <w:szCs w:val="14"/>
                <w:color w:val="auto"/>
              </w:rPr>
              <w:t>(State)</w:t>
            </w:r>
          </w:p>
        </w:tc>
        <w:tc>
          <w:tcPr>
            <w:tcW w:w="1300" w:type="dxa"/>
            <w:vAlign w:val="bottom"/>
          </w:tcPr>
          <w:p>
            <w:pPr>
              <w:ind w:left="1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2"/>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SOUTH PLAINS FINANCIAL, INC. </w:t>
              </w:r>
            </w:hyperlink>
            <w:r>
              <w:rPr>
                <w:rFonts w:ascii="Arial" w:cs="Arial" w:eastAsia="Arial" w:hAnsi="Arial"/>
                <w:sz w:val="16"/>
                <w:szCs w:val="16"/>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3280" w:type="dxa"/>
            <w:vAlign w:val="bottom"/>
            <w:tcBorders>
              <w:bottom w:val="single" w:sz="8" w:color="0000EE"/>
            </w:tcBorders>
          </w:tcPr>
          <w:p>
            <w:pPr>
              <w:spacing w:after="0"/>
              <w:rPr>
                <w:sz w:val="3"/>
                <w:szCs w:val="3"/>
                <w:color w:val="auto"/>
              </w:rPr>
            </w:pPr>
          </w:p>
        </w:tc>
        <w:tc>
          <w:tcPr>
            <w:tcW w:w="480" w:type="dxa"/>
            <w:vAlign w:val="bottom"/>
          </w:tcPr>
          <w:p>
            <w:pPr>
              <w:spacing w:after="0"/>
              <w:rPr>
                <w:sz w:val="3"/>
                <w:szCs w:val="3"/>
                <w:color w:val="auto"/>
              </w:rPr>
            </w:pPr>
          </w:p>
        </w:tc>
        <w:tc>
          <w:tcPr>
            <w:tcW w:w="1680" w:type="dxa"/>
            <w:vAlign w:val="bottom"/>
            <w:gridSpan w:val="2"/>
            <w:vMerge w:val="restart"/>
          </w:tcPr>
          <w:p>
            <w:pPr>
              <w:ind w:left="2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760" w:type="dxa"/>
            <w:vAlign w:val="bottom"/>
            <w:gridSpan w:val="2"/>
          </w:tcPr>
          <w:p>
            <w:pPr>
              <w:spacing w:after="0" w:line="226" w:lineRule="exact"/>
              <w:rPr>
                <w:sz w:val="20"/>
                <w:szCs w:val="20"/>
                <w:color w:val="auto"/>
              </w:rPr>
            </w:pPr>
            <w:r>
              <w:rPr>
                <w:rFonts w:ascii="Arial" w:cs="Arial" w:eastAsia="Arial" w:hAnsi="Arial"/>
                <w:sz w:val="18"/>
                <w:szCs w:val="18"/>
                <w:color w:val="0000FF"/>
              </w:rPr>
              <w:t xml:space="preserve">SPFI </w:t>
            </w:r>
            <w:r>
              <w:rPr>
                <w:rFonts w:ascii="Arial" w:cs="Arial" w:eastAsia="Arial" w:hAnsi="Arial"/>
                <w:sz w:val="21"/>
                <w:szCs w:val="21"/>
                <w:color w:val="000000"/>
              </w:rPr>
              <w:t>]</w:t>
            </w:r>
          </w:p>
        </w:tc>
        <w:tc>
          <w:tcPr>
            <w:tcW w:w="1680" w:type="dxa"/>
            <w:vAlign w:val="bottom"/>
            <w:gridSpan w:val="2"/>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80" w:type="dxa"/>
            <w:vAlign w:val="bottom"/>
            <w:tcBorders>
              <w:bottom w:val="single" w:sz="8" w:color="2C2C2C"/>
            </w:tcBorders>
          </w:tcPr>
          <w:p>
            <w:pPr>
              <w:spacing w:after="0"/>
              <w:rPr>
                <w:sz w:val="13"/>
                <w:szCs w:val="13"/>
                <w:color w:val="auto"/>
              </w:rPr>
            </w:pPr>
          </w:p>
        </w:tc>
        <w:tc>
          <w:tcPr>
            <w:tcW w:w="32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200" w:type="dxa"/>
            <w:vAlign w:val="bottom"/>
          </w:tcPr>
          <w:p>
            <w:pPr>
              <w:ind w:left="100"/>
              <w:spacing w:after="0" w:line="146" w:lineRule="exact"/>
              <w:rPr>
                <w:sz w:val="20"/>
                <w:szCs w:val="20"/>
                <w:color w:val="auto"/>
              </w:rPr>
            </w:pPr>
            <w:r>
              <w:rPr>
                <w:rFonts w:ascii="Arial" w:cs="Arial" w:eastAsia="Arial" w:hAnsi="Arial"/>
                <w:sz w:val="14"/>
                <w:szCs w:val="14"/>
                <w:color w:val="auto"/>
              </w:rPr>
              <w:t>Officer (give title</w:t>
            </w:r>
          </w:p>
        </w:tc>
        <w:tc>
          <w:tcPr>
            <w:tcW w:w="1600" w:type="dxa"/>
            <w:vAlign w:val="bottom"/>
          </w:tcPr>
          <w:p>
            <w:pPr>
              <w:ind w:left="460"/>
              <w:spacing w:after="0" w:line="146"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93"/>
        </w:trPr>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480" w:type="dxa"/>
            <w:vAlign w:val="bottom"/>
            <w:vMerge w:val="continue"/>
          </w:tcPr>
          <w:p>
            <w:pPr>
              <w:spacing w:after="0"/>
              <w:rPr>
                <w:sz w:val="8"/>
                <w:szCs w:val="8"/>
                <w:color w:val="auto"/>
              </w:rPr>
            </w:pPr>
          </w:p>
        </w:tc>
        <w:tc>
          <w:tcPr>
            <w:tcW w:w="1200" w:type="dxa"/>
            <w:vAlign w:val="bottom"/>
            <w:vMerge w:val="restart"/>
          </w:tcPr>
          <w:p>
            <w:pPr>
              <w:ind w:left="100"/>
              <w:spacing w:after="0" w:line="148" w:lineRule="exact"/>
              <w:rPr>
                <w:sz w:val="20"/>
                <w:szCs w:val="20"/>
                <w:color w:val="auto"/>
              </w:rPr>
            </w:pPr>
            <w:r>
              <w:rPr>
                <w:rFonts w:ascii="Arial" w:cs="Arial" w:eastAsia="Arial" w:hAnsi="Arial"/>
                <w:sz w:val="14"/>
                <w:szCs w:val="14"/>
                <w:color w:val="auto"/>
              </w:rPr>
              <w:t>below)</w:t>
            </w:r>
          </w:p>
        </w:tc>
        <w:tc>
          <w:tcPr>
            <w:tcW w:w="1600" w:type="dxa"/>
            <w:vAlign w:val="bottom"/>
            <w:vMerge w:val="restart"/>
          </w:tcPr>
          <w:p>
            <w:pPr>
              <w:ind w:left="460"/>
              <w:spacing w:after="0" w:line="148"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376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80" w:type="dxa"/>
            <w:vAlign w:val="bottom"/>
          </w:tcPr>
          <w:p>
            <w:pPr>
              <w:spacing w:after="0"/>
              <w:rPr>
                <w:sz w:val="4"/>
                <w:szCs w:val="4"/>
                <w:color w:val="auto"/>
              </w:rPr>
            </w:pPr>
          </w:p>
        </w:tc>
        <w:tc>
          <w:tcPr>
            <w:tcW w:w="376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460"/>
              <w:spacing w:after="0"/>
              <w:rPr>
                <w:sz w:val="20"/>
                <w:szCs w:val="20"/>
                <w:color w:val="auto"/>
              </w:rPr>
            </w:pPr>
            <w:r>
              <w:rPr>
                <w:rFonts w:ascii="Arial" w:cs="Arial" w:eastAsia="Arial" w:hAnsi="Arial"/>
                <w:sz w:val="18"/>
                <w:szCs w:val="18"/>
                <w:color w:val="0000FF"/>
              </w:rPr>
              <w:t>Chairman and CEO</w:t>
            </w:r>
          </w:p>
        </w:tc>
        <w:tc>
          <w:tcPr>
            <w:tcW w:w="0" w:type="dxa"/>
            <w:vAlign w:val="bottom"/>
          </w:tcPr>
          <w:p>
            <w:pPr>
              <w:spacing w:after="0"/>
              <w:rPr>
                <w:sz w:val="1"/>
                <w:szCs w:val="1"/>
                <w:color w:val="auto"/>
              </w:rPr>
            </w:pPr>
          </w:p>
        </w:tc>
      </w:tr>
      <w:tr>
        <w:trPr>
          <w:trHeight w:val="223"/>
        </w:trPr>
        <w:tc>
          <w:tcPr>
            <w:tcW w:w="3360" w:type="dxa"/>
            <w:vAlign w:val="bottom"/>
            <w:gridSpan w:val="2"/>
          </w:tcPr>
          <w:p>
            <w:pPr>
              <w:ind w:left="80"/>
              <w:spacing w:after="0"/>
              <w:rPr>
                <w:sz w:val="20"/>
                <w:szCs w:val="20"/>
                <w:color w:val="auto"/>
              </w:rPr>
            </w:pPr>
            <w:r>
              <w:rPr>
                <w:rFonts w:ascii="Arial" w:cs="Arial" w:eastAsia="Arial" w:hAnsi="Arial"/>
                <w:sz w:val="18"/>
                <w:szCs w:val="18"/>
                <w:color w:val="0000FF"/>
              </w:rPr>
              <w:t>06/13/2023</w:t>
            </w: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80" w:type="dxa"/>
            <w:vAlign w:val="bottom"/>
            <w:tcBorders>
              <w:bottom w:val="single" w:sz="8" w:color="2C2C2C"/>
            </w:tcBorders>
          </w:tcPr>
          <w:p>
            <w:pPr>
              <w:spacing w:after="0"/>
              <w:rPr>
                <w:sz w:val="7"/>
                <w:szCs w:val="7"/>
                <w:color w:val="auto"/>
              </w:rPr>
            </w:pPr>
          </w:p>
        </w:tc>
        <w:tc>
          <w:tcPr>
            <w:tcW w:w="32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280" w:type="dxa"/>
            <w:vAlign w:val="bottom"/>
            <w:tcBorders>
              <w:bottom w:val="single" w:sz="8" w:color="2C2C2C"/>
            </w:tcBorders>
            <w:gridSpan w:val="3"/>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00" w:type="dxa"/>
            <w:vAlign w:val="bottom"/>
            <w:gridSpan w:val="2"/>
          </w:tcPr>
          <w:p>
            <w:pPr>
              <w:ind w:left="40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4"/>
                <w:szCs w:val="14"/>
                <w:color w:val="auto"/>
              </w:rPr>
            </w:pP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39"/>
              <w:spacing w:after="0"/>
              <w:rPr>
                <w:sz w:val="20"/>
                <w:szCs w:val="20"/>
                <w:color w:val="auto"/>
              </w:rPr>
            </w:pPr>
            <w:r>
              <w:rPr>
                <w:rFonts w:ascii="Arial" w:cs="Arial" w:eastAsia="Arial" w:hAnsi="Arial"/>
                <w:sz w:val="18"/>
                <w:szCs w:val="18"/>
                <w:color w:val="0000FF"/>
              </w:rPr>
              <w:t>06/13/2023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Arial" w:cs="Arial" w:eastAsia="Arial" w:hAnsi="Arial"/>
                <w:sz w:val="12"/>
                <w:szCs w:val="12"/>
                <w:color w:val="0000FF"/>
                <w:w w:val="74"/>
              </w:rPr>
              <w:t>P</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1,500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82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23.82</w:t>
            </w:r>
            <w:r>
              <w:rPr>
                <w:rFonts w:ascii="Arial" w:cs="Arial" w:eastAsia="Arial" w:hAnsi="Arial"/>
                <w:sz w:val="22"/>
                <w:szCs w:val="22"/>
                <w:color w:val="008000"/>
                <w:w w:val="93"/>
                <w:vertAlign w:val="superscript"/>
              </w:rPr>
              <w:t>(1)</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1,536,763</w:t>
            </w:r>
            <w:r>
              <w:rPr>
                <w:rFonts w:ascii="Arial" w:cs="Arial" w:eastAsia="Arial" w:hAnsi="Arial"/>
                <w:sz w:val="22"/>
                <w:szCs w:val="22"/>
                <w:color w:val="008000"/>
                <w:w w:val="82"/>
                <w:vertAlign w:val="superscript"/>
              </w:rPr>
              <w:t>(2)(3)</w:t>
            </w:r>
          </w:p>
        </w:tc>
        <w:tc>
          <w:tcPr>
            <w:tcW w:w="920" w:type="dxa"/>
            <w:vAlign w:val="bottom"/>
            <w:tcBorders>
              <w:bottom w:val="single" w:sz="8" w:color="2C2C2C"/>
            </w:tcBorders>
          </w:tcPr>
          <w:p>
            <w:pPr>
              <w:jc w:val="center"/>
              <w:ind w:right="46"/>
              <w:spacing w:after="0"/>
              <w:rPr>
                <w:sz w:val="20"/>
                <w:szCs w:val="20"/>
                <w:color w:val="auto"/>
              </w:rPr>
            </w:pPr>
            <w:r>
              <w:rPr>
                <w:rFonts w:ascii="Arial" w:cs="Arial" w:eastAsia="Arial" w:hAnsi="Arial"/>
                <w:sz w:val="18"/>
                <w:szCs w:val="18"/>
                <w:color w:val="0000FF"/>
                <w:w w:val="91"/>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39"/>
              <w:spacing w:after="0"/>
              <w:rPr>
                <w:sz w:val="20"/>
                <w:szCs w:val="20"/>
                <w:color w:val="auto"/>
              </w:rPr>
            </w:pPr>
            <w:r>
              <w:rPr>
                <w:rFonts w:ascii="Arial" w:cs="Arial" w:eastAsia="Arial" w:hAnsi="Arial"/>
                <w:sz w:val="18"/>
                <w:szCs w:val="18"/>
                <w:color w:val="0000FF"/>
              </w:rPr>
              <w:t>06/14/2023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Arial" w:cs="Arial" w:eastAsia="Arial" w:hAnsi="Arial"/>
                <w:sz w:val="12"/>
                <w:szCs w:val="12"/>
                <w:color w:val="0000FF"/>
                <w:w w:val="74"/>
              </w:rPr>
              <w:t>P</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1,500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82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24.24</w:t>
            </w:r>
            <w:r>
              <w:rPr>
                <w:rFonts w:ascii="Arial" w:cs="Arial" w:eastAsia="Arial" w:hAnsi="Arial"/>
                <w:sz w:val="22"/>
                <w:szCs w:val="22"/>
                <w:color w:val="008000"/>
                <w:w w:val="93"/>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1,538,263</w:t>
            </w:r>
            <w:r>
              <w:rPr>
                <w:rFonts w:ascii="Arial" w:cs="Arial" w:eastAsia="Arial" w:hAnsi="Arial"/>
                <w:sz w:val="22"/>
                <w:szCs w:val="22"/>
                <w:color w:val="008000"/>
                <w:w w:val="82"/>
                <w:vertAlign w:val="superscript"/>
              </w:rPr>
              <w:t>(2)(3)</w:t>
            </w:r>
          </w:p>
        </w:tc>
        <w:tc>
          <w:tcPr>
            <w:tcW w:w="920" w:type="dxa"/>
            <w:vAlign w:val="bottom"/>
            <w:tcBorders>
              <w:bottom w:val="single" w:sz="8" w:color="2C2C2C"/>
            </w:tcBorders>
          </w:tcPr>
          <w:p>
            <w:pPr>
              <w:jc w:val="center"/>
              <w:ind w:right="46"/>
              <w:spacing w:after="0"/>
              <w:rPr>
                <w:sz w:val="20"/>
                <w:szCs w:val="20"/>
                <w:color w:val="auto"/>
              </w:rPr>
            </w:pPr>
            <w:r>
              <w:rPr>
                <w:rFonts w:ascii="Arial" w:cs="Arial" w:eastAsia="Arial" w:hAnsi="Arial"/>
                <w:sz w:val="18"/>
                <w:szCs w:val="18"/>
                <w:color w:val="0000FF"/>
                <w:w w:val="91"/>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45,360</w:t>
            </w:r>
          </w:p>
        </w:tc>
        <w:tc>
          <w:tcPr>
            <w:tcW w:w="920" w:type="dxa"/>
            <w:vAlign w:val="bottom"/>
            <w:vMerge w:val="restart"/>
          </w:tcPr>
          <w:p>
            <w:pPr>
              <w:jc w:val="center"/>
              <w:ind w:right="26"/>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restart"/>
          </w:tcPr>
          <w:p>
            <w:pPr>
              <w:ind w:left="20"/>
              <w:spacing w:after="0"/>
              <w:rPr>
                <w:sz w:val="20"/>
                <w:szCs w:val="20"/>
                <w:color w:val="auto"/>
              </w:rPr>
            </w:pPr>
            <w:r>
              <w:rPr>
                <w:rFonts w:ascii="Arial" w:cs="Arial" w:eastAsia="Arial" w:hAnsi="Arial"/>
                <w:sz w:val="18"/>
                <w:szCs w:val="18"/>
                <w:color w:val="0000FF"/>
                <w:w w:val="86"/>
              </w:rPr>
              <w:t>Spouse</w:t>
            </w:r>
            <w:r>
              <w:rPr>
                <w:rFonts w:ascii="Arial" w:cs="Arial" w:eastAsia="Arial" w:hAnsi="Arial"/>
                <w:sz w:val="22"/>
                <w:szCs w:val="22"/>
                <w:color w:val="008000"/>
                <w:w w:val="86"/>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435,000</w:t>
            </w:r>
          </w:p>
        </w:tc>
        <w:tc>
          <w:tcPr>
            <w:tcW w:w="920" w:type="dxa"/>
            <w:vAlign w:val="bottom"/>
            <w:vMerge w:val="restart"/>
          </w:tcPr>
          <w:p>
            <w:pPr>
              <w:jc w:val="center"/>
              <w:ind w:right="26"/>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By CCG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restart"/>
          </w:tcPr>
          <w:p>
            <w:pPr>
              <w:ind w:left="2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87,000</w:t>
            </w:r>
          </w:p>
        </w:tc>
        <w:tc>
          <w:tcPr>
            <w:tcW w:w="920" w:type="dxa"/>
            <w:vAlign w:val="bottom"/>
            <w:vMerge w:val="restart"/>
          </w:tcPr>
          <w:p>
            <w:pPr>
              <w:jc w:val="center"/>
              <w:ind w:right="26"/>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By RTW</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restart"/>
          </w:tcPr>
          <w:p>
            <w:pPr>
              <w:ind w:left="2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(7)</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87,000</w:t>
            </w:r>
          </w:p>
        </w:tc>
        <w:tc>
          <w:tcPr>
            <w:tcW w:w="920" w:type="dxa"/>
            <w:vAlign w:val="bottom"/>
            <w:vMerge w:val="restart"/>
          </w:tcPr>
          <w:p>
            <w:pPr>
              <w:jc w:val="center"/>
              <w:ind w:right="26"/>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By BLW</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restart"/>
          </w:tcPr>
          <w:p>
            <w:pPr>
              <w:ind w:left="2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(8)</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0000FF"/>
                <w:w w:val="87"/>
              </w:rPr>
              <w:t>87,000</w:t>
            </w:r>
          </w:p>
        </w:tc>
        <w:tc>
          <w:tcPr>
            <w:tcW w:w="920" w:type="dxa"/>
            <w:vAlign w:val="bottom"/>
          </w:tcPr>
          <w:p>
            <w:pPr>
              <w:jc w:val="center"/>
              <w:ind w:right="26"/>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WHW</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(9)</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87,000</w:t>
            </w:r>
          </w:p>
        </w:tc>
        <w:tc>
          <w:tcPr>
            <w:tcW w:w="920" w:type="dxa"/>
            <w:vAlign w:val="bottom"/>
            <w:vMerge w:val="restart"/>
          </w:tcPr>
          <w:p>
            <w:pPr>
              <w:jc w:val="center"/>
              <w:ind w:right="26"/>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By SSG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restart"/>
          </w:tcPr>
          <w:p>
            <w:pPr>
              <w:ind w:left="2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(10)</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87,000</w:t>
            </w:r>
          </w:p>
        </w:tc>
        <w:tc>
          <w:tcPr>
            <w:tcW w:w="920" w:type="dxa"/>
            <w:vAlign w:val="bottom"/>
            <w:vMerge w:val="restart"/>
          </w:tcPr>
          <w:p>
            <w:pPr>
              <w:jc w:val="center"/>
              <w:ind w:right="26"/>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By JBG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(11)</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3"/>
          </w:tcPr>
          <w:p>
            <w:pPr>
              <w:jc w:val="center"/>
              <w:ind w:left="1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jc w:val="center"/>
              <w:ind w:left="1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39"/>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5"/>
                <w:szCs w:val="15"/>
                <w:color w:val="auto"/>
              </w:rPr>
            </w:pP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39"/>
              <w:spacing w:after="0" w:line="136"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20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00" w:firstLine="9"/>
        <w:spacing w:after="0" w:line="28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executed a trade order through a broker-dealer which resulted in multiple same day, same way open market purchases, with prices ranging from $23.77to $23.83 per share. The Reporting Person has reported these purchases on an aggregate basis using the weighted average price for the transactions. The Reporting Person undertakes to provide, upon request by the Securities and Exchange Commission staff, the Issuer or a security holder of the Issuer, full information regarding the number of shares purchased at each separate price.</w:t>
      </w:r>
    </w:p>
    <w:p>
      <w:pPr>
        <w:spacing w:after="0" w:line="3" w:lineRule="exact"/>
        <w:rPr>
          <w:rFonts w:ascii="Arial" w:cs="Arial" w:eastAsia="Arial" w:hAnsi="Arial"/>
          <w:sz w:val="12"/>
          <w:szCs w:val="12"/>
          <w:color w:val="008000"/>
        </w:rPr>
      </w:pPr>
    </w:p>
    <w:p>
      <w:pPr>
        <w:ind w:left="40" w:right="3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Since the date of the Reporting Person's last report, 100,535 shares previously owned through the South Plains Financial, Inc. Employee Stock Ownership Plan were rolled over into a self-directed individual retirement account and, therefore, are now owned directly by the Reporting Person.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reported include restricted stock units that may be settled only by delivery of an equal number of shares of common stock and which are subject to vesting and forfeiture conditions.</w:t>
      </w:r>
    </w:p>
    <w:p>
      <w:pPr>
        <w:sectPr>
          <w:pgSz w:w="11900" w:h="16838" w:orient="portrait"/>
          <w:cols w:equalWidth="0" w:num="1">
            <w:col w:w="11080"/>
          </w:cols>
          <w:pgMar w:left="460" w:top="226" w:right="359" w:bottom="0" w:gutter="0" w:footer="0" w:header="0"/>
          <w:type w:val="continuous"/>
        </w:sectPr>
      </w:pPr>
    </w:p>
    <w:bookmarkStart w:id="1" w:name="page2"/>
    <w:bookmarkEnd w:id="1"/>
    <w:p>
      <w:pPr>
        <w:ind w:firstLine="9"/>
        <w:spacing w:after="0" w:line="288" w:lineRule="auto"/>
        <w:tabs>
          <w:tab w:leader="none" w:pos="13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executed a trade order through a broker-dealer which resulted in multiple same day, same way open market purchases, with prices ranging from $24.22to $24.25 per share. The Reporting Person has reported these purchases on an aggregate basis using the weighted average price for the transactions. The Reporting Person undertakes to provide, upon request by the Securities and Exchange Commission staff, the Issuer or a security holder of the Issuer, full information regarding the number of shares purchased at each separate price.</w:t>
      </w:r>
    </w:p>
    <w:p>
      <w:pPr>
        <w:spacing w:after="0" w:line="3" w:lineRule="exact"/>
        <w:rPr>
          <w:rFonts w:ascii="Arial" w:cs="Arial" w:eastAsia="Arial" w:hAnsi="Arial"/>
          <w:sz w:val="12"/>
          <w:szCs w:val="12"/>
          <w:color w:val="008000"/>
        </w:rPr>
      </w:pPr>
    </w:p>
    <w:p>
      <w:pPr>
        <w:ind w:right="60" w:firstLine="9"/>
        <w:spacing w:after="0" w:line="239"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by the Reporting Person's spouse. The Reporting Person disclaims beneficial ownership of these shares except to the extent of his pecuniary interest, and the filing of this report is not an admission that the Reporting Person is the beneficial owner of these shares for purposes of Section 16 or for any other purpose.</w:t>
      </w:r>
    </w:p>
    <w:p>
      <w:pPr>
        <w:spacing w:after="0" w:line="30" w:lineRule="exact"/>
        <w:rPr>
          <w:rFonts w:ascii="Arial" w:cs="Arial" w:eastAsia="Arial" w:hAnsi="Arial"/>
          <w:sz w:val="14"/>
          <w:szCs w:val="14"/>
          <w:color w:val="008000"/>
        </w:rPr>
      </w:pPr>
    </w:p>
    <w:p>
      <w:pPr>
        <w:ind w:right="20" w:firstLine="9"/>
        <w:spacing w:after="0" w:line="288"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the Curtis C. Griffith 2021 Irrevocable Trust ("CCG Trust"), over which the Reporting Person's spouse, who shares the Reporting Person's household, serves as trustee. The members of the Reporting Person's immediate family are the beneficiaries of this trust. The Reporting Person disclaims beneficial ownership of these shares except to the extent of his pecuniary interest, and the filing of this report is not an admission that the Reporting Person is the beneficial owner of these shares for purposes of Section 16 or for any other purpose.</w:t>
      </w:r>
    </w:p>
    <w:p>
      <w:pPr>
        <w:spacing w:after="0" w:line="3" w:lineRule="exact"/>
        <w:rPr>
          <w:rFonts w:ascii="Arial" w:cs="Arial" w:eastAsia="Arial" w:hAnsi="Arial"/>
          <w:sz w:val="12"/>
          <w:szCs w:val="12"/>
          <w:color w:val="008000"/>
        </w:rPr>
      </w:pPr>
    </w:p>
    <w:p>
      <w:pPr>
        <w:ind w:right="100" w:firstLine="9"/>
        <w:spacing w:after="0" w:line="239"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the Richard Thomas White 2021 Trust ("RTW Trust"), over which the Reporting Person serves as trustee. A member of the Reporting Person's immediate family is the beneficiary of this trust.</w:t>
      </w:r>
    </w:p>
    <w:p>
      <w:pPr>
        <w:spacing w:after="0" w:line="30" w:lineRule="exact"/>
        <w:rPr>
          <w:rFonts w:ascii="Arial" w:cs="Arial" w:eastAsia="Arial" w:hAnsi="Arial"/>
          <w:sz w:val="14"/>
          <w:szCs w:val="14"/>
          <w:color w:val="008000"/>
        </w:rPr>
      </w:pPr>
    </w:p>
    <w:p>
      <w:pPr>
        <w:ind w:right="20" w:firstLine="9"/>
        <w:spacing w:after="0" w:line="239"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the Birdie Lucille White 2021 Trust ("BLW Trust"), over which the Reporting Person serves as trustee. A member of the Reporting Person's immediate family is the beneficiary of this trust.</w:t>
      </w:r>
    </w:p>
    <w:p>
      <w:pPr>
        <w:spacing w:after="0" w:line="30" w:lineRule="exact"/>
        <w:rPr>
          <w:rFonts w:ascii="Arial" w:cs="Arial" w:eastAsia="Arial" w:hAnsi="Arial"/>
          <w:sz w:val="14"/>
          <w:szCs w:val="14"/>
          <w:color w:val="008000"/>
        </w:rPr>
      </w:pPr>
    </w:p>
    <w:p>
      <w:pPr>
        <w:ind w:right="100" w:firstLine="9"/>
        <w:spacing w:after="0" w:line="239"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the William Hogan White 2021 Trust ("WHW Trust"), over which the Reporting Person serves as trustee. A member of the Reporting Person's immediate family is the beneficiary of this trust.</w:t>
      </w:r>
    </w:p>
    <w:p>
      <w:pPr>
        <w:spacing w:after="0" w:line="30" w:lineRule="exact"/>
        <w:rPr>
          <w:rFonts w:ascii="Arial" w:cs="Arial" w:eastAsia="Arial" w:hAnsi="Arial"/>
          <w:sz w:val="14"/>
          <w:szCs w:val="14"/>
          <w:color w:val="008000"/>
        </w:rPr>
      </w:pPr>
    </w:p>
    <w:p>
      <w:pPr>
        <w:ind w:firstLine="9"/>
        <w:spacing w:after="0" w:line="305" w:lineRule="auto"/>
        <w:tabs>
          <w:tab w:leader="none" w:pos="20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the Sydney Suzanne Griffith 2021 Trust ("SSG Trust"), over which the Reporting Person serves as trustee. A member of the Reporting Person's immediate family is the beneficiary of this trust.</w:t>
      </w:r>
    </w:p>
    <w:p>
      <w:pPr>
        <w:ind w:right="560" w:firstLine="9"/>
        <w:spacing w:after="0" w:line="318" w:lineRule="auto"/>
        <w:tabs>
          <w:tab w:leader="none" w:pos="19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the Johnathan Brockway Griffith 2021 Trust ("JBG Trust"), over which the Reporting Person serves as trustee. A member of the Reporting Person's immediate family is the beneficiary of this trust.</w:t>
      </w:r>
    </w:p>
    <w:p>
      <w:pPr>
        <w:spacing w:after="0" w:line="15"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/s/ By Mikella D. Newsom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-13970</wp:posOffset>
            </wp:positionV>
            <wp:extent cx="13208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Attorney-in-Fact for Steven B 06/15/2023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904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384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84175" cy="8890"/>
                    </a:xfrm>
                    <a:prstGeom prst="rect">
                      <a:avLst/>
                    </a:prstGeom>
                    <a:noFill/>
                  </pic:spPr>
                </pic:pic>
              </a:graphicData>
            </a:graphic>
          </wp:anchor>
        </w:drawing>
      </w:r>
    </w:p>
    <w:p>
      <w:pPr>
        <w:spacing w:after="0" w:line="3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0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42"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5195" TargetMode="External"/><Relationship Id="rId13"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2023-06-15T14:57:18Z</dcterms:created>
  <dcterms:modified xsi:type="dcterms:W3CDTF">2023-06-15T14:57:18Z</dcterms:modified>
</cp:coreProperties>
</file>