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6820" w:type="dxa"/>
            <w:vAlign w:val="bottom"/>
            <w:gridSpan w:val="2"/>
          </w:tcPr>
          <w:p>
            <w:pPr>
              <w:ind w:left="2960"/>
              <w:spacing w:after="0"/>
              <w:rPr>
                <w:sz w:val="20"/>
                <w:szCs w:val="20"/>
                <w:color w:val="auto"/>
              </w:rPr>
            </w:pPr>
            <w:r>
              <w:rPr>
                <w:rFonts w:ascii="Times New Roman" w:cs="Times New Roman" w:eastAsia="Times New Roman" w:hAnsi="Times New Roman"/>
                <w:sz w:val="18"/>
                <w:szCs w:val="18"/>
                <w:color w:val="auto"/>
              </w:rPr>
              <w:t>Proxy Statement Pursuant to Section 14(a) of</w:t>
            </w:r>
          </w:p>
        </w:tc>
        <w:tc>
          <w:tcPr>
            <w:tcW w:w="60" w:type="dxa"/>
            <w:vAlign w:val="bottom"/>
          </w:tcPr>
          <w:p>
            <w:pPr>
              <w:spacing w:after="0"/>
              <w:rPr>
                <w:sz w:val="18"/>
                <w:szCs w:val="18"/>
                <w:color w:val="auto"/>
              </w:rPr>
            </w:pPr>
          </w:p>
        </w:tc>
      </w:tr>
      <w:tr>
        <w:trPr>
          <w:trHeight w:val="194"/>
        </w:trPr>
        <w:tc>
          <w:tcPr>
            <w:tcW w:w="260" w:type="dxa"/>
            <w:vAlign w:val="bottom"/>
          </w:tcPr>
          <w:p>
            <w:pPr>
              <w:spacing w:after="0"/>
              <w:rPr>
                <w:sz w:val="16"/>
                <w:szCs w:val="16"/>
                <w:color w:val="auto"/>
              </w:rPr>
            </w:pPr>
          </w:p>
        </w:tc>
        <w:tc>
          <w:tcPr>
            <w:tcW w:w="6280" w:type="dxa"/>
            <w:vAlign w:val="bottom"/>
          </w:tcPr>
          <w:p>
            <w:pPr>
              <w:ind w:left="2340"/>
              <w:spacing w:after="0" w:line="194" w:lineRule="exact"/>
              <w:rPr>
                <w:sz w:val="20"/>
                <w:szCs w:val="20"/>
                <w:color w:val="auto"/>
              </w:rPr>
            </w:pPr>
            <w:r>
              <w:rPr>
                <w:rFonts w:ascii="Times New Roman" w:cs="Times New Roman" w:eastAsia="Times New Roman" w:hAnsi="Times New Roman"/>
                <w:sz w:val="18"/>
                <w:szCs w:val="18"/>
                <w:color w:val="auto"/>
                <w:w w:val="99"/>
              </w:rPr>
              <w:t>the Securities Exchange Act of 1934 (Amendment No.</w:t>
            </w:r>
          </w:p>
        </w:tc>
        <w:tc>
          <w:tcPr>
            <w:tcW w:w="540" w:type="dxa"/>
            <w:vAlign w:val="bottom"/>
            <w:tcBorders>
              <w:bottom w:val="single" w:sz="8" w:color="auto"/>
            </w:tcBorders>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05"/>
        </w:trPr>
        <w:tc>
          <w:tcPr>
            <w:tcW w:w="708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tc>
        <w:tc>
          <w:tcPr>
            <w:tcW w:w="60" w:type="dxa"/>
            <w:vAlign w:val="bottom"/>
          </w:tcPr>
          <w:p>
            <w:pPr>
              <w:spacing w:after="0"/>
              <w:rPr>
                <w:sz w:val="24"/>
                <w:szCs w:val="24"/>
                <w:color w:val="auto"/>
              </w:rPr>
            </w:pPr>
          </w:p>
        </w:tc>
      </w:tr>
      <w:tr>
        <w:trPr>
          <w:trHeight w:val="351"/>
        </w:trPr>
        <w:tc>
          <w:tcPr>
            <w:tcW w:w="708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of other than the Registrant </w:t>
            </w:r>
            <w:r>
              <w:rPr>
                <w:rFonts w:ascii="MS PGothic" w:cs="MS PGothic" w:eastAsia="MS PGothic" w:hAnsi="MS PGothic"/>
                <w:sz w:val="18"/>
                <w:szCs w:val="18"/>
                <w:color w:val="auto"/>
              </w:rPr>
              <w:t>☐</w:t>
            </w:r>
          </w:p>
        </w:tc>
        <w:tc>
          <w:tcPr>
            <w:tcW w:w="60" w:type="dxa"/>
            <w:vAlign w:val="bottom"/>
          </w:tcPr>
          <w:p>
            <w:pPr>
              <w:spacing w:after="0"/>
              <w:rPr>
                <w:sz w:val="24"/>
                <w:szCs w:val="24"/>
                <w:color w:val="auto"/>
              </w:rPr>
            </w:pPr>
          </w:p>
        </w:tc>
      </w:tr>
      <w:tr>
        <w:trPr>
          <w:trHeight w:val="344"/>
        </w:trPr>
        <w:tc>
          <w:tcPr>
            <w:tcW w:w="7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60" w:type="dxa"/>
            <w:vAlign w:val="bottom"/>
          </w:tcPr>
          <w:p>
            <w:pPr>
              <w:spacing w:after="0"/>
              <w:rPr>
                <w:sz w:val="24"/>
                <w:szCs w:val="24"/>
                <w:color w:val="auto"/>
              </w:rPr>
            </w:pPr>
          </w:p>
        </w:tc>
      </w:tr>
      <w:tr>
        <w:trPr>
          <w:trHeight w:val="344"/>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Preliminary Proxy Statement</w:t>
            </w:r>
          </w:p>
        </w:tc>
        <w:tc>
          <w:tcPr>
            <w:tcW w:w="60" w:type="dxa"/>
            <w:vAlign w:val="bottom"/>
          </w:tcPr>
          <w:p>
            <w:pPr>
              <w:spacing w:after="0"/>
              <w:rPr>
                <w:sz w:val="24"/>
                <w:szCs w:val="24"/>
                <w:color w:val="auto"/>
              </w:rPr>
            </w:pPr>
          </w:p>
        </w:tc>
      </w:tr>
      <w:tr>
        <w:trPr>
          <w:trHeight w:val="324"/>
        </w:trPr>
        <w:tc>
          <w:tcPr>
            <w:tcW w:w="708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Confidential for Use of the Commission Only (as permitted by Rule 14s-6(e)(2))</w:t>
            </w:r>
          </w:p>
        </w:tc>
        <w:tc>
          <w:tcPr>
            <w:tcW w:w="60" w:type="dxa"/>
            <w:vAlign w:val="bottom"/>
          </w:tcPr>
          <w:p>
            <w:pPr>
              <w:spacing w:after="0"/>
              <w:rPr>
                <w:sz w:val="24"/>
                <w:szCs w:val="24"/>
                <w:color w:val="auto"/>
              </w:rPr>
            </w:pPr>
          </w:p>
        </w:tc>
      </w:tr>
      <w:tr>
        <w:trPr>
          <w:trHeight w:val="324"/>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Definitive Proxy Statement</w:t>
            </w:r>
          </w:p>
        </w:tc>
        <w:tc>
          <w:tcPr>
            <w:tcW w:w="60" w:type="dxa"/>
            <w:vAlign w:val="bottom"/>
          </w:tcPr>
          <w:p>
            <w:pPr>
              <w:spacing w:after="0"/>
              <w:rPr>
                <w:sz w:val="24"/>
                <w:szCs w:val="24"/>
                <w:color w:val="auto"/>
              </w:rPr>
            </w:pPr>
          </w:p>
        </w:tc>
      </w:tr>
      <w:tr>
        <w:trPr>
          <w:trHeight w:val="324"/>
        </w:trPr>
        <w:tc>
          <w:tcPr>
            <w:tcW w:w="2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Definitive Additional Materials</w:t>
            </w:r>
          </w:p>
        </w:tc>
        <w:tc>
          <w:tcPr>
            <w:tcW w:w="60" w:type="dxa"/>
            <w:vAlign w:val="bottom"/>
          </w:tcPr>
          <w:p>
            <w:pPr>
              <w:spacing w:after="0"/>
              <w:rPr>
                <w:sz w:val="24"/>
                <w:szCs w:val="24"/>
                <w:color w:val="auto"/>
              </w:rPr>
            </w:pPr>
          </w:p>
        </w:tc>
      </w:tr>
      <w:tr>
        <w:trPr>
          <w:trHeight w:val="324"/>
        </w:trPr>
        <w:tc>
          <w:tcPr>
            <w:tcW w:w="7080" w:type="dxa"/>
            <w:vAlign w:val="bottom"/>
            <w:gridSpan w:val="3"/>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under §240.14a-12</w:t>
            </w:r>
          </w:p>
        </w:tc>
        <w:tc>
          <w:tcPr>
            <w:tcW w:w="60" w:type="dxa"/>
            <w:vAlign w:val="bottom"/>
          </w:tcPr>
          <w:p>
            <w:pPr>
              <w:spacing w:after="0"/>
              <w:rPr>
                <w:sz w:val="24"/>
                <w:szCs w:val="24"/>
                <w:color w:val="auto"/>
              </w:rPr>
            </w:pPr>
          </w:p>
        </w:tc>
      </w:tr>
    </w:tbl>
    <w:p>
      <w:pPr>
        <w:spacing w:after="0" w:line="2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South Plains Financial, Inc.</w:t>
      </w:r>
    </w:p>
    <w:p>
      <w:pPr>
        <w:spacing w:after="0" w:line="132"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58"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98"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800" w:hanging="405"/>
        <w:spacing w:after="0"/>
        <w:tabs>
          <w:tab w:leader="none" w:pos="80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w:t>
      </w:r>
    </w:p>
    <w:p>
      <w:pPr>
        <w:spacing w:after="0" w:line="27"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63"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00" w:hanging="392"/>
        <w:spacing w:after="0" w:line="266" w:lineRule="auto"/>
        <w:tabs>
          <w:tab w:leader="none" w:pos="4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MS PGothic" w:cs="MS PGothic" w:eastAsia="MS PGothic" w:hAnsi="MS PGothic"/>
          <w:sz w:val="18"/>
          <w:szCs w:val="18"/>
          <w:color w:val="auto"/>
        </w:rPr>
      </w:pPr>
    </w:p>
    <w:p>
      <w:pPr>
        <w:ind w:left="800" w:hanging="405"/>
        <w:spacing w:after="0"/>
        <w:tabs>
          <w:tab w:leader="none" w:pos="80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00" w:hanging="405"/>
        <w:spacing w:after="0"/>
        <w:tabs>
          <w:tab w:leader="none" w:pos="800" w:val="left"/>
        </w:tabs>
        <w:numPr>
          <w:ilvl w:val="2"/>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557530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222885</wp:posOffset>
            </wp:positionV>
            <wp:extent cx="56661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-170815</wp:posOffset>
            </wp:positionV>
            <wp:extent cx="5666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-607695</wp:posOffset>
            </wp:positionV>
            <wp:extent cx="5666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-1045210</wp:posOffset>
            </wp:positionV>
            <wp:extent cx="5666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-2159635</wp:posOffset>
            </wp:positionV>
            <wp:extent cx="5666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-2596515</wp:posOffset>
            </wp:positionV>
            <wp:extent cx="5666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-3034030</wp:posOffset>
            </wp:positionV>
            <wp:extent cx="5666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-3608070</wp:posOffset>
            </wp:positionV>
            <wp:extent cx="5666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-4045585</wp:posOffset>
            </wp:positionV>
            <wp:extent cx="5666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368935</wp:posOffset>
            </wp:positionV>
            <wp:extent cx="6172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420370</wp:posOffset>
            </wp:positionV>
            <wp:extent cx="617220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660"/>
          </w:cols>
          <w:pgMar w:left="1080" w:top="223" w:right="1159" w:bottom="1440" w:gutter="0" w:footer="0" w:header="0"/>
        </w:sectPr>
      </w:pPr>
    </w:p>
    <w:bookmarkStart w:id="1" w:name="page2"/>
    <w:bookmarkEnd w:id="1"/>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110490</wp:posOffset>
            </wp:positionV>
            <wp:extent cx="3437255" cy="506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72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April 5, 2022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Dear Fellow Shareholder:</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On behalf of the board of directors of South Plains Financial, Inc. (the “Company”), I invite you to attend the 2022 annual meeting of shareholders (the “annual meeting”) to be held solely by means of remote communication on Tuesday, May 10, 2022, at 2:00 p.m., Central Time.</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purposes of the annual meeting are set forth in the accompanying Notice of 2022 Annual Meeting of Shareholders and Proxy Statement.</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In accordance with Texas law and the Second Amended and Restated Bylaws of the Company, the Company’s board of directors has decided that the annual meeting will be held solely by means of remote communication. </w:t>
      </w:r>
      <w:r>
        <w:rPr>
          <w:rFonts w:ascii="Times New Roman" w:cs="Times New Roman" w:eastAsia="Times New Roman" w:hAnsi="Times New Roman"/>
          <w:sz w:val="18"/>
          <w:szCs w:val="18"/>
          <w:b w:val="1"/>
          <w:bCs w:val="1"/>
          <w:u w:val="single" w:color="auto"/>
          <w:color w:val="auto"/>
        </w:rPr>
        <w:t>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will not be able to attend the annual meeting in-person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Shareholders may attend and participate in the annual meeting by means of remote communication by logging onto the virtual meeting platform at www.virtualshareholdermeeting.com/SPFI2022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participate in the annual meeting should connect to the virtual meeting platform at least 15 minutes prior to the start of the annual meeting.</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Whether or not you plan to attend the annual meeting, it is important that your shares be represented. Please take a moment to complete, date, sign and return the enclosed proxy card as soon as possible, or use Internet or telephone voting according to the instructions on the proxy card. You may also attend the annual meeting and vote by means of remote communication by logging onto the virtual meeting platform, as discussed above.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appreciate your continued support of our Company and look forward to seeing you at the annual meeting.</w:t>
      </w:r>
    </w:p>
    <w:p>
      <w:pPr>
        <w:spacing w:after="0" w:line="18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Sincerely,</w:t>
      </w:r>
    </w:p>
    <w:p>
      <w:pPr>
        <w:spacing w:after="0" w:line="11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Curtis C. Griffith</w:t>
      </w:r>
    </w:p>
    <w:p>
      <w:pPr>
        <w:spacing w:after="0" w:line="1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11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164465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93345</wp:posOffset>
            </wp:positionV>
            <wp:extent cx="3437255" cy="506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372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Lubbock, Texas 79407</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(800) 687-2265</w:t>
      </w:r>
    </w:p>
    <w:p>
      <w:pPr>
        <w:spacing w:after="0" w:line="126"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April 5, 2022</w:t>
      </w:r>
    </w:p>
    <w:p>
      <w:pPr>
        <w:spacing w:after="0" w:line="370" w:lineRule="exact"/>
        <w:rPr>
          <w:sz w:val="20"/>
          <w:szCs w:val="20"/>
          <w:color w:val="auto"/>
        </w:rPr>
      </w:pPr>
    </w:p>
    <w:p>
      <w:pPr>
        <w:ind w:left="660" w:right="2019" w:firstLine="1363"/>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NOTICE OF 2022 ANNUAL MEETING OF SHAREHOLDERS </w:t>
      </w:r>
      <w:r>
        <w:rPr>
          <w:rFonts w:ascii="Times New Roman" w:cs="Times New Roman" w:eastAsia="Times New Roman" w:hAnsi="Times New Roman"/>
          <w:sz w:val="18"/>
          <w:szCs w:val="18"/>
          <w:color w:val="auto"/>
        </w:rPr>
        <w:t>To the shareholders of South Plains Financial, Inc.:</w:t>
      </w:r>
    </w:p>
    <w:p>
      <w:pPr>
        <w:spacing w:after="0" w:line="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2022 Annual Meeting of Shareholders (the “annual meeting”) of South Plains Financial, Inc. (the “Company”) will be held solely by means of remote communication on Tuesday, May 10, 2022, at 2:00 p.m., Central Time, for the following purposes: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(2) Class III directors to serve on the Company’s board of directors until the Company’s 2025 annual meeting of shareholders or each until their respective successor or successors are duly elected and qualified or until their earlier resignation or removal;</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BKD, LLP as the independent registered public accounting firm of the Company for the year ending December 31, 2022;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In accordance with Texas law and the Second Amended and Restated Bylaws of the Company, the Company’s board of directors has decided that the annual meeting will be held solely by means of remote communication. </w:t>
      </w:r>
      <w:r>
        <w:rPr>
          <w:rFonts w:ascii="Times New Roman" w:cs="Times New Roman" w:eastAsia="Times New Roman" w:hAnsi="Times New Roman"/>
          <w:sz w:val="18"/>
          <w:szCs w:val="18"/>
          <w:b w:val="1"/>
          <w:bCs w:val="1"/>
          <w:u w:val="single" w:color="auto"/>
          <w:color w:val="auto"/>
        </w:rPr>
        <w:t>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will not be able to attend the annual meeting in-person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Shareholders may attend and participate in the annual meeting by means of remote communication by logging onto the virtual meeting platform at www.virtualshareholdermeeting.com/SPFI2022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participate in the annual meeting should connect to the virtual meeting platform at least 15 minutes prior to the start of the annual meeting.</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Only shareholders of record at the close of business on March 14, 2022, the record date, will be entitled to receive notice of and to vote at the annual meeting. For instructions on voting, please refer to the enclosed proxy card or voting information form. A list of shareholders entitled to vote at the annual meeting will be available for inspection by any shareholder at the principal office of the Company during ordinary business hours for a period of ten (10) days prior to the annual meeting. This list also will be available on the virtual meeting platform to shareholders who attend the annual meeting by means of remote communication.</w:t>
      </w:r>
    </w:p>
    <w:p>
      <w:pPr>
        <w:spacing w:after="0" w:line="14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Curtis C. Griffith</w:t>
      </w:r>
    </w:p>
    <w:p>
      <w:pPr>
        <w:spacing w:after="0" w:line="1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11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172720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2022 Annual Meeting of Shareholders To Be Held on May 10, 2022: electronic copies of the Notice of 2022 Annual Meeting of Shareholders, this proxy statement, our 2021 Annual Report to Shareholders and our Annual Report on Form 10-K for the year ended December 31, 2021 are available at www.proxyvote.com.</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proxy card is included with this proxy statement. Whether or not you plan to attend the annual meeting by means of remote communication, please vote by completing, signing and dating the proxy card and promptly mailing it or via the Internet pursuant to the instructions provided on the enclosed proxy card. You may revoke your proxy card in the manner described in the proxy statement at any time before it is exercised. See “About the Annual Meeting” for more information on how to vote your shares or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102235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8220" w:type="dxa"/>
            <w:vAlign w:val="bottom"/>
            <w:gridSpan w:val="17"/>
          </w:tcPr>
          <w:p>
            <w:pPr>
              <w:spacing w:after="0"/>
              <w:rPr>
                <w:rFonts w:ascii="Times New Roman" w:cs="Times New Roman" w:eastAsia="Times New Roman" w:hAnsi="Times New Roman"/>
                <w:sz w:val="14"/>
                <w:szCs w:val="14"/>
                <w:b w:val="1"/>
                <w:bCs w:val="1"/>
                <w:color w:val="0000EE"/>
              </w:rPr>
            </w:pPr>
            <w:hyperlink w:anchor="page5">
              <w:r>
                <w:rPr>
                  <w:rFonts w:ascii="Times New Roman" w:cs="Times New Roman" w:eastAsia="Times New Roman" w:hAnsi="Times New Roman"/>
                  <w:sz w:val="14"/>
                  <w:szCs w:val="14"/>
                  <w:b w:val="1"/>
                  <w:bCs w:val="1"/>
                  <w:color w:val="0000EE"/>
                </w:rPr>
                <w:t>TABLE OF CONTENTS</w:t>
              </w:r>
            </w:hyperlink>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44"/>
        </w:trPr>
        <w:tc>
          <w:tcPr>
            <w:tcW w:w="13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81"/>
        </w:trPr>
        <w:tc>
          <w:tcPr>
            <w:tcW w:w="1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83"/>
        </w:trPr>
        <w:tc>
          <w:tcPr>
            <w:tcW w:w="1300" w:type="dxa"/>
            <w:vAlign w:val="bottom"/>
          </w:tcPr>
          <w:p>
            <w:pPr>
              <w:spacing w:after="0"/>
              <w:rPr>
                <w:sz w:val="24"/>
                <w:szCs w:val="24"/>
                <w:color w:val="auto"/>
              </w:rPr>
            </w:pPr>
          </w:p>
        </w:tc>
        <w:tc>
          <w:tcPr>
            <w:tcW w:w="8220" w:type="dxa"/>
            <w:vAlign w:val="bottom"/>
            <w:gridSpan w:val="17"/>
            <w:shd w:val="clear" w:color="auto" w:fill="CCEEFF"/>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PROXY STATEMENT FOR 2022 ANNUAL MEETING OF SHAREHOLDERS</w:t>
              </w:r>
            </w:hyperlink>
          </w:p>
        </w:tc>
        <w:tc>
          <w:tcPr>
            <w:tcW w:w="200" w:type="dxa"/>
            <w:vAlign w:val="bottom"/>
            <w:tcBorders>
              <w:right w:val="single" w:sz="8" w:color="CCEEFF"/>
            </w:tcBorders>
            <w:gridSpan w:val="2"/>
            <w:shd w:val="clear" w:color="auto" w:fill="CCEEFF"/>
          </w:tcPr>
          <w:p>
            <w:pPr>
              <w:ind w:left="80"/>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1</w:t>
              </w:r>
            </w:hyperlink>
          </w:p>
        </w:tc>
        <w:tc>
          <w:tcPr>
            <w:tcW w:w="1300" w:type="dxa"/>
            <w:vAlign w:val="bottom"/>
          </w:tcPr>
          <w:p>
            <w:pPr>
              <w:spacing w:after="0"/>
              <w:rPr>
                <w:sz w:val="24"/>
                <w:szCs w:val="24"/>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7"/>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ABOUT THE ANNUAL MEETING</w:t>
              </w:r>
            </w:hyperlink>
          </w:p>
        </w:tc>
        <w:tc>
          <w:tcPr>
            <w:tcW w:w="200" w:type="dxa"/>
            <w:vAlign w:val="bottom"/>
            <w:gridSpan w:val="2"/>
          </w:tcPr>
          <w:p>
            <w:pPr>
              <w:ind w:left="80"/>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3</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17"/>
            <w:shd w:val="clear" w:color="auto" w:fill="CCEEFF"/>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PROPOSAL 1. ELECTION OF DIRECTORS</w:t>
              </w:r>
            </w:hyperlink>
          </w:p>
        </w:tc>
        <w:tc>
          <w:tcPr>
            <w:tcW w:w="200" w:type="dxa"/>
            <w:vAlign w:val="bottom"/>
            <w:tcBorders>
              <w:right w:val="single" w:sz="8" w:color="CCEEFF"/>
            </w:tcBorders>
            <w:gridSpan w:val="2"/>
            <w:shd w:val="clear" w:color="auto" w:fill="CCEEFF"/>
          </w:tcPr>
          <w:p>
            <w:pPr>
              <w:ind w:left="80"/>
              <w:spacing w:after="0"/>
              <w:rPr>
                <w:rFonts w:ascii="Times New Roman" w:cs="Times New Roman" w:eastAsia="Times New Roman" w:hAnsi="Times New Roman"/>
                <w:sz w:val="18"/>
                <w:szCs w:val="18"/>
                <w:color w:val="0000EE"/>
                <w:w w:val="88"/>
              </w:rPr>
            </w:pPr>
            <w:hyperlink w:anchor="page13">
              <w:r>
                <w:rPr>
                  <w:rFonts w:ascii="Times New Roman" w:cs="Times New Roman" w:eastAsia="Times New Roman" w:hAnsi="Times New Roman"/>
                  <w:sz w:val="18"/>
                  <w:szCs w:val="18"/>
                  <w:color w:val="0000EE"/>
                  <w:w w:val="88"/>
                </w:rPr>
                <w:t>8</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77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PROPOSAL 2. RATIFICATION OF THE APPOINTMENT OF INDEPENDENT REGISTERED PUBLIC</w:t>
              </w:r>
            </w:hyperlink>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40" w:type="dxa"/>
            <w:vAlign w:val="bottom"/>
            <w:gridSpan w:val="16"/>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ACCOUNTING FIRM</w:t>
              </w:r>
            </w:hyperlink>
          </w:p>
        </w:tc>
        <w:tc>
          <w:tcPr>
            <w:tcW w:w="200" w:type="dxa"/>
            <w:vAlign w:val="bottom"/>
            <w:gridSpan w:val="2"/>
          </w:tcPr>
          <w:p>
            <w:pPr>
              <w:spacing w:after="0" w:line="196" w:lineRule="exact"/>
              <w:rPr>
                <w:rFonts w:ascii="Times New Roman" w:cs="Times New Roman" w:eastAsia="Times New Roman" w:hAnsi="Times New Roman"/>
                <w:sz w:val="18"/>
                <w:szCs w:val="18"/>
                <w:color w:val="0000EE"/>
                <w:w w:val="88"/>
              </w:rPr>
            </w:pPr>
            <w:hyperlink w:anchor="page15">
              <w:r>
                <w:rPr>
                  <w:rFonts w:ascii="Times New Roman" w:cs="Times New Roman" w:eastAsia="Times New Roman" w:hAnsi="Times New Roman"/>
                  <w:sz w:val="18"/>
                  <w:szCs w:val="18"/>
                  <w:color w:val="0000EE"/>
                  <w:w w:val="88"/>
                </w:rPr>
                <w:t>10</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17"/>
            <w:shd w:val="clear" w:color="auto" w:fill="CCEEFF"/>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CORPORATE GOVERNANCE</w:t>
              </w:r>
            </w:hyperlink>
          </w:p>
        </w:tc>
        <w:tc>
          <w:tcPr>
            <w:tcW w:w="2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88"/>
              </w:rPr>
            </w:pPr>
            <w:hyperlink w:anchor="page16">
              <w:r>
                <w:rPr>
                  <w:rFonts w:ascii="Times New Roman" w:cs="Times New Roman" w:eastAsia="Times New Roman" w:hAnsi="Times New Roman"/>
                  <w:sz w:val="18"/>
                  <w:szCs w:val="18"/>
                  <w:color w:val="0000EE"/>
                  <w:w w:val="88"/>
                </w:rPr>
                <w:t>11</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8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7"/>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CURRENT EXECUTIVE OFFICERS</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19</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7"/>
            <w:shd w:val="clear" w:color="auto" w:fill="CCEEFF"/>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EXECUTIVE COMPENSATION AND OTHER MATTERS</w:t>
              </w:r>
            </w:hyperlink>
          </w:p>
        </w:tc>
        <w:tc>
          <w:tcPr>
            <w:tcW w:w="2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20</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7"/>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CERTAIN RELATIONSHIPS AND RELATED PERSON TRANSACTIONS</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38">
              <w:r>
                <w:rPr>
                  <w:rFonts w:ascii="Times New Roman" w:cs="Times New Roman" w:eastAsia="Times New Roman" w:hAnsi="Times New Roman"/>
                  <w:sz w:val="18"/>
                  <w:szCs w:val="18"/>
                  <w:color w:val="0000EE"/>
                  <w:w w:val="88"/>
                </w:rPr>
                <w:t>32</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7480" w:type="dxa"/>
            <w:vAlign w:val="bottom"/>
            <w:tcBorders>
              <w:bottom w:val="single" w:sz="8" w:color="0000EE"/>
            </w:tcBorders>
            <w:gridSpan w:val="15"/>
            <w:shd w:val="clear" w:color="auto" w:fill="CCEEFF"/>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BENEFICIAL OWNERSHIP OF THE COMPANY’S COMMON STOCK BY MANAGEMENT AND</w:t>
              </w:r>
            </w:hyperlink>
          </w:p>
        </w:tc>
        <w:tc>
          <w:tcPr>
            <w:tcW w:w="740" w:type="dxa"/>
            <w:vAlign w:val="bottom"/>
            <w:tcBorders>
              <w:bottom w:val="single" w:sz="8" w:color="CCEEFF"/>
            </w:tcBorders>
            <w:gridSpan w:val="2"/>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4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PRINCIPAL SHAREHOLDERS OF THE COMPANY</w:t>
              </w:r>
            </w:hyperlink>
          </w:p>
        </w:tc>
        <w:tc>
          <w:tcPr>
            <w:tcW w:w="200" w:type="dxa"/>
            <w:vAlign w:val="bottom"/>
            <w:tcBorders>
              <w:right w:val="single" w:sz="8" w:color="CCEEFF"/>
            </w:tcBorders>
            <w:gridSpan w:val="2"/>
            <w:shd w:val="clear" w:color="auto" w:fill="CCEEFF"/>
          </w:tcPr>
          <w:p>
            <w:pPr>
              <w:spacing w:after="0" w:line="196" w:lineRule="exact"/>
              <w:rPr>
                <w:rFonts w:ascii="Times New Roman" w:cs="Times New Roman" w:eastAsia="Times New Roman" w:hAnsi="Times New Roman"/>
                <w:sz w:val="18"/>
                <w:szCs w:val="18"/>
                <w:color w:val="0000EE"/>
                <w:w w:val="88"/>
              </w:rPr>
            </w:pPr>
            <w:hyperlink w:anchor="page40">
              <w:r>
                <w:rPr>
                  <w:rFonts w:ascii="Times New Roman" w:cs="Times New Roman" w:eastAsia="Times New Roman" w:hAnsi="Times New Roman"/>
                  <w:sz w:val="18"/>
                  <w:szCs w:val="18"/>
                  <w:color w:val="0000EE"/>
                  <w:w w:val="88"/>
                </w:rPr>
                <w:t>34</w:t>
              </w:r>
            </w:hyperlink>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220" w:type="dxa"/>
            <w:vAlign w:val="bottom"/>
            <w:gridSpan w:val="17"/>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AUDIT COMMITTEE REPORT</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42">
              <w:r>
                <w:rPr>
                  <w:rFonts w:ascii="Times New Roman" w:cs="Times New Roman" w:eastAsia="Times New Roman" w:hAnsi="Times New Roman"/>
                  <w:sz w:val="18"/>
                  <w:szCs w:val="18"/>
                  <w:color w:val="0000EE"/>
                  <w:w w:val="88"/>
                </w:rPr>
                <w:t>36</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7"/>
            <w:shd w:val="clear" w:color="auto" w:fill="CCEEFF"/>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DATE FOR SUBMISSION OF SHAREHOLDER PROPOSALS FOR 2023 ANNUAL MEETING</w:t>
              </w:r>
            </w:hyperlink>
          </w:p>
        </w:tc>
        <w:tc>
          <w:tcPr>
            <w:tcW w:w="200" w:type="dxa"/>
            <w:vAlign w:val="bottom"/>
            <w:tcBorders>
              <w:right w:val="single" w:sz="8" w:color="CCEEFF"/>
            </w:tcBorders>
            <w:gridSpan w:val="2"/>
            <w:shd w:val="clear" w:color="auto" w:fill="CCEEFF"/>
          </w:tcPr>
          <w:p>
            <w:pPr>
              <w:spacing w:after="0"/>
              <w:rPr>
                <w:rFonts w:ascii="Times New Roman" w:cs="Times New Roman" w:eastAsia="Times New Roman" w:hAnsi="Times New Roman"/>
                <w:sz w:val="18"/>
                <w:szCs w:val="18"/>
                <w:color w:val="0000EE"/>
                <w:w w:val="88"/>
              </w:rPr>
            </w:pPr>
            <w:hyperlink w:anchor="page45">
              <w:r>
                <w:rPr>
                  <w:rFonts w:ascii="Times New Roman" w:cs="Times New Roman" w:eastAsia="Times New Roman" w:hAnsi="Times New Roman"/>
                  <w:sz w:val="18"/>
                  <w:szCs w:val="18"/>
                  <w:color w:val="0000EE"/>
                  <w:w w:val="88"/>
                </w:rPr>
                <w:t>39</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8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26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220" w:type="dxa"/>
            <w:vAlign w:val="bottom"/>
            <w:gridSpan w:val="17"/>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OTHER MATTERS</w:t>
              </w:r>
            </w:hyperlink>
          </w:p>
        </w:tc>
        <w:tc>
          <w:tcPr>
            <w:tcW w:w="200" w:type="dxa"/>
            <w:vAlign w:val="bottom"/>
            <w:gridSpan w:val="2"/>
          </w:tcPr>
          <w:p>
            <w:pPr>
              <w:spacing w:after="0"/>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40</w:t>
              </w:r>
            </w:hyperlink>
          </w:p>
        </w:tc>
        <w:tc>
          <w:tcPr>
            <w:tcW w:w="1300" w:type="dxa"/>
            <w:vAlign w:val="bottom"/>
          </w:tcPr>
          <w:p>
            <w:pPr>
              <w:spacing w:after="0"/>
              <w:rPr>
                <w:sz w:val="19"/>
                <w:szCs w:val="19"/>
                <w:color w:val="auto"/>
              </w:rPr>
            </w:pPr>
          </w:p>
        </w:tc>
      </w:tr>
      <w:tr>
        <w:trPr>
          <w:trHeight w:val="257"/>
        </w:trPr>
        <w:tc>
          <w:tcPr>
            <w:tcW w:w="1300" w:type="dxa"/>
            <w:vAlign w:val="bottom"/>
            <w:tcBorders>
              <w:bottom w:val="single" w:sz="8" w:color="auto"/>
            </w:tcBorders>
          </w:tcPr>
          <w:p>
            <w:pPr>
              <w:spacing w:after="0"/>
              <w:rPr>
                <w:sz w:val="22"/>
                <w:szCs w:val="22"/>
                <w:color w:val="auto"/>
              </w:rPr>
            </w:pPr>
          </w:p>
        </w:tc>
        <w:tc>
          <w:tcPr>
            <w:tcW w:w="180" w:type="dxa"/>
            <w:vAlign w:val="bottom"/>
            <w:tcBorders>
              <w:top w:val="single" w:sz="8" w:color="0000EE"/>
              <w:bottom w:val="single" w:sz="8" w:color="auto"/>
            </w:tcBorders>
          </w:tcPr>
          <w:p>
            <w:pPr>
              <w:spacing w:after="0"/>
              <w:rPr>
                <w:sz w:val="22"/>
                <w:szCs w:val="22"/>
                <w:color w:val="auto"/>
              </w:rPr>
            </w:pPr>
          </w:p>
        </w:tc>
        <w:tc>
          <w:tcPr>
            <w:tcW w:w="1280" w:type="dxa"/>
            <w:vAlign w:val="bottom"/>
            <w:tcBorders>
              <w:top w:val="single" w:sz="8" w:color="0000EE"/>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20" w:type="dxa"/>
            <w:vAlign w:val="bottom"/>
            <w:tcBorders>
              <w:top w:val="single" w:sz="8" w:color="0000EE"/>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262" w:right="439" w:bottom="1440" w:gutter="0" w:footer="0" w:header="0"/>
        </w:sectPr>
      </w:pPr>
    </w:p>
    <w:bookmarkStart w:id="5" w:name="page6"/>
    <w:bookmarkEnd w:id="5"/>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110490</wp:posOffset>
            </wp:positionV>
            <wp:extent cx="3437255" cy="506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3725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Lubbock, Texas 79407</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(800) 687-2265</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ANNUAL MEETING OF SHAREHOLDERS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10, 2022</w:t>
      </w:r>
    </w:p>
    <w:p>
      <w:pPr>
        <w:spacing w:after="0" w:line="9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proxy statement to “we,” “us,” “our,” “our company,” the “Company” or “South Plains” refer to South Plains Financial, Inc., a Texas corporation, and its consolidated subsidiaries; references to “the Bank” or “our Bank” refer to City Bank, a wholly-owned subsidiary of the Company. In addition, unless the context otherwise requires, references to “shareholders” are to the holders of outstanding shares of our common stock, par value $1.00 per share (the “common stock”).</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proxy statement is being furnished in connection with the solicitation of proxies by the board of directors of the Company (the “board of directors” or the “board”) for use at the 2022 annual meeting of shareholders of the Company to be held solely by means of remote communication on Tuesday, May 10, 2022 at 2:00 p.m., Central Time, and any adjournment(s) or postponement(s) thereof (the “annual meeting”) for the purposes set forth in this proxy statement and the accompanying notice of the annual meeting. This proxy statement, the notice of the annual meeting, the 2021 annual report to shareholders, the annual report on Form 10-K for the year ended December 31, 2021, and the enclosed proxy card (collectively, the “proxy materials”) are first being sent to shareholders on or about April 8, 2022. You should read the entire proxy statement carefully before voting.</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Important Notice Regarding Internet Availability of Proxy Materials for the 2022 Annual Meeting</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Pursuant to the rules promulgated by the Securities and Exchange Commission (the “SEC”), the Company is providing access to its proxy materials both by sending you a full set of proxy materials and making copies of these materials available on the Internet on the SEC Filings page of the Company’s Investor Relations website, available at https://www.spfi.bank/financials-filings/sec-filings. Additionally, you may access the Company’s proxy materials at www.proxyvote.com. Shareholders are encouraged to access and review the proxy materials before voting. The website www.proxyvote.com will also have directions to attend the annual meeting and vote by means of remote communication.</w:t>
      </w:r>
    </w:p>
    <w:p>
      <w:pPr>
        <w:spacing w:after="0" w:line="33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SPECIAL NOTE REGARDING PARTICIPATION</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BY MEANS OF REMOTE COMMUNICATION</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holding the annual meeting solely by means of remote communication, in accordance with Texas law and the Second Amended and Restated Bylaws of the Company (the “bylaws”). Instructions for participating in the annual meeting by means of remote communication are provided below.</w:t>
      </w:r>
    </w:p>
    <w:p>
      <w:pPr>
        <w:spacing w:after="0" w:line="64"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Shareholders may only participate in the annual meeting by means of remote communication. Shareholders will not be able to attend the annual meeting physically</w:t>
      </w:r>
      <w:r>
        <w:rPr>
          <w:rFonts w:ascii="Times New Roman" w:cs="Times New Roman" w:eastAsia="Times New Roman" w:hAnsi="Times New Roman"/>
          <w:sz w:val="18"/>
          <w:szCs w:val="18"/>
          <w:b w:val="1"/>
          <w:bCs w:val="1"/>
          <w:i w:val="1"/>
          <w:iCs w:val="1"/>
          <w:color w:val="auto"/>
        </w:rPr>
        <w:t>.</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Attendance and Participation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Shareholders of record as of the close of business on March 14, 2022, the record date for the annual meeting, may attend and participate in the annual meeting by means of remote communication by logging onto the virtual meeting platform at www.virtualshareholdermeeting.com/SPFI2022 with your sixteen-digit control number provided on your proxy card or, if your shares of common stock of the Company are held in “street name,” on your broker’s or intermediary’s voting instruction card. Individuals without a control number may attend the annual meeting as a guest using the link to the virtual meeting platform, but will not have the option to vote. Those planning to attend and participate in the annual meeting by means of remote communication should connect to the virtual meeting platform at least 15 minutes prior to the start of the annual meeting.</w:t>
      </w:r>
    </w:p>
    <w:p>
      <w:pPr>
        <w:sectPr>
          <w:pgSz w:w="11900" w:h="16838" w:orient="portrait"/>
          <w:cols w:equalWidth="0" w:num="1">
            <w:col w:w="9019"/>
          </w:cols>
          <w:pgMar w:left="1440" w:top="263" w:right="1440"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 w:name="page7"/>
    <w:bookmarkEnd w:id="6"/>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Shareholders will have the opportunity to vote their shares during the annual meeting if participating by means of remote communication. </w:t>
      </w:r>
      <w:r>
        <w:rPr>
          <w:rFonts w:ascii="Times New Roman" w:cs="Times New Roman" w:eastAsia="Times New Roman" w:hAnsi="Times New Roman"/>
          <w:sz w:val="18"/>
          <w:szCs w:val="18"/>
          <w:i w:val="1"/>
          <w:iCs w:val="1"/>
          <w:u w:val="single" w:color="auto"/>
          <w:color w:val="auto"/>
        </w:rPr>
        <w:t>Whether or not you plan to attend the annual meeting, the Company encourages eligible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shareholders to vote on the proposals prior to the annual meeting using the instructions provided in this proxy statement</w:t>
      </w:r>
      <w:r>
        <w:rPr>
          <w:rFonts w:ascii="Times New Roman" w:cs="Times New Roman" w:eastAsia="Times New Roman" w:hAnsi="Times New Roman"/>
          <w:sz w:val="18"/>
          <w:szCs w:val="18"/>
          <w:color w:val="auto"/>
        </w:rPr>
        <w:t>. The proxy card included with this proxy statement should continue to be used to vote shares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annual meeting.</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Questions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You will be permitted to submit written questions at the annual meeting just as if you were attending a physical meeting. You may submit written questions during the annual meeting by logging onto the virtual meeting platform at www.virtualshareholdermeeting.com/SPFI2022 with your sixteen-digit control number provided on your proxy card and typing your question in the “Ask a Question” box. You must log into the virtual meeting platform with you sixteen-digit control number in order to participate and ask questions during the annual meeting. Each shareholder will be limited to no more than one question. We will try to answer all questions pertinent to the business of the annual meeting, subject to time constraints. If we receive substantially similar questions, we may group them together and provide a single response to avoid repetition. Also, we reserve the right to edit inappropriate language and to exclude questions that are personal matters, not pertinent to annual meeting matters, do not comply with the annual meeting rules of conduct or otherwise are inappropriate.</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regarding the rules of conduct and other materials for the annual meeting will be made</w:t>
      </w:r>
    </w:p>
    <w:p>
      <w:pPr>
        <w:spacing w:after="0" w:line="2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available during the annual meeting on the virtual meeting platform at www.virtualshareholdermeeting.com/SPFI2022. Please read the remainder of this proxy statement for additional information about the annual meeting.</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 List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list of our shareholders entitled to vote at the annual meeting will be available for inspection by our shareholders at the principal office of the Company during ordinary business hours for a period of ten (10) days prior to the annual meeting. This list also will be available during the annual meeting at www.virtualshareholdermeeting.com/SPFI2022.</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Technical Difficulties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Technical support for accessing the annual meeting through the virtual meeting platform will be available at www.virtualshareholdermeeting.com/SPFI2022 beginning at 1:45 p.m., Central Time, on Tuesday, May 10, 2022 through the conclusion of the annual meeting. If you encounter any difficulties accessing the annual meeting through the virtual meeting platform during the annual meeting, please call: 1-844-986-0822 or 303-562-9302 for international callers.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ABOUT THE ANNUAL MEETING</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and where will the annual meeting be held?</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annual meeting is scheduled to take place at 2:00 pm Central Time, on May 10, 2022. We are holding the annual meeting solely by means of remote communication, in accordance with Texas law and the Company’s bylaws. You will not be able to attend the annual meeting in-person.</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attend and participate in the virtual annual meeting?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To attend and participate in the annual meeting, go to www.virtualshareholdermeeting.com/SPFI2022 on the day of the annual meeting and enter your unique sixteen-digit control number which is printed on the proxy card you received with your copy of this proxy statement or, if you are the beneficial owner of shares held in “street name,” on the voting instruction form you received from your bank, broker or other nominee that is the record holder of your shares. The sixteen-digit control number appears on the portion of your proxy card or voting instruction form that you retain.</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annual meeting will begin at 2:00 p.m., Central Time, on May 10, 2022. However, you may begin to log in to the virtual meeting platform at 1:45 p.m. and we encourage you to do so. The virtual meeting platform will be supported across most Internet browsers and devices (including desktop and laptop computers, tablets and smart phones) running updated versions of applicable software and plugins.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can I do if I no longer have my control number to access the virtual meeting platform?</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you are a record holder of shares and wish to participate in the annual meeting but you no longer have your sixteen-digit control number provided on your proxy card, you may obtain your control number by accessing shareholder@broadridge.com or by calling Broadridge Corporate Issuer Solutions at 1-877-830-4936 for assistance. If you are a beneficial holder of shares held in street name and no longer have the control number printed on your voting instruction form, you should call your broker or other nominee.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there be help available if I have trouble logging in to the virtual meeting platform?</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Yes. Technical support for accessing the annual meeting through the virtual meeting platform will be available at www.virtualshareholdermeeting.com/SPFI2022 beginning at 1:45 p.m., Central Time, on Tuesday, May 10, 2022 through the conclusion of the annual meeting. If you have trouble accessing the virtual meeting platform while trying to login or during the annual meeting, help and technical support will be available on the day of the annual meeting by calling 1-844-986-0822 or 303-562-9302 for international callers.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be able to ask questions during the virtual annual meeting?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Yes. You may submit a written question during the annual meeting by logging onto the virtual meeting platform at www.virtualshareholdermeeting.com/SPFI2022 with your sixteen-digit control number provided on your proxy card and typing your question in the “Ask a Question” box. You must log into the virtual meeting platform with you sixteen-digit control number in order to ask questions during the annual meeting. Each shareholder will be limited to no more than one question. We will try to answer all questions pertinent to the business of the annual meeting, subject to time constraints. If we receive substantially similar questions, we may group them together and provide a single response to avoid repetition. Also, we reserve the right to edit inappropriate language and to exclude questions that are personal matters, not pertinent to annual meeting matters, do not comply with the annual meeting rules of conduct or otherwise are inappropriate.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At the 2022 annual meeting of shareholders, shareholders will act upon the matters outlined in the notice, including the following:</w:t>
      </w:r>
    </w:p>
    <w:p>
      <w:pPr>
        <w:spacing w:after="0" w:line="54" w:lineRule="exact"/>
        <w:rPr>
          <w:sz w:val="20"/>
          <w:szCs w:val="20"/>
          <w:color w:val="auto"/>
        </w:rPr>
      </w:pPr>
    </w:p>
    <w:p>
      <w:pPr>
        <w:jc w:val="both"/>
        <w:ind w:left="1000" w:right="2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(2) Class III directors to serve on the Company’s board of directors until the Company’s 2025 annual meeting of shareholders or until their respective successor or successors are duly elected and qualified or until their earlier death, resignation or removal;</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BKD, LLP as the independent registered public accounting firm of the Company for the year ending December 31, 2022;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are the nominees for directors?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two (2) persons have been nominated for election as Class III directors of the Company to serve until the Company’s 2025 annual meeting of shareholders or until their respective successor or successors are duly elected and qualified or until their earlier death, resignation or removal:</w:t>
      </w:r>
    </w:p>
    <w:p>
      <w:pPr>
        <w:spacing w:after="0" w:line="68"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Curtis C. Griffith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Kyle R. Wargo</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holders of record of the Company’s outstanding common stock as of the close of business on March 14, 2022, which is the date that the board has fixed as the record date for the annual meeting (the “record date”), are entitled to vote at the annual meeting. Each holder of record of the Company’s outstanding common stock on the record date will be entitled to one vote for each share held on all matters to be voted upon at the annual meeting. The Company has 17,683,638 shares of outstanding common stock.</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 list of our shareholders entitled to vote at the annual meeting will be available for inspection by our shareholders at the principal office of the Company during ordinary business hours for a period of ten (10) days prior to the annual meeting. This list also will be available on the virtual meeting platform during the annual meeting.</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may vote your shares of common stock either by means of remote communication or by proxy. The process for voting your shares depends on how your shares are held as described below. If you are a record holder on the record date for the annual meeting, you may vote by proxy or you may attend the annual meeting and vote by means of remote communication. If you are a record holder and want to vote your shares by proxy, you may vote using any of the following methods:</w:t>
      </w:r>
    </w:p>
    <w:p>
      <w:pPr>
        <w:spacing w:after="0" w:line="75" w:lineRule="exact"/>
        <w:rPr>
          <w:sz w:val="20"/>
          <w:szCs w:val="20"/>
          <w:color w:val="auto"/>
        </w:rPr>
      </w:pPr>
    </w:p>
    <w:p>
      <w:pPr>
        <w:jc w:val="both"/>
        <w:ind w:left="1000" w:right="31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 on the proxy card applicable to your common stock how you want to vote and sign, date and mail your proxy card in the enclosed pre-addressed postage-paid envelope as soon as possible to ensure that it will be received in advance of the annual meeting;</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 to the website www.proxyvote.com and follow the instructions for Internet voting on that website;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over the telephone by following the instructions in the proxy card.</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 must receive your vote no later than the time the polls close for voting at the annual meeting for your vote to be counted at the annual meeting. Please note that Internet and telephone voting will close at 11:59 pm, Eastern Time on May 9, 2022.</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Voting your shares by proxy will enable your shares of common stock to be represented and voted at the annual meeting if you do not attend the annual meeting and vote your shares by means of remote communication. By following the voting instructions in the materials you receive, you will direct the designated persons (known as “proxies”) to vote your common stock at the annual meeting in accordance with your instructions. The board has appointed Curtis C. Griffith and Cory T. Newsom to serve as the proxies for the annual meeting. If you vote by Internet or telephone, you do not have to return your proxy or voting instruction card. Please note, no proxy shall be valid after eleven (11) months from the date of its execution unless otherwise provided in the proxy.</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your shares of common stock are held in “street name,” your ability to vote over the Internet depends on your broker’s voting process. You should follow the instructions on your broker’s or intermediary’s voting instruction card.</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To vote the shares that you hold in “street name” by means of remote communication at the annual meeting, you must provide to the Company in advance of the annual meeting a legal proxy from your broker, bank or other nominee, (1) confirming that you were the beneficial owner of those shares as of the close of business on the record date, (2) stating the number of shares of which you were the beneficial owner that were held for your benefit at that time by that broker, bank or other nominee, and (3) appointing you as the record holder’s proxy to vote the shares covered by that proxy at the annual meeting. If you fail to provide the Company a nominee-issued proxy prior to the annual meeting, you will not be able to vote your nominee-held shares by means of remote communication at the annual meeting.</w:t>
      </w:r>
    </w:p>
    <w:p>
      <w:pPr>
        <w:sectPr>
          <w:pgSz w:w="11900" w:h="16838" w:orient="portrait"/>
          <w:cols w:equalWidth="0" w:num="1">
            <w:col w:w="9019"/>
          </w:cols>
          <w:pgMar w:left="1440" w:top="263" w:right="1440"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 w:name="page10"/>
    <w:bookmarkEnd w:id="9"/>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difference between a shareholder of record and a “street name” holder?</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your shares are registered directly in your name with Broadridge Corporate Issuer Solutions, the Company’s stock transfer agent, you are considered the “shareholder of record” with respect to those shares.</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your shares are held in a brokerage account or by a bank or other nominee, the nominee is considered the record holder of those shares. You are considered the beneficial owner of these shares, and your shares are held in “street name.” This proxy statement and the proxy card or voting instruction card have been forwarded to you by your nominee. As the beneficial owner, you have the right to direct your nominee concerning how to vote your shares by using the voting instructions your nominee included in the mailing or by following its instructions for voting.</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constitutes a quorum for the annual meeting?</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 quorum will be present at a meeting of shareholders if the holders of shares having a majority of the voting power represented by all of the issued and outstanding shares entitled to vote at the meeting are present by means of remote communication or represented by proxy at the annual meeting. Each record holder of shares of common stock is entitled to one vote for each share of common stock registered, on the record date, in such holder’s name on the books of the Company on all matters to be acted upon at the annual meeting. The Company’s certificate of formation prohibits cumulative voting. Participation by shareholders via remote communication constitutes presence for the determination of a quorum for the annual meeting.</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 broker non-vote occurs when a broker holding shares for a beneficial owner does not vote on a particular proposal because the broker does not have discretionary voting power with respect to that item and has not received voting instructions from the beneficial owner. Your broker has discretionary authority to vote your shares with respect to the ratification of the appointment of BKD, LLP as our independent registered public accounting firm (Proposal 2). In the absence of specific instructions from you, your broker does not have discretionary authority to vote your shares with respect to the election of directors to the board (Proposal 1).</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Similarly, if you are a shareholder of record and hold shares in a brokerage account, you will receive a proxy card for shares held in your name and a voting instruction card for shares held in “street name.” Please complete, sign, date and return each proxy card and voting instruction card that you receive to ensure that all your shares are voted.</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the board’s recommendations on how I should vote my shares?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recommends that you vote your shares as follows:</w:t>
      </w:r>
    </w:p>
    <w:p>
      <w:pPr>
        <w:spacing w:after="0" w:line="113" w:lineRule="exact"/>
        <w:rPr>
          <w:sz w:val="20"/>
          <w:szCs w:val="20"/>
          <w:color w:val="auto"/>
        </w:rPr>
      </w:pPr>
    </w:p>
    <w:p>
      <w:pPr>
        <w:jc w:val="both"/>
        <w:ind w:left="1740" w:right="319" w:hanging="1079"/>
        <w:spacing w:after="0" w:line="262" w:lineRule="auto"/>
        <w:rPr>
          <w:sz w:val="20"/>
          <w:szCs w:val="20"/>
          <w:color w:val="auto"/>
        </w:rPr>
      </w:pP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election of the two (2) nominees for Class III directors to serve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until the Company’s 2025 annual meeting of shareholders or until their respective successor or successors are duly elected and qualified or until their earlier death, resignation or removal; and</w:t>
      </w:r>
    </w:p>
    <w:p>
      <w:pPr>
        <w:spacing w:after="0" w:line="68" w:lineRule="exact"/>
        <w:rPr>
          <w:sz w:val="20"/>
          <w:szCs w:val="20"/>
          <w:color w:val="auto"/>
        </w:rPr>
      </w:pPr>
    </w:p>
    <w:p>
      <w:pPr>
        <w:jc w:val="both"/>
        <w:ind w:left="1740" w:right="319" w:hanging="1079"/>
        <w:spacing w:after="0" w:line="286" w:lineRule="auto"/>
        <w:rPr>
          <w:sz w:val="20"/>
          <w:szCs w:val="20"/>
          <w:color w:val="auto"/>
        </w:rPr>
      </w:pP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ratification of the appointment of BKD, LLP as the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of the Company for the year ending December 31, 2022.</w:t>
      </w:r>
    </w:p>
    <w:p>
      <w:pPr>
        <w:spacing w:after="0" w:line="155" w:lineRule="exact"/>
        <w:rPr>
          <w:sz w:val="20"/>
          <w:szCs w:val="20"/>
          <w:color w:val="auto"/>
        </w:rPr>
      </w:pPr>
    </w:p>
    <w:p>
      <w:pPr>
        <w:ind w:left="300" w:right="479"/>
        <w:spacing w:after="0" w:line="286" w:lineRule="auto"/>
        <w:rPr>
          <w:sz w:val="20"/>
          <w:szCs w:val="20"/>
          <w:color w:val="auto"/>
        </w:rPr>
      </w:pPr>
      <w:r>
        <w:rPr>
          <w:rFonts w:ascii="Times New Roman" w:cs="Times New Roman" w:eastAsia="Times New Roman" w:hAnsi="Times New Roman"/>
          <w:sz w:val="18"/>
          <w:szCs w:val="18"/>
          <w:b w:val="1"/>
          <w:bCs w:val="1"/>
          <w:color w:val="auto"/>
        </w:rPr>
        <w:t>How will my shares be voted if I return a signed and dated proxy card, but don’t specify how my shares will be voted?</w:t>
      </w:r>
    </w:p>
    <w:p>
      <w:pPr>
        <w:spacing w:after="0" w:line="5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you are a record holder of common stock as of the record date and return a completed proxy card that does not specify how you want to vote your shares on one or more proposals, the proxies will vote your shares for each proposal as to which you provide no voting instructions, and such shares will be voted in the following manner:</w:t>
      </w:r>
    </w:p>
    <w:p>
      <w:pPr>
        <w:spacing w:after="0" w:line="64" w:lineRule="exact"/>
        <w:rPr>
          <w:sz w:val="20"/>
          <w:szCs w:val="20"/>
          <w:color w:val="auto"/>
        </w:rPr>
      </w:pPr>
    </w:p>
    <w:p>
      <w:pPr>
        <w:jc w:val="both"/>
        <w:ind w:left="1740" w:right="319" w:hanging="1079"/>
        <w:spacing w:after="0" w:line="262" w:lineRule="auto"/>
        <w:rPr>
          <w:sz w:val="20"/>
          <w:szCs w:val="20"/>
          <w:color w:val="auto"/>
        </w:rPr>
      </w:pP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election of the two (2) nominees for Class III directors to serve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until the Company’s 2025 annual meeting of shareholders or until their respective successor or successors are duly elected and qualified or until their earlier death, resignation or removal; and</w:t>
      </w:r>
    </w:p>
    <w:p>
      <w:pPr>
        <w:sectPr>
          <w:pgSz w:w="11900" w:h="16838" w:orient="portrait"/>
          <w:cols w:equalWidth="0" w:num="1">
            <w:col w:w="9019"/>
          </w:cols>
          <w:pgMar w:left="1440" w:top="263" w:right="1440"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 w:name="page11"/>
    <w:bookmarkEnd w:id="10"/>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1740" w:right="319" w:hanging="1079"/>
        <w:spacing w:after="0" w:line="286" w:lineRule="auto"/>
        <w:rPr>
          <w:sz w:val="20"/>
          <w:szCs w:val="20"/>
          <w:color w:val="auto"/>
        </w:rPr>
      </w:pP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ratification of the appointment of BKD, LLP as the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of the Company for the year ending December 31, 2022.</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you are a “street name” holder and do not provide voting instructions on one or more proposals, your bank, broker or other nominee will be unable to vote those shares, except that such nominee will have discretion to vote on the ratification of the appointment of BKD, LLP as the independent registered public accounting firm of the Company for the year ending December 31, 2022 (Proposal 2).</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my choices when voting?</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With respect to the election of the two (2) nominees for Class III directors (Proposal 1), you may vote for, against or abstain from any one or all of the director nominees. With respect to the proposal to ratify the appointment of BKD, LLP (Proposal 2), you may vote for the proposal, against the proposal or abstain from voting on the proposal.</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May I change my vote after I have submitted my proxy card?</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Yes, if you are a record holder of common stock as of the record date, you may revoke your proxy or change your voting instructions at any time before your shares are voted at the annual meeting by:</w:t>
      </w:r>
    </w:p>
    <w:p>
      <w:pPr>
        <w:spacing w:after="0" w:line="54"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Company prior to the annual meeting a written notice of revocation addressed to: South</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Financial, Inc., 5219 City Bank Parkway, Lubbock, Texas 79407, Attn: Corporate Secretary;</w:t>
      </w:r>
    </w:p>
    <w:p>
      <w:pPr>
        <w:spacing w:after="0" w:line="98"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signing and returning a new proxy card with a later date than your original proxy card, prior to such time that the proxy card for any such holder of common stock must be received, and any earlier proxy will be revoked automatically;</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logging onto the Internet website specified on your proxy card in the same manner you would to submit your proxy electronically and following the instructions indicated on the proxy card; or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by means of remote communication, and any earlier proxy will be revoked. However, attending the annual meeting without voting by means of remote communication will not revoke your proxy.</w:t>
      </w:r>
    </w:p>
    <w:p>
      <w:pPr>
        <w:spacing w:after="0" w:line="68"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and you desire to change any voting instructions you have previously given to the record holder of the shares of which you are the beneficial owner, you should contact the broker, bank or other nominee holding your shares in “street name” in order to direct a change in the manner your shares will be voted.</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percentage of the vote is required to approve each proposal?</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Assuming the presence of a quorum, the election of the two (2) nominees for Class III directors to serve on the Company’s board of directors until the Company’s 2025 annual meeting of shareholders or until their respective successor or successors are duly elected and qualified or until their earlier death, resignation or removal (Proposal 1) will require the affirmative vote of the holders of a majority of the shares entitled to vote in the election of directors and represented by means of remote communication or by proxy at the annual meeting.</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Assuming the presence of a quorum, the ratification of the appointment of BKD, LLP as the independent registered public accounting firm of the Company for the year ending December 31, 2022 (Proposal 2) will require the affirmative vote of the majority of the shares entitled to vote and represented by means of remote communication or by proxy at the annual meeting.</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broker non-votes and abstentions treated?</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Broker non-votes, as long as there is one routine matter to be voted on at the meeting, such as the ratification of appointment of BKD, LLP as the Company’s independent registered public accounting firm for the year ending December 31, 2022 (Proposal 2), and abstentions are counted for purposes of determining the presence or absence of a quorum. A broker non-vote with respect to one or more nominees for director will not have the effect of a vote against such nominee or nominees (Proposal 1). Abstentions with respect to one or more nominees for director will have the same effect as a vote against such nominee or nominees. Because the ratification of the appointment of the independent registered public accounting firm is considered a routine matter and a broker or other nominee may generally vote on routine matters, no broker non-votes are expected to occur in connection with the proposal to ratify</w:t>
      </w:r>
    </w:p>
    <w:p>
      <w:pPr>
        <w:sectPr>
          <w:pgSz w:w="11900" w:h="16838" w:orient="portrait"/>
          <w:cols w:equalWidth="0" w:num="1">
            <w:col w:w="9019"/>
          </w:cols>
          <w:pgMar w:left="1440" w:top="263" w:right="1440"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1" w:name="page12"/>
    <w:bookmarkEnd w:id="11"/>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appointment of BKD, LLP as the Company’s independent registered public accounting firm for the year ending December 31, 2022 (Proposal 2). Abstentions with respect to ratification of the appointment of BKD, LLP as the Company’s independent registered public accounting firm for the year ending December 31, 2022 (Proposal 2) will have the effect of a vote against the proposal to ratify.</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the solicitation expenses and who pays the cost of this proxy solicitation?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is asking for your proxy, and we will pay all of the costs of soliciting shareholder proxies. In addition to the solicitation of proxies via mail, our officers, directors and employees may solicit proxies personally or by other means of communication, without being paid additional compensation for such services. The Company will reimburse banks, brokerage houses and other custodians, nominees and fiduciaries for their reasonable expenses in forwarding the proxy materials to beneficial owners of common stock.</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Are there any other matters to be acted upon at the annual meeting?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Management does not intend to present any business at the annual meeting for a vote other than the matters set forth in the notice of the annual meeting, and management has no information that others will do so. The proxy also confers on the proxies the discretionary authority to vote with respect to any matter properly presented at the annual meeting. If other matters requiring a vote of the shareholders properly come before the annual meeting, it is the intention of the persons named in the accompanying proxy card to vote the shares represented by the proxies held by them in accordance with applicable law and their judgment on such matters.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I find voting results?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 will publish the voting results in a current report on Form 8-K, which will be filed with the SEC within four (4) business days following the date of the annual meeting, or any adjournment(s) or postponement(s) thereof.</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communicate with the board?</w:t>
      </w:r>
    </w:p>
    <w:p>
      <w:pPr>
        <w:spacing w:after="0" w:line="121" w:lineRule="exact"/>
        <w:rPr>
          <w:sz w:val="20"/>
          <w:szCs w:val="20"/>
          <w:color w:val="auto"/>
        </w:rPr>
      </w:pPr>
    </w:p>
    <w:p>
      <w:pPr>
        <w:jc w:val="both"/>
        <w:ind w:left="300" w:right="299" w:firstLine="360"/>
        <w:spacing w:after="0" w:line="281" w:lineRule="auto"/>
        <w:rPr>
          <w:sz w:val="20"/>
          <w:szCs w:val="20"/>
          <w:color w:val="auto"/>
        </w:rPr>
      </w:pPr>
      <w:r>
        <w:rPr>
          <w:rFonts w:ascii="Times New Roman" w:cs="Times New Roman" w:eastAsia="Times New Roman" w:hAnsi="Times New Roman"/>
          <w:sz w:val="17"/>
          <w:szCs w:val="17"/>
          <w:color w:val="auto"/>
        </w:rPr>
        <w:t>To communicate with the board, shareholders should submit their comments by sending written correspondence via mail or courier to South Plains Financial, Inc., 5219 City Bank Parkway, Lubbock, Texas 79407, Attn: Corporate Secretary; or via email at investors@city.bank. Shareholder communications will be sent directly to the specific director or directors of the Company indicated in the communication or to all members of the board if not specified.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Number of Directors; Term of Office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board currently consists of six (6) directors. Pursuant to our amended and restated certificate of formation, our board is divided into three (3) classes, which results in a “staggered” board. Directors stand for election for a term expiring at the third annual meeting of shareholders following the annual meeting of shareholders at which such director was elected, or until each person’s successor is duly elected and qualified, or until such director’s earlier death, resignation or removal. The term of the current Class III directors of the Company will expire at this year’s annual meeting.</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elected, the below-listed Class III nominees will serve for a term commencing on the date of the annual meeting and continuing until the 2025 annual meeting of shareholders of the Company or until each person’s successor is duly elected and qualified, or until such director’s earlier death, resignation or removal. Each of the nominees listed below is currently serving as a Class III director of the Company.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 for Election as Class III Directors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age as of December 31, 2021, and positions with the Company for each nominee for election as a Class III director of the Company:</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Nominee</w:t>
            </w:r>
          </w:p>
        </w:tc>
        <w:tc>
          <w:tcPr>
            <w:tcW w:w="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Age</w:t>
            </w:r>
          </w:p>
        </w:tc>
        <w:tc>
          <w:tcPr>
            <w:tcW w:w="4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90"/>
        </w:trPr>
        <w:tc>
          <w:tcPr>
            <w:tcW w:w="2880" w:type="dxa"/>
            <w:vAlign w:val="bottom"/>
            <w:gridSpan w:val="2"/>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4140" w:type="dxa"/>
            <w:vAlign w:val="bottom"/>
            <w:gridSpan w:val="2"/>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51"/>
        </w:trPr>
        <w:tc>
          <w:tcPr>
            <w:tcW w:w="260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38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80" w:type="dxa"/>
            <w:vAlign w:val="bottom"/>
            <w:tcBorders>
              <w:bottom w:val="single" w:sz="8" w:color="CCEEFF"/>
            </w:tcBorders>
            <w:shd w:val="clear" w:color="auto" w:fill="CCEEFF"/>
          </w:tcPr>
          <w:p>
            <w:pPr>
              <w:spacing w:after="0"/>
              <w:rPr>
                <w:sz w:val="24"/>
                <w:szCs w:val="24"/>
                <w:color w:val="auto"/>
              </w:rPr>
            </w:pPr>
          </w:p>
        </w:tc>
        <w:tc>
          <w:tcPr>
            <w:tcW w:w="414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Chairman of the Board; Chief Executive Officer</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1993</w:t>
            </w:r>
          </w:p>
        </w:tc>
        <w:tc>
          <w:tcPr>
            <w:tcW w:w="0" w:type="dxa"/>
            <w:vAlign w:val="bottom"/>
          </w:tcPr>
          <w:p>
            <w:pPr>
              <w:spacing w:after="0"/>
              <w:rPr>
                <w:sz w:val="1"/>
                <w:szCs w:val="1"/>
                <w:color w:val="auto"/>
              </w:rPr>
            </w:pPr>
          </w:p>
        </w:tc>
      </w:tr>
      <w:tr>
        <w:trPr>
          <w:trHeight w:val="270"/>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Kyle R. Wargo</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80" w:type="dxa"/>
            <w:vAlign w:val="bottom"/>
          </w:tcPr>
          <w:p>
            <w:pPr>
              <w:spacing w:after="0"/>
              <w:rPr>
                <w:sz w:val="23"/>
                <w:szCs w:val="23"/>
                <w:color w:val="auto"/>
              </w:rPr>
            </w:pPr>
          </w:p>
        </w:tc>
        <w:tc>
          <w:tcPr>
            <w:tcW w:w="4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-393700</wp:posOffset>
            </wp:positionV>
            <wp:extent cx="1714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-393700</wp:posOffset>
            </wp:positionV>
            <wp:extent cx="1714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-393700</wp:posOffset>
            </wp:positionV>
            <wp:extent cx="1803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12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Curtis C. Griffith – Chairman and Chief Executive Officer</w:t>
      </w:r>
      <w:r>
        <w:rPr>
          <w:rFonts w:ascii="Times New Roman" w:cs="Times New Roman" w:eastAsia="Times New Roman" w:hAnsi="Times New Roman"/>
          <w:sz w:val="18"/>
          <w:szCs w:val="18"/>
          <w:color w:val="auto"/>
        </w:rPr>
        <w:t>. Mr. Griffith has been with the Company since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and has worked with the Bank and its predecessor institutions since 1972. Mr. Griffith became our Chairman and Chief Executive Officer in 1993. In 1972, he was elected to the board of directors of First State Bank of Morton, Texas, a predecessor institution to the Bank, and continues to serve on the board of directors of the Bank. Mr. Griffith has also served as Chairman of the Bank since 1993. Mr. Griffith owns and operates several agriculture-related businesses. In addition, he is a member of the State Bar of Texas, National Cotton Council, Plains Cotton Growers, Texas Cotton Ginners Association and the Texas Independent Ginners Association. He has served on the board of directors of IBAT and continues to serve on the Legislative and PAC committees for IBAT. He has served on the boards of several civic and charitable organizations, including Lubbock Economic Development Alliance, Texas Tech University Foundation, Lubbock Symphony Orchestra, Texas Tech Cotton Economics Advisory Committee, and the Bayer Museum of Agriculture. He currently serves on the Board of Managers of University Medical Center in Lubbock, as a director and officer of the Agriculture Heritage Museum, and as a director of the Texas Tech Research Park, Inc. Mr. Griffith earned degrees in agricultural economics and law from Texas Tech University in 1973 and 1977, respectively. Mr. Griffith’s extensive banking experience, reputable position in the community and invaluable leadership qualify him to serve on our board of directors.</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Kyle R. Wargo</w:t>
      </w:r>
      <w:r>
        <w:rPr>
          <w:rFonts w:ascii="Times New Roman" w:cs="Times New Roman" w:eastAsia="Times New Roman" w:hAnsi="Times New Roman"/>
          <w:sz w:val="18"/>
          <w:szCs w:val="18"/>
          <w:color w:val="auto"/>
        </w:rPr>
        <w:t>. Dr. Wargo has served on the board of directors of the Company since 2016 and on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Bank since 2013. He also served as an advisory director to the Bank from 2002 to 2013. Dr. Wargo has served as Executive Director of Region 17 Education Service Center since 1996 and has previously been a member of the Texas Tech University graduate faculty. Prior to these roles, he served as superintendent of Levelland Independent School District from 1993 to 1996. He also served as Assistant to Superintendent at La Marque Independent School District from 1989 to 1993. Dr. Wargo is a member of the Texas Association of School Administrators and the American Association of School Administrators. Since 1996, he has served as a member of the board of directors and treasurer of the Science Spectrum Museum in Lubbock and since 2008, he has served as a member of the board of directors of Workforce Solutions South Plains. He earned a Bachelor of Science degree from Baylor University in 1982, a Masters of Education from the University of Houston-Clear Lake in 1984, and a Doctorate in Education from the University of Houston in 1995. Dr. Wargo’s experience in administration and leadership, as well as his understanding of state and local government, qualify him to serve on our board.</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Election Procedures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Assuming the presence of a quorum at the annual meeting, the election of directors will require the affirmative vote of the holders of a majority of the shares entitled to vote in the election of directors and represented by means of remote communication or by proxy. This means that the two (2) Class III director nominees who receive a majority of affirmative votes for their election at this year’s annual meeting will be elected.</w:t>
      </w:r>
    </w:p>
    <w:p>
      <w:pPr>
        <w:sectPr>
          <w:pgSz w:w="11900" w:h="16838" w:orient="portrait"/>
          <w:cols w:equalWidth="0" w:num="1">
            <w:col w:w="9019"/>
          </w:cols>
          <w:pgMar w:left="1440" w:top="263" w:right="1440"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3" w:name="page14"/>
    <w:bookmarkEnd w:id="13"/>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Shares represented by proxy will be voted in accordance with instructions. In the absence of instructions to the contrary, completed proxy cards that do not specify how shares should be voted with respect to the election of directors will be voted FOR the election of each Class III nominee listed above.</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a nominee becomes unavailable to serve as a director for any reason before the election, the shares represented by proxy will be voted for such other person, if any, as may be designated by the Company’s board of directors. Alternatively, in lieu of designating a substitute, the Company’s board of directors may reduce the number of directors of the Company. The board has no reason to believe that any of the Class III nominees listed above will be unavailable to serve as a director. All of the Class III nominees listed above have consented to being named herein and to serve if elected.</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THE ELECTION OF EACH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TWO (2) CLASS III NOMINEES LISTED ABOVE FOR ELECTION TO THE BOARD.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2. RATIFICATION OF THE APPOINTMENT OF INDEPENDENT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9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Pursuant to the recommendation of the audit committee of the board of directors (the “Audit Committee”), the board has appointed BKD, LLP as the independent registered public accounting firm of the Company for the year ending December 31, 2022. The board is seeking ratification of the appointment of BKD, LLP for the 2022 fiscal year. Shareholder ratification of the selection of BKD, LLP as our independent registered public accounting firm for the 2022 fiscal year is not required by our governing documents, state law or otherwise. However, the board is submitting the selection of BKD, LLP to our shareholders for ratification as a matter of good corporate governance. If the shareholders fail to ratify the selection, the Audit Committee may consider this information when determining whether to retain BKD, LLP for future services. Even if the appointment is ratified, the Audit Committee in its discretion may direct the appointment of a different independent registered public accounting firm at any time if it is determined that such a change would be in the best interests of the Company.</w:t>
      </w:r>
    </w:p>
    <w:p>
      <w:pPr>
        <w:spacing w:after="0" w:line="8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Company’s former independent registered public accounting firm, Weaver and Tidwell, L.L.P. (“Weaver”), continued to serve as the Company’s auditors for the year ended December 31, 2021 and issued their audit of our financial statements as of and for the year ended December 31, 2021 that are included in our 2021 Annual Report to Shareholders and our Annual Report on Form 10-K for the year ended December 31, 2021. See “INDEPENDENT AUDITORS—Change in Independent Registered Public Accounting Form” below for additional information regarding the change in the Company’s independent registered public accounting firm.</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At the annual meeting, shareholders will be asked to consider and act upon a proposal to ratify the appointment of BKD, LLP as the independent registered public accounting firm of the Company for the year ending December 31, 2022. Assuming a quorum is present, the ratification of such appointment will require the affirmative vote of the majority of the shares entitled to vote and represented by means of remote communication or by proxy. Shares represented by proxy will be voted in accordance with instructions. In the absence of instructions to the contrary, completed proxy cards that do not specify how shares should be voted with respect to the ratification of the appointment of BKD, LLP will be voted FOR the ratification.</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Representatives of BKD, LLP and Weaver are expected to be in attendance at the annual meeting, will be afforded the opportunity to make a statement, and will be available to respond to appropriate questions.</w:t>
      </w:r>
    </w:p>
    <w:p>
      <w:pPr>
        <w:spacing w:after="0" w:line="104"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BOARD RECOMMENDS A VOTE “FOR” THE PROPOSAL TO RATIFY THE APPOINTMENT OF BKD, LLP AS THE COMPANY’S INDEPENDENT REGISTERED PUBLIC ACCOUNTING FIRM FOR THE YEAR ENDING DECEMBER 31, 2022.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board met sixteen (16) times during the 2021 fiscal year (including regularly scheduled and special meetings). During the 2021 fiscal year, each director participated in at least 75% or more of the aggregate of (i) the total number of meetings of the board (held during the period for which he or she was a director) and (ii) the total number of meetings of all committees of the board on which he or she served (during the period that he or she served).</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While the Company does not have a formal policy requiring the directors’ attendance, the board encourages all directors to attend the annual meeting of shareholders. All of our directors attended the 2021 annual meeting of shareholders.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Shareholders who wish to communicate directly with the board may do so by writing to South Plains Financial, Inc. Board of Directors, Corporate Secretary, South Plains Financial, Inc., 5219 City Bank Parkway, Lubbock, Texas 79407. Shareholders may also communicate directly with individual directors by addressing their correspondence accordingly.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size of our board is currently set at six members and the board is divided into three classes. In accordance with the Company’s bylaws, the size of the board is fixed as determined from time to time by resolution of the board. The members of each class are elected for a term of office to expire at the third annual meeting of shareholders following the annual meeting of shareholders at which such director was elected. Any director vacancies may be filled only by the board, even if the remaining directors constitute less than a quorum of the full board; provided, however, that the board may not fill more than two (2) such vacancies resulting from an increase in the number of directors, and, further, that any vacancy in the board resulting from the removal of a director by the shareholders shall be filled only by the shareholders entitled to vote at an annual meeting or a special meeting called for that purpose. In accordance with the Company’s bylaws, a director appointed to fill a vacancy will be appointed to serve until such director’s successor shall have been duly elected and qualified.</w:t>
      </w:r>
    </w:p>
    <w:p>
      <w:pPr>
        <w:spacing w:after="0" w:line="86"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our board has six members, divided into three classes, Class I, Class II and Class III as follows:</w:t>
      </w:r>
    </w:p>
    <w:p>
      <w:pPr>
        <w:spacing w:after="0" w:line="54" w:lineRule="exact"/>
        <w:rPr>
          <w:sz w:val="20"/>
          <w:szCs w:val="20"/>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Richard D. Campbell and Cynthia B. Keith, and their term will expire at the annual meeting of shareholders to be held in 2023;</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Cory T. Newsom and Noe G. Valles, and their term will expire at the annual meeting of shareholders to be held in 2024;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Curtis C. Griffith and Kyle R. Wargo, and their term will expire at the annual meeting of shareholders to be held in 2022.</w:t>
      </w:r>
    </w:p>
    <w:p>
      <w:pPr>
        <w:spacing w:after="0" w:line="54"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As discussed in greater detail below, the board has affirmatively determined that each of Richard D. Campbell, Cynthia B. Keith, Noe G. Valles, and Kyle R. Wargo is an independent director, as defined under the applicable rules. The board determined that each of Curtis C. Griffith and Cory T. Newsom do not qualify as an independent director because each is an executive officer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about the directors. The board is divided into three classes, the terms of which expire at our annual shareholders’ meetings in 2022, 2023, and 2024. Ages are as of December 31, 2021.</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48"/>
        </w:trPr>
        <w:tc>
          <w:tcPr>
            <w:tcW w:w="1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23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Position with the Bank</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w:t>
            </w:r>
          </w:p>
        </w:tc>
        <w:tc>
          <w:tcPr>
            <w:tcW w:w="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90"/>
        </w:trPr>
        <w:tc>
          <w:tcPr>
            <w:tcW w:w="182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2380" w:type="dxa"/>
            <w:vAlign w:val="bottom"/>
            <w:gridSpan w:val="3"/>
            <w:vMerge w:val="continue"/>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8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Until / Class</w:t>
            </w:r>
          </w:p>
        </w:tc>
        <w:tc>
          <w:tcPr>
            <w:tcW w:w="0" w:type="dxa"/>
            <w:vAlign w:val="bottom"/>
          </w:tcPr>
          <w:p>
            <w:pPr>
              <w:spacing w:after="0"/>
              <w:rPr>
                <w:sz w:val="1"/>
                <w:szCs w:val="1"/>
                <w:color w:val="auto"/>
              </w:rPr>
            </w:pPr>
          </w:p>
        </w:tc>
      </w:tr>
      <w:tr>
        <w:trPr>
          <w:trHeight w:val="51"/>
        </w:trPr>
        <w:tc>
          <w:tcPr>
            <w:tcW w:w="1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Chairman of the Board; Chief</w:t>
            </w:r>
          </w:p>
        </w:tc>
        <w:tc>
          <w:tcPr>
            <w:tcW w:w="23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Chairman of the Board</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1993</w:t>
            </w: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2022</w:t>
            </w: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III</w:t>
            </w:r>
          </w:p>
        </w:tc>
        <w:tc>
          <w:tcPr>
            <w:tcW w:w="0" w:type="dxa"/>
            <w:vAlign w:val="bottom"/>
          </w:tcPr>
          <w:p>
            <w:pPr>
              <w:spacing w:after="0"/>
              <w:rPr>
                <w:sz w:val="1"/>
                <w:szCs w:val="1"/>
                <w:color w:val="auto"/>
              </w:rPr>
            </w:pPr>
          </w:p>
        </w:tc>
      </w:tr>
      <w:tr>
        <w:trPr>
          <w:trHeight w:val="268"/>
        </w:trPr>
        <w:tc>
          <w:tcPr>
            <w:tcW w:w="1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Officer</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President</w:t>
            </w:r>
          </w:p>
        </w:tc>
        <w:tc>
          <w:tcPr>
            <w:tcW w:w="2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 President; Chief</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2024</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II</w:t>
            </w: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Officer</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D. Campbell</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2023</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I</w:t>
            </w:r>
          </w:p>
        </w:tc>
        <w:tc>
          <w:tcPr>
            <w:tcW w:w="0" w:type="dxa"/>
            <w:vAlign w:val="bottom"/>
          </w:tcPr>
          <w:p>
            <w:pPr>
              <w:spacing w:after="0"/>
              <w:rPr>
                <w:sz w:val="1"/>
                <w:szCs w:val="1"/>
                <w:color w:val="auto"/>
              </w:rPr>
            </w:pPr>
          </w:p>
        </w:tc>
      </w:tr>
      <w:tr>
        <w:trPr>
          <w:trHeight w:val="270"/>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Cynthia B. Keith</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2023</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w:t>
            </w:r>
          </w:p>
        </w:tc>
        <w:tc>
          <w:tcPr>
            <w:tcW w:w="0" w:type="dxa"/>
            <w:vAlign w:val="bottom"/>
          </w:tcPr>
          <w:p>
            <w:pPr>
              <w:spacing w:after="0"/>
              <w:rPr>
                <w:sz w:val="1"/>
                <w:szCs w:val="1"/>
                <w:color w:val="auto"/>
              </w:rPr>
            </w:pPr>
          </w:p>
        </w:tc>
      </w:tr>
      <w:tr>
        <w:trPr>
          <w:trHeight w:val="54"/>
        </w:trPr>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Noe G. Valles</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2024</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II</w:t>
            </w:r>
          </w:p>
        </w:tc>
        <w:tc>
          <w:tcPr>
            <w:tcW w:w="0" w:type="dxa"/>
            <w:vAlign w:val="bottom"/>
          </w:tcPr>
          <w:p>
            <w:pPr>
              <w:spacing w:after="0"/>
              <w:rPr>
                <w:sz w:val="1"/>
                <w:szCs w:val="1"/>
                <w:color w:val="auto"/>
              </w:rPr>
            </w:pPr>
          </w:p>
        </w:tc>
      </w:tr>
      <w:tr>
        <w:trPr>
          <w:trHeight w:val="270"/>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Kyle R. Wargo</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3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2022</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III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-1490980</wp:posOffset>
            </wp:positionV>
            <wp:extent cx="5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-1490980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-1490980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-1490980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-1490980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is a brief discussion of the business and banking background and experience of our directors.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Directors</w:t>
      </w:r>
    </w:p>
    <w:p>
      <w:pPr>
        <w:spacing w:after="0" w:line="11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Curtis C. Griffith – Chairman and Chief Executive Officer</w:t>
      </w:r>
      <w:r>
        <w:rPr>
          <w:rFonts w:ascii="Times New Roman" w:cs="Times New Roman" w:eastAsia="Times New Roman" w:hAnsi="Times New Roman"/>
          <w:sz w:val="18"/>
          <w:szCs w:val="18"/>
          <w:color w:val="auto"/>
        </w:rPr>
        <w:t>. Mr. Griffith has been with the Company since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and has worked with the Bank and its predecessor institutions since 1972. Mr. Griffith became our Chairman and Chief Executive Officer in 1993. In 1972, he was elected to the board of directors of First State Bank of Morton, Texas, a predecessor institution to the Bank, and continues to serve on the board of directors of the Bank. Mr. Griffith has also served as Chairman of the Bank since 1993. Mr. Griffith owns and operates several agriculture-related businesses. In addition, he is a member of the State Bar of Texas, National Cotton Council, Plains Cotton Growers, Texas Cotton Ginners Association and the Texas Independent Ginners Association. He has served on the board of directors of IBAT and continues to serve on the Legislative and PAC committees for IBAT. He has served on the boards of several civic and charitable organizations, including Lubbock Economic Development Alliance, Texas Tech University Foundation, Lubbock Symphony Orchestra, Texas Tech Cotton Economics Advisory Committee, and the Bayer Museum of Agriculture. He currently serves on the Board of Managers of University Medical Center in Lubbock, as a director and officer of the Agriculture Heritage Museum, and as a director of the Texas Tech Research Park, Inc. Mr. Griffith earned degrees in agricultural economics and law from Texas Tech University in 1973 and 1977, respectively. Mr. Griffith’s extensive banking experience, reputable position in the community and invaluable leadership qualify him to serve on our board of directors.</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Cory T. Newsom – Director and President</w:t>
      </w:r>
      <w:r>
        <w:rPr>
          <w:rFonts w:ascii="Times New Roman" w:cs="Times New Roman" w:eastAsia="Times New Roman" w:hAnsi="Times New Roman"/>
          <w:sz w:val="18"/>
          <w:szCs w:val="18"/>
          <w:color w:val="auto"/>
        </w:rPr>
        <w:t>. Mr. Newsom was named President of the Company in 2019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on the board of directors of the Company since 2008. From 2004 to 2019, he served in various roles at the Company, including Chief Operating Officer, Senior Vice President, and Executive Vice President. Mr. Newsom also served as Chief Operating Officer of the Bank from 1993 to 2007 before being named as President and Chief Executive Officer of the Bank in 2008, positions he continues to hold. He has also served on the board of directors of the Bank since 2002. Mr. Newsom began his career in banking in 1984 with the Bank and its predecessors by progressing through the retail and operations areas. He currently serves on the board of directors of IBAT, Lubbock Children’s Home Foundation, Texas Boys Ranch Foundation, and the University Medical Center Foundation and has previously served on the Board of Managers of University Medical Center in Lubbock. Mr. Newsom earned a Bachelor of Business degree in management from Texas Tech University in 1989 and holds licenses as a managing general agent and general lines agent with the Texas Department of Insurance. His many years of banking experience, and his long-standing business and banking relationships in our markets, qualify him to serve on our board.</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9"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i w:val="1"/>
          <w:iCs w:val="1"/>
          <w:color w:val="auto"/>
        </w:rPr>
        <w:t>Richard “Danny” Campbell</w:t>
      </w:r>
      <w:r>
        <w:rPr>
          <w:rFonts w:ascii="Times New Roman" w:cs="Times New Roman" w:eastAsia="Times New Roman" w:hAnsi="Times New Roman"/>
          <w:sz w:val="17"/>
          <w:szCs w:val="17"/>
          <w:color w:val="auto"/>
        </w:rPr>
        <w:t>. Mr. Campbell serves as the Lead Independent Director on the board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Company and has served on the board of directors of each of the Company and the Bank since 2011. He currently serves as Co-Manager of Henry Resources LLC, President and Chief Executive Officer of Henry TAW LP and as a member of the board of directors and head of the investment team of The Henry Companies Control Trust, part of the Henry family office. He is the former President of Henry Resources LLC, an oil and gas company, Vice President and Chief Investment Officer to the Henry family and Vice President of Business Development for Henry Resources. Mr. Campbell joined Henry Resources in May 2007 after 26 years of oil and gas and banking experience. He served as Executive Vice President and as a member of the board of directors of Community National Bank in</w:t>
      </w:r>
    </w:p>
    <w:p>
      <w:pPr>
        <w:sectPr>
          <w:pgSz w:w="11900" w:h="16838" w:orient="portrait"/>
          <w:cols w:equalWidth="0" w:num="1">
            <w:col w:w="9019"/>
          </w:cols>
          <w:pgMar w:left="1440" w:top="263" w:right="1440"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7" w:name="page18"/>
    <w:bookmarkEnd w:id="17"/>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71" w:lineRule="auto"/>
        <w:rPr>
          <w:sz w:val="20"/>
          <w:szCs w:val="20"/>
          <w:color w:val="auto"/>
        </w:rPr>
      </w:pPr>
      <w:r>
        <w:rPr>
          <w:rFonts w:ascii="Times New Roman" w:cs="Times New Roman" w:eastAsia="Times New Roman" w:hAnsi="Times New Roman"/>
          <w:sz w:val="17"/>
          <w:szCs w:val="17"/>
          <w:color w:val="auto"/>
        </w:rPr>
        <w:t>Midland, Texas, from 2002 until 2007. He brings energy lending oversight and energy advisor experience to the Company from his role as Executive Vice President at Chase Bank in the Permian Basin from 1998 to 2000. In addition to many community service organizations, he has served as a trustee of Wayland Baptist University and on the board of directors for each of the Permian Basin Petroleum Association, Midland Petroleum Club and the Mabee Foundation. He obtained a degree in petroleum engineering from Louisiana State University in 1980. Mr. Campbell’s extensive experience in the energy lending and banking industries qualify him to serve on our board. Henry TAW’s investment in 2011 provided for the appointment of one board member. Richard Campbell was chosen as the appointed board member. All of the shares of the Company owned by Henry TAW LP and James C. Henry are subject to a voting agreement and irrevocable proxy pursuant to which Mr. Campbell exercises voting authority.</w:t>
      </w:r>
    </w:p>
    <w:p>
      <w:pPr>
        <w:spacing w:after="0" w:line="63"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Cynthia B. “Cindi” Keith. </w:t>
      </w:r>
      <w:r>
        <w:rPr>
          <w:rFonts w:ascii="Times New Roman" w:cs="Times New Roman" w:eastAsia="Times New Roman" w:hAnsi="Times New Roman"/>
          <w:sz w:val="18"/>
          <w:szCs w:val="18"/>
          <w:color w:val="auto"/>
        </w:rPr>
        <w:t>Ms. Keith joined the board of directors of the Company in 2019 and has served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of the Bank since 2016. She enjoyed a 25 year career with PricewaterhouseCoopers, LLP, the world’s largest multinational professional services firm. She joined the firm in 1989 and became a partner in 2000. Throughout her career, she specialized in audits of and consulting with technology and communications clients, including global public companies focused on mergers and acquisitions as well as companies in various stages of growth. From 2010 to her retirement in 2014, Ms. Keith served as Operations Leader for the National Professional Services Group of PricewaterhouseCoopers, LLP, and she previously served as North Texas Technology Team Leader from 2002 to 2010. Since early 2018, she has served on the board of directors, audit committee and nominating and governance committee of PCTEL, Inc., a publicly traded company that provides technology solutions to the wireless industry. Ms. Keith holds a degree from the University of Texas at Dallas, is a Certified Public Accountant and has served on the Entrepreneurs for North Texas Board, University of Texas at Dallas Jindal School of Management Advisory Council, the Greater Dallas Chamber Board and the Metroplex Technology Business Council Board of Directors. The depth and breadth of Ms. Keith’s 25 years of experience as a CPA serving various companies, as well as her leadership positions with PricewaterhouseCoopers, LLP, qualify her to serve on our board.</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Noe G. Valles</w:t>
      </w:r>
      <w:r>
        <w:rPr>
          <w:rFonts w:ascii="Times New Roman" w:cs="Times New Roman" w:eastAsia="Times New Roman" w:hAnsi="Times New Roman"/>
          <w:sz w:val="18"/>
          <w:szCs w:val="18"/>
          <w:color w:val="auto"/>
        </w:rPr>
        <w:t>. Mr. Valles joined the board of directors of the Company in 2019 and has served on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Bank since 2015. He is an attorney and has acted as the pre-litigation managing partner of Glasheen, Valles and Inderman, LLP since 2004. Mr. Valles is experienced in handling cases involving all types of injuries and has provided personal injury services in English and Spanish for more than 25 years. He is licensed to practice law in Texas and New Mexico state courts as well as the U.S. District Court for the Northern and Eastern Districts of Texas. Mr. Valles served on the Board of Managers of University Medical Center in Lubbock for 11 years. He is a current member of the South Plains Trial Lawyers Association and the Texas Trial Lawyers Association. In 2018, he was awarded the Community Leader of the Year by the Lubbock League of Latin American Citizens. Mr. Valles earned a Bachelor of Arts degree from Wayland Baptist University in 1988 and was awarded the Distinguished Alumni Award from the University in 2018. He also earned a law degree from Texas Tech University in 1993. Mr. Valles is qualified to serve on our board because of his vast legal expertise and his intimate knowledge of the Texas and New Mexico communities that we serve.</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Kyle R. Wargo</w:t>
      </w:r>
      <w:r>
        <w:rPr>
          <w:rFonts w:ascii="Times New Roman" w:cs="Times New Roman" w:eastAsia="Times New Roman" w:hAnsi="Times New Roman"/>
          <w:sz w:val="18"/>
          <w:szCs w:val="18"/>
          <w:color w:val="auto"/>
        </w:rPr>
        <w:t>. Dr. Wargo has served on the board of directors of the Company since 2016 and on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Bank since 2013. He also served as an advisory director to the Bank from 2002 to 2013. Dr. Wargo has served as Executive Director of Region 17 Education Service Center since 1996 and has previously been a member of the Texas Tech University graduate faculty. Prior to these roles, he served as superintendent of Levelland Independent School District from 1993 to 1996. He also served as Assistant to Superintendent at La Marque Independent School District from 1989 to 1993. Dr. Wargo is a member of the Texas Association of School Administrators and the American Association of School Administrators. Since 1996, he has served as a member of the board of directors and treasurer of the Science Spectrum Museum in Lubbock and since 2008, he has served as a member of the board of directors of Workforce Solutions South Plains. He earned a Bachelor of Science degree from Baylor University in 1982, a Masters of Education from the University of Houston-Clear Lake in 1984, and a Doctorate in Education from the University of Houston in 1995. Dr. Wargo’s experience in administration and leadership, as well as his understanding of state and local government, qualify him to serve on our board.</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the rules of the Nasdaq Global Select Market, a majority of the members of our board are required to be independent. The rules of the Nasdaq Global Select Market, as well as those of the SEC, also impose several other requirements with respect to the independence of our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board has evaluated the independence of each director based upon the rules of the NASDAQ Stock Market and the SEC and has considered the relationships that each direct has with the Company, including the transactions described under the section titled “Certain Relationships and Related Person Transactions” in this proxy statement. Applying these standards, our board has affirmatively determined that each of Richard D. Campbell, Cynthia B. Keith, Noe G. Valles, and Kyle R. Wargo is an independent director, as defined under the applicable rules. The board determined that each of Curtis C. Griffith and Cory T. Newsom does not qualify as an independent director because each is an executive officer of the Company.</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Chairman</w:t>
      </w:r>
      <w:r>
        <w:rPr>
          <w:rFonts w:ascii="Times New Roman" w:cs="Times New Roman" w:eastAsia="Times New Roman" w:hAnsi="Times New Roman"/>
          <w:sz w:val="18"/>
          <w:szCs w:val="18"/>
          <w:color w:val="auto"/>
        </w:rPr>
        <w:t>. Curtis C. Griffith currently serves as our Chairman and Chief Executive Officer. Mr. Griffith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with the Company since its inception and has worked with the Bank and its predecessor institutions for over 50 years. Mr. Griffith has served as Chairman and President of the Company since 1993. In 2019, our executive officer titles were updated, and Mr. Griffith began serving as Chief Executive Officer of the Company rather than President of the Company. Mr. Griffith has also served as Chairman of the Bank since 1984. Mr. Griffith’s primary duties are to lead our board in establishing the Company’s overall vision and strategic plan and to lead the Company’s management in carrying out that plan.</w:t>
      </w:r>
    </w:p>
    <w:p>
      <w:pPr>
        <w:spacing w:after="0" w:line="7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board does not have a formal policy requiring the separation of the roles of Chief Executive Officer and Chairman of the Board. It is the board’s view that rather than having a rigid policy, the board, with the advice and assistance of the nominating and corporate governance committee of the board of directors (the “Nominating and Corporate Governance Committee”), and upon consideration of all relevant factors and circumstances, will determine, as and when appropriate, whether the two offices should be separate. Currently, our leadership structure does not separate the offices of Chief Executive Officer and Chairman of the Board. The board has determined that this leadership structure is in the best interest of our shareholders at this time. Our board believes that this structure makes best use of the Chief Executive Officer’s extensive knowledge of our organization and the banking industry. The board views this arrangement as also providing an efficient nexus between our organization and the board, enabling the board to obtain information pertaining to operational matters expeditiously and enabling our Chairman to bring areas of concern before the board in a timely manner.</w:t>
      </w:r>
    </w:p>
    <w:p>
      <w:pPr>
        <w:spacing w:after="0" w:line="82"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Lead Independent Director</w:t>
      </w:r>
      <w:r>
        <w:rPr>
          <w:rFonts w:ascii="Times New Roman" w:cs="Times New Roman" w:eastAsia="Times New Roman" w:hAnsi="Times New Roman"/>
          <w:sz w:val="18"/>
          <w:szCs w:val="18"/>
          <w:color w:val="auto"/>
        </w:rPr>
        <w:t>. At any time that the Chairman is not independent, the independent directors elect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to serve as the Lead Independent Director. The Lead Independent Director serves as a liaison between the Chairman and the independent directors and has the authority to call and chair meetings or executive sessions of the independent directors, which are held periodically as appropriate but at least twice annually. The Lead Independent Director also chairs full board of directors’ meetings in the absence of the Chairman. Our board has designated Richard D. Campbell to serve as Lead Independent Director.</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Management and Oversight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board has ultimate authority and responsibility for overseeing our risk management. The board monitors, reviews and reacts to material enterprise risks identified by management. The board receives specific reports from executive management on credit, interest rate, liquidity, transactional, compliance and legal, strategic, and reputational risks and the degree of exposure to those risks. The board helps ensure that management is properly focused on risk by, among other things, reviewing and discussing the performance of senior management and business line leaders. Committees of the board have responsibility for risk oversight in specific areas. The Audit Committee oversees financial, accounting and internal control risk management policies. The compensation committee of the board of directors (the “Compensation Committee”) assesses and monitors risks in our compensation program. While our full board maintains the ultimate oversight responsibility for the risk management process, its committees oversee risk in certain specified areas as described in the section entitled “Committees of the Board.”</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nominees to serve as directors of the Company and recommends such persons to the board. The Nominating and Corporate Governance Committee also considers director candidates recommended by shareholders in accordance with the procedures and deadlines summarized in the section titled “Date for Submission of Shareholder Proposals for 2023 Annual Meeting.”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Criteria for Director Nominees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board believes that our directors should have the highest professional and personal ethics and values. They should have broad experience at the policy-making level in areas relevant to our business. They should be committed to enhancing shareholder value and should have sufficient time to carry out their duties and to provide insight and practical wisdom based on experience. Each director must represent the interests of all shareholders. When considering potential director candidates, our board also considers the candidate’s character, judgment, diversity, skill set, specific business background and experience in the context of our needs and those of the board. The Company does not maintain a specific diversity policy, but diversity is considered in the Company’s review of candidates. Diversity includes not only gender and ethnicity, but the various perspectives that come from having differing viewpoints, background, experience and demographics.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Our board has established standing committees in connection with the discharge of its responsibilities. These committees include the Audit Committee, the Compensation Committee and the Nominating and Corporate Governance Committee. Our board also may establish such other committees as it deems appropriate, in accordance with applicable law and regulations and our amended and restated certificate of formation, or the certificate of formation, and our bylaws.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has a separately designated standing Audit Committee as required by the rules of the NASDAQ Stock Market. The Charter of the Audit Committee adopted by the board sets out the responsibilities, authority and specific duties of the Audit Committee. The Charter of the Audit Committee is available on the Company’s website at www.spfi.bank under the “Governance” tab. The Audit Committee met fourteen (14) times during the year 2021.</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responsibilities of the Audit Committee include the following: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quality and integrity of regulatory and financial accounting, financial statements, financial reporting processes and systems of internal accounting and financial controls;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annual independent audit of the Company’s financial statements and internal control over the Bank’s financial reporting, the engagement, compensation and retention of the independent registered public accounting firm and the evaluation of the independent registered public accounting firm’s qualifications, independence and performance;</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any disagreements regarding financial reporting between management and the independent auditor;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evaluating the performance of the internal audit function and review;</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management and the independent auditor to review the effectiveness of our system of internal control and internal audit procedures, and to address any deficiencies in such procedures;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effectiveness of the system for monitoring compliance with laws and regulations and the results of any investigation by management;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and overseeing any special investigations;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receipt, retention and treatment of complaints received by the Company regarding accounting, internal accounting controls or auditing matters, and for the confidential anonymous submission by Company employees of concerns, regarding questionable accounting or auditing matters;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earnings releases and reports filed with the SEC;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report;</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design of the Company’s enterprise-wide risk management framework, including the process for assessing and managing risks, benchmarks for and major financial risk exposures from such risks, supporting methods, risk policies, and risk inventories, as they relate to credit, interest rate, liquidity, transactional, compliance and legal, strategic and reputational risks;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29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reports and recommendations provided by senior management or third party consultants retained by the committee related to the Company’s financial, operational, credit, strategic, market, investment, liquidity, reputational and compliance risks;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significant aggregate risk concentrations and other escalations, and approving significant corrective actions recommended by senior management;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such other matters that are specifically delegated to the Audit Committee by our board from time to time.</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members of the Audit Committee are Kyle R. Wargo (Committee Chairman), Richard D. Campbell, and Cynthia B. Keith. Our board has evaluated the independence of each of the members of our Audit Committee and has affirmatively determined that each of the members of our Audit Committee (1) is an independent director under NASDAQ Stock Market rules, (2) satisfies the additional independence standards under applicable SEC rules for Audit Committee service, and (3) has the ability to read and understand fundamental financial statements. The board has determined that each of Richard D. Campbell and Cynthia B. Keith qualifies as an “audit committee financial expert,” as defined by the SEC.</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Company has a separately designated Compensation Committee, which consists entirely of independent directors as defined by the applicable rules and regulations of the NASDAQ Stock Market. The Charter of the Compensation Committee adopted by the board sets out the responsibilities, authority and specific duties of the Compensation Committee. The Charter of the Compensation Committee is available on our website at www.spfi.bank under the “Governance” tab. The Compensation Committee met three (3) times during the year 2021.</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has the following responsibilities:</w:t>
      </w:r>
    </w:p>
    <w:p>
      <w:pPr>
        <w:spacing w:after="0" w:line="117" w:lineRule="exact"/>
        <w:rPr>
          <w:sz w:val="20"/>
          <w:szCs w:val="20"/>
          <w:color w:val="auto"/>
        </w:rPr>
      </w:pPr>
    </w:p>
    <w:p>
      <w:pPr>
        <w:jc w:val="both"/>
        <w:ind w:left="1000" w:right="29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determining, and recommending to the board for its confirmation, the annual compensation, annual incentive opportunities and any other matter relating to the compensation of the Company’s executive officers;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evaluating the risks related to the Company’s compensation programs and practices;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comparing, in its discretion, compensation practices of any relevant peer group in order to assist in the committee’s evaluation of the appropriateness of the Company’s compensation practices and programs;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administering each of the Company’s non-qualified deferred compensation plans and annual incentive plans, and performing such other duties and responsibilities as may be assigned to the committee under the terms of those plans;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recommending to the board the annual director’s compensation and any additional compensation for services on committees of the board, service as a committee or board chairman, meeting fees or any other benefit payable by virtue of the director’s position as a member of the board;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performance of the executive officers for each fiscal year;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the Compensation Committee Report on executive compensation if required for inclusion in the Company’s annual meeting proxy statement in compliance with the rules and regulations promulgated by the SEC;</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determining, and recommending to the board for its confirmation, the establishment of the performance measures applicable to each performance-based cash incentive and equity incentive award to be made under any plan, and the applicable performance targets for each such performance measure for each such award granted under any plan;</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making recommendations to the board regarding the Company’s compliance with SEC rules and regulations regarding shareholder approval of certain executive compensation matters, including advisory votes on executive compensation and golden parachute compensation, and the requirement under the NASDAQ rules that, with limited exceptions, shareholders approve equity compensation plans; and</w:t>
      </w:r>
    </w:p>
    <w:p>
      <w:pPr>
        <w:spacing w:after="0" w:line="71"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any other duties or responsibilities the board may expressly delegate to the committee from time to time on matters relating to the Company’s compensation programs.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members of the Compensation Committee are Richard D. Campbell (Committee Chairman), Noe G. Valles, and Kyle R. Wargo. Our board has evaluated the independence of each of the members of our Compensation Committee and has affirmatively determined that each of the members of our Compensation Committee meets the definition of an “independent director” under NASDAQ Stock Market rules.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board has also determined that each of the members of the Compensation Committee qualifies as a “nonemployee director” within the meaning of Rule 16b-3 under the Exchange Act. All compensation, equity awards and transactions subject to Section 16 of the Exchange Act will be approved by a committee or subcommittee of the board that is composed solely of two or more “non-employee directors.”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Company has separately designated a Nominating and Corporate Governance Committee, which consists entirely of independent directors as defined by the applicable rules and regulations of the NASDAQ Stock Market. The Charter of the Nominating and Corporate Governance Committee adopted by the board sets out the responsibilities, authority and specific duties of the Nominating and Corporate Governance Committee. The Charter of the Nominating and Corporate Governance Committee is available on our website at www.spfi.bank under the “Governance” tab. The Nominating and Corporate Governance Committee met one (1) time during the year of 2021.</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Nominating and Corporate Governance Committee has the following responsibilities:</w:t>
      </w:r>
    </w:p>
    <w:p>
      <w:pPr>
        <w:spacing w:after="0" w:line="117"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policies on the size and composition of our board;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criteria to be considered in identifying and selecting nominees for director;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possible candidates for election to the board;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candidates for election or re-election to our board of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committee structure, composition and assignments;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 annual performance evaluation of the board and its committees;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committee’s performance and the adequacy of the Charter of the Nominating and Corporate Governance Committee on an annual basis.</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Richard D. Campbell (Committee Chairman), Kyle R. Wargo, and Noe G. Valles. Our board has evaluated the independence of each of the members of our Nominating and Corporate Governance Committee and has affirmatively determined that each of the members of our Compensation Committee meets the definition of an “independent director” under NASDAQ Stock Market rules.</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consider shareholder recommendations for nominees, provided that such shareholder complies with the procedures described in the section titled “—Date For Submission Of Shareholder Proposals For 2023 Annual Meeting.”</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board has adopted a Code of Business Conduct and Ethics that applies to all of our directors, officers and employees. The Code of Business Conduct and Ethics sets forth the standard of conduct that we expect all of our directors, officers and employees to follow, including our Chief Executive Officer and Chief Financial Officer. Our Code of Business Conduct and Ethics is available on our website at www.spfi.bank. We expect that any amendments to the Code of Business Conduct and Ethics, or any waivers of their respective requirements, will be disclosed on our website, as well as any other means required by NASDAQ Global Select Market rules or the SEC.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information shown below in our Board Diversity Matrix is based on voluntary self-identification of each member of our Board of Directors.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Board Diversity Matrix as of March 14, 2022</w:t>
      </w:r>
    </w:p>
    <w:p>
      <w:pPr>
        <w:spacing w:after="0" w:line="60" w:lineRule="exact"/>
        <w:rPr>
          <w:sz w:val="20"/>
          <w:szCs w:val="20"/>
          <w:color w:val="auto"/>
        </w:rPr>
      </w:pPr>
    </w:p>
    <w:tbl>
      <w:tblPr>
        <w:tblLayout w:type="fixed"/>
        <w:tblInd w:w="300" w:type="dxa"/>
        <w:tblCellMar>
          <w:top w:w="0" w:type="dxa"/>
          <w:left w:w="0" w:type="dxa"/>
          <w:bottom w:w="0" w:type="dxa"/>
          <w:right w:w="0" w:type="dxa"/>
        </w:tblCellMar>
      </w:tblPr>
      <w:tr>
        <w:trPr>
          <w:trHeight w:val="331"/>
        </w:trPr>
        <w:tc>
          <w:tcPr>
            <w:tcW w:w="71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580" w:type="dxa"/>
            <w:vAlign w:val="bottom"/>
            <w:tcBorders>
              <w:top w:val="single" w:sz="8" w:color="auto"/>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w w:val="70"/>
              </w:rPr>
              <w:t>6</w:t>
            </w: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r>
      <w:tr>
        <w:trPr>
          <w:trHeight w:val="257"/>
        </w:trPr>
        <w:tc>
          <w:tcPr>
            <w:tcW w:w="7180" w:type="dxa"/>
            <w:vAlign w:val="bottom"/>
          </w:tcPr>
          <w:p>
            <w:pPr>
              <w:spacing w:after="0"/>
              <w:rPr>
                <w:sz w:val="22"/>
                <w:szCs w:val="22"/>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Female</w:t>
            </w:r>
          </w:p>
        </w:tc>
        <w:tc>
          <w:tcPr>
            <w:tcW w:w="260" w:type="dxa"/>
            <w:vAlign w:val="bottom"/>
          </w:tcPr>
          <w:p>
            <w:pPr>
              <w:spacing w:after="0"/>
              <w:rPr>
                <w:sz w:val="22"/>
                <w:szCs w:val="22"/>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Male</w:t>
            </w:r>
          </w:p>
        </w:tc>
      </w:tr>
      <w:tr>
        <w:trPr>
          <w:trHeight w:val="61"/>
        </w:trPr>
        <w:tc>
          <w:tcPr>
            <w:tcW w:w="7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r>
      <w:tr>
        <w:trPr>
          <w:trHeight w:val="318"/>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5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r>
      <w:tr>
        <w:trPr>
          <w:trHeight w:val="27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88"/>
              </w:rPr>
              <w:t>5</w:t>
            </w:r>
          </w:p>
        </w:tc>
      </w:tr>
      <w:tr>
        <w:trPr>
          <w:trHeight w:val="54"/>
        </w:trPr>
        <w:tc>
          <w:tcPr>
            <w:tcW w:w="7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04"/>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5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r>
      <w:tr>
        <w:trPr>
          <w:trHeight w:val="27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Hispanic or Latinx (Mr. Valles)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2"/>
          </w:tcPr>
          <w:p>
            <w:pPr>
              <w:jc w:val="center"/>
              <w:ind w:left="171"/>
              <w:spacing w:after="0"/>
              <w:rPr>
                <w:sz w:val="20"/>
                <w:szCs w:val="20"/>
                <w:color w:val="auto"/>
              </w:rPr>
            </w:pPr>
            <w:r>
              <w:rPr>
                <w:rFonts w:ascii="Times New Roman" w:cs="Times New Roman" w:eastAsia="Times New Roman" w:hAnsi="Times New Roman"/>
                <w:sz w:val="18"/>
                <w:szCs w:val="18"/>
                <w:color w:val="auto"/>
                <w:w w:val="88"/>
              </w:rPr>
              <w:t>1</w:t>
            </w:r>
          </w:p>
        </w:tc>
      </w:tr>
      <w:tr>
        <w:trPr>
          <w:trHeight w:val="54"/>
        </w:trPr>
        <w:tc>
          <w:tcPr>
            <w:tcW w:w="7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7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 (Ms. Keith)</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gridSpan w:val="2"/>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88"/>
              </w:rPr>
              <w:t>4</w:t>
            </w:r>
          </w:p>
        </w:tc>
      </w:tr>
      <w:tr>
        <w:trPr>
          <w:trHeight w:val="54"/>
        </w:trPr>
        <w:tc>
          <w:tcPr>
            <w:tcW w:w="71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r>
    </w:tbl>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 Practices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Company is committed to being a responsible corporate citizen in each of the unique communities in which we operate, and we strive to provide unrivaled customer service while fulfilling and exceeding our customers’ financial needs in each community we serve. Oversight of the Company’s ESG initiatives starts with the Company’s board of directors. The Nominating and Corporate Governance Committee is also responsible for oversight of risks associated with the Company’s overall corporate governance practices, including ESG practices. The Company issued its first sustainability report in the first quarter of 2021 that detailed its ESG initiatives, highlighted contributions to the communities that we serve, and included information about the Company’s four primary pillars under its sustainability framework: social responsibility, people, environmental management, and governance and leadership. The sustainability report may be found on our website with additional information on community outreach at www.spfi.bank, under “Investor Resources—ESG.”</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contained in this “Environmental, Social, and Governance (“ESG”) Practices” section of this proxy statement and in our sustainability report shall not be considered “filed” with the SEC, and such information contained in this “Environmental, Social, and Governance (“ESG”) Practices” section of this proxy statement and in our sustainability report shall not be incorporated by reference into this filing or any future filing under the Securities Act of 1933, as amended, or the Securities Exchange Act of 1934, as amended.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EXECUTIVE OFFICERS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age and position with the Company of each of our named executive officers. The business address for all of these individuals is 5219 City Bank Parkway, Lubbock, Texas 79407.</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Named Executive Officers</w:t>
            </w:r>
          </w:p>
        </w:tc>
        <w:tc>
          <w:tcPr>
            <w:tcW w:w="25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c>
          <w:tcPr>
            <w:tcW w:w="28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Position with the Bank</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50"/>
        </w:trPr>
        <w:tc>
          <w:tcPr>
            <w:tcW w:w="260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59"/>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2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Chairman of the Board and</w:t>
            </w:r>
          </w:p>
        </w:tc>
        <w:tc>
          <w:tcPr>
            <w:tcW w:w="2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Chairman of the Board</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69</w:t>
            </w:r>
          </w:p>
        </w:tc>
      </w:tr>
      <w:tr>
        <w:trPr>
          <w:trHeight w:val="268"/>
        </w:trPr>
        <w:tc>
          <w:tcPr>
            <w:tcW w:w="260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Chief Executive Officer</w:t>
            </w:r>
          </w:p>
        </w:tc>
        <w:tc>
          <w:tcPr>
            <w:tcW w:w="34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5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2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Director and President</w:t>
            </w:r>
          </w:p>
        </w:tc>
        <w:tc>
          <w:tcPr>
            <w:tcW w:w="2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Director; President; Chief</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54</w:t>
            </w:r>
          </w:p>
        </w:tc>
      </w:tr>
      <w:tr>
        <w:trPr>
          <w:trHeight w:val="234"/>
        </w:trPr>
        <w:tc>
          <w:tcPr>
            <w:tcW w:w="2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Executive Officer</w:t>
            </w:r>
          </w:p>
        </w:tc>
        <w:tc>
          <w:tcPr>
            <w:tcW w:w="440" w:type="dxa"/>
            <w:vAlign w:val="bottom"/>
          </w:tcPr>
          <w:p>
            <w:pPr>
              <w:spacing w:after="0"/>
              <w:rPr>
                <w:sz w:val="20"/>
                <w:szCs w:val="20"/>
                <w:color w:val="auto"/>
              </w:rPr>
            </w:pPr>
          </w:p>
        </w:tc>
      </w:tr>
      <w:tr>
        <w:trPr>
          <w:trHeight w:val="54"/>
        </w:trPr>
        <w:tc>
          <w:tcPr>
            <w:tcW w:w="2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2"/>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2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Chief Financial Officer;</w:t>
            </w:r>
          </w:p>
        </w:tc>
        <w:tc>
          <w:tcPr>
            <w:tcW w:w="28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Chief Financial Officer</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50</w:t>
            </w:r>
          </w:p>
        </w:tc>
      </w:tr>
      <w:tr>
        <w:trPr>
          <w:trHeight w:val="234"/>
        </w:trPr>
        <w:tc>
          <w:tcPr>
            <w:tcW w:w="260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Treasurer</w:t>
            </w:r>
          </w:p>
        </w:tc>
        <w:tc>
          <w:tcPr>
            <w:tcW w:w="3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r>
      <w:tr>
        <w:trPr>
          <w:trHeight w:val="54"/>
        </w:trPr>
        <w:tc>
          <w:tcPr>
            <w:tcW w:w="26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1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1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-1045210</wp:posOffset>
            </wp:positionV>
            <wp:extent cx="2228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-1045210</wp:posOffset>
            </wp:positionV>
            <wp:extent cx="2228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-1045210</wp:posOffset>
            </wp:positionV>
            <wp:extent cx="2400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Background of our Named Executive Officers who are not also Directors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Steven B. Crockett – Chief Financial Officer and Treasurer</w:t>
      </w:r>
      <w:r>
        <w:rPr>
          <w:rFonts w:ascii="Times New Roman" w:cs="Times New Roman" w:eastAsia="Times New Roman" w:hAnsi="Times New Roman"/>
          <w:sz w:val="18"/>
          <w:szCs w:val="18"/>
          <w:color w:val="auto"/>
        </w:rPr>
        <w:t>. Mr. Crockett has served as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Treasurer of the Company and as Chief Financial Officer of the Bank since 2015. He served as Senior Vice President and Controller of the Company from 2010 to 2014 and as Controller of the Bank from 2001 to 2014. Mr. Crockett began his career in public accounting in 1994, working for seven years with the Lubbock accounting firm Robinson Burdette Martin &amp; Cowan, LLP, which previously functioned as a practicing office of PricewaterhouseCoopers, LLP. As Controller of the Company and the Bank, he was responsible for financial and regulatory reporting, coordinating financial statement audits, budgeting, capital forecasting, and financial projections. He currently serves on the Board of Trustees for Lubbock Christian University. Mr. Crockett earned a degree in accounting from Abilene Christian University and is a licensed Certified Public Accountant.</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Senior Leadership Team</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other members of our Bank’s senior leadership team who, in addition to Messrs. Griffith, Newsom and Crockett, serve as officers of City Bank.</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Officer</w:t>
            </w:r>
          </w:p>
        </w:tc>
        <w:tc>
          <w:tcPr>
            <w:tcW w:w="25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Position at the Company</w:t>
            </w:r>
          </w:p>
        </w:tc>
        <w:tc>
          <w:tcPr>
            <w:tcW w:w="28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Position at the Bank</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50"/>
        </w:trPr>
        <w:tc>
          <w:tcPr>
            <w:tcW w:w="260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1"/>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Mikella D. Newsom</w:t>
            </w:r>
          </w:p>
        </w:tc>
        <w:tc>
          <w:tcPr>
            <w:tcW w:w="25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Chief Risk Officer; Secretary</w:t>
            </w:r>
          </w:p>
        </w:tc>
        <w:tc>
          <w:tcPr>
            <w:tcW w:w="28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Chief Risk Officer</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48</w:t>
            </w:r>
          </w:p>
        </w:tc>
      </w:tr>
      <w:tr>
        <w:trPr>
          <w:trHeight w:val="25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Kelly L. Deterding</w:t>
            </w:r>
          </w:p>
        </w:tc>
        <w:tc>
          <w:tcPr>
            <w:tcW w:w="2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Senior Vice President,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63</w:t>
            </w:r>
          </w:p>
        </w:tc>
      </w:tr>
      <w:tr>
        <w:trPr>
          <w:trHeight w:val="234"/>
        </w:trPr>
        <w:tc>
          <w:tcPr>
            <w:tcW w:w="2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8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Insurance Development</w:t>
            </w:r>
          </w:p>
        </w:tc>
        <w:tc>
          <w:tcPr>
            <w:tcW w:w="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-530860</wp:posOffset>
            </wp:positionV>
            <wp:extent cx="2228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-530860</wp:posOffset>
            </wp:positionV>
            <wp:extent cx="2228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-530860</wp:posOffset>
            </wp:positionV>
            <wp:extent cx="240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Background of our Senior Leadership Team who are not also Directors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Mikella D. Newsom – Chief Risk Officer and Secretary</w:t>
      </w:r>
      <w:r>
        <w:rPr>
          <w:rFonts w:ascii="Times New Roman" w:cs="Times New Roman" w:eastAsia="Times New Roman" w:hAnsi="Times New Roman"/>
          <w:sz w:val="18"/>
          <w:szCs w:val="18"/>
          <w:color w:val="auto"/>
        </w:rPr>
        <w:t>. Ms. Newsom was named Chief Risk Officer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2019 and has served as Secretary of the Company since 2013. She previously served in a number of other capacities at the Company since 2013, including Senior Vice President, Chief Financial Officer, and Treasurer through 2015. She has worked more than 20 years with the Bank and its predecessors and has served as Chief Risk Officer of the Bank since 2015 and previously held the positions of Senior Vice President and Chief Financial Officer of the Bank. She is a member of the Risk Management Association and the Texas Bankers Association where she serves on the Chief Risk Officer steering committee. She currently serves on the Board of Trustees for Frenship Independent School District and the board of directors of the Frenship Foundation for Leadership. Ms. Newsom earned a Bachelor of Science degree in agricultural economics from Texas Tech University in 1996.</w:t>
      </w:r>
    </w:p>
    <w:p>
      <w:pPr>
        <w:spacing w:after="0" w:line="8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Kelly L. Deterding – President of Windmark Insurance and Senior Vice President, Insurance Development of City Bank</w:t>
      </w:r>
      <w:r>
        <w:rPr>
          <w:rFonts w:ascii="Times New Roman" w:cs="Times New Roman" w:eastAsia="Times New Roman" w:hAnsi="Times New Roman"/>
          <w:sz w:val="18"/>
          <w:szCs w:val="18"/>
          <w:color w:val="auto"/>
        </w:rPr>
        <w:t>. Mr. Deterding has served as President of Windmark Insurance and as Senior Vice President of Insurance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at the Bank since he joined us in 2003. He has been involved in the crop insurance industry since 1996, serving as an adjuster, a claims supervisor and a marketing representative for American Agrisurance until 2002. Mr. Deterding has served on the board of directors of several civic, church and charitable organizations including the Calvary Lutheran Church, Chief Creek Chapter Ducks Unlimited, the Wray Recreational Activities Center, Eastern Yuma County Historical Society, the Colorado Football Officials Association and the Big 12 Football Officials Association. Mr. Deterding is also involved in several U.S. industry trade associations that provide experienced representation of its members, advising on federal legislation and regulatory issues impacting the private sector crop insurance industry. Those associations include the Crop Insurance Professionals of America and the American Association of Crop Insurers, or AACI. He currently serves on the board of directors for AACI and as the Chairman of the Agent Division of AACI. Mr. Deterding earned a Bachelor of Arts degree from Hastings College in 1980.</w:t>
      </w:r>
    </w:p>
    <w:p>
      <w:pPr>
        <w:sectPr>
          <w:pgSz w:w="11900" w:h="16838" w:orient="portrait"/>
          <w:cols w:equalWidth="0" w:num="1">
            <w:col w:w="9019"/>
          </w:cols>
          <w:pgMar w:left="1440" w:top="263" w:right="1440"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4" w:name="page25"/>
    <w:bookmarkEnd w:id="24"/>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AND OTHER MATTERS</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We are an “emerging growth company,” as defined in the Jumpstart Our Business Startups Act of 2012, or the JOBS Act. As such, we are eligible to take advantage of certain exemptions from various reporting requirements that are applicable to other public companies that are not emerging growth companies. These include, but are not limited to, reduced disclosure obligations regarding executive compensation in our proxy statements, including the requirement to include a specific form of Compensation Discussion and Analysis, as well as exemptions from the requirement to hold a non-binding advisory vote on executive compensation and the requirement to obtain shareholder approval of any golden parachute payments not previously approved. We have elected to comply with the scaled disclosure requirements applicable to emerging growth companies.</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Our “named executive officers,” which consist of our principal executive officer and the two other most highly compensated executive officers, are:</w:t>
      </w:r>
    </w:p>
    <w:p>
      <w:pPr>
        <w:spacing w:after="0" w:line="50"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Curtis C. Griffith </w:t>
      </w:r>
      <w:r>
        <w:rPr>
          <w:rFonts w:ascii="Times New Roman" w:cs="Times New Roman" w:eastAsia="Times New Roman" w:hAnsi="Times New Roman"/>
          <w:sz w:val="18"/>
          <w:szCs w:val="18"/>
          <w:color w:val="auto"/>
        </w:rPr>
        <w:t>— Chairman and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Cory T. Newsom </w:t>
      </w:r>
      <w:r>
        <w:rPr>
          <w:rFonts w:ascii="Times New Roman" w:cs="Times New Roman" w:eastAsia="Times New Roman" w:hAnsi="Times New Roman"/>
          <w:sz w:val="18"/>
          <w:szCs w:val="18"/>
          <w:color w:val="auto"/>
        </w:rPr>
        <w:t>— President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Steven B. Crockett </w:t>
      </w:r>
      <w:r>
        <w:rPr>
          <w:rFonts w:ascii="Times New Roman" w:cs="Times New Roman" w:eastAsia="Times New Roman" w:hAnsi="Times New Roman"/>
          <w:sz w:val="18"/>
          <w:szCs w:val="18"/>
          <w:color w:val="auto"/>
        </w:rPr>
        <w:t>— Chief Financial Officer</w:t>
      </w:r>
    </w:p>
    <w:p>
      <w:pPr>
        <w:spacing w:after="0" w:line="3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paid, awarded to, or earned by each of our named executive officers for the fiscal years indicated.</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60" w:type="dxa"/>
            <w:vAlign w:val="bottom"/>
            <w:gridSpan w:val="2"/>
            <w:vMerge w:val="continue"/>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0" w:type="dxa"/>
            <w:vAlign w:val="bottom"/>
          </w:tcPr>
          <w:p>
            <w:pPr>
              <w:spacing w:after="0"/>
              <w:rPr>
                <w:sz w:val="12"/>
                <w:szCs w:val="12"/>
                <w:color w:val="auto"/>
              </w:rPr>
            </w:pPr>
          </w:p>
        </w:tc>
        <w:tc>
          <w:tcPr>
            <w:tcW w:w="6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Salary</w:t>
            </w:r>
          </w:p>
        </w:tc>
        <w:tc>
          <w:tcPr>
            <w:tcW w:w="640" w:type="dxa"/>
            <w:vAlign w:val="bottom"/>
            <w:gridSpan w:val="2"/>
            <w:vMerge w:val="continue"/>
          </w:tcPr>
          <w:p>
            <w:pPr>
              <w:spacing w:after="0"/>
              <w:rPr>
                <w:sz w:val="12"/>
                <w:szCs w:val="12"/>
                <w:color w:val="auto"/>
              </w:rPr>
            </w:pPr>
          </w:p>
        </w:tc>
        <w:tc>
          <w:tcPr>
            <w:tcW w:w="5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6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96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9"/>
              <w:spacing w:after="0" w:line="24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(1)</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(2)</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(3)</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(4)</w:t>
            </w:r>
          </w:p>
        </w:tc>
        <w:tc>
          <w:tcPr>
            <w:tcW w:w="8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Curtis C. Griffith</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400,000</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160,000</w:t>
            </w:r>
          </w:p>
        </w:tc>
        <w:tc>
          <w:tcPr>
            <w:tcW w:w="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125,999</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230,000</w:t>
            </w: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126,839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1,042,838</w:t>
            </w:r>
          </w:p>
        </w:tc>
        <w:tc>
          <w:tcPr>
            <w:tcW w:w="0" w:type="dxa"/>
            <w:vAlign w:val="bottom"/>
          </w:tcPr>
          <w:p>
            <w:pPr>
              <w:spacing w:after="0"/>
              <w:rPr>
                <w:sz w:val="1"/>
                <w:szCs w:val="1"/>
                <w:color w:val="auto"/>
              </w:rPr>
            </w:pPr>
          </w:p>
        </w:tc>
      </w:tr>
      <w:tr>
        <w:trPr>
          <w:trHeight w:val="203"/>
        </w:trPr>
        <w:tc>
          <w:tcPr>
            <w:tcW w:w="1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Chairman of the Board</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and Chief Executive</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2020</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361,083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55,800</w:t>
            </w: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125,995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304,200</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74,579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921,657</w:t>
            </w:r>
          </w:p>
        </w:tc>
        <w:tc>
          <w:tcPr>
            <w:tcW w:w="0" w:type="dxa"/>
            <w:vAlign w:val="bottom"/>
          </w:tcPr>
          <w:p>
            <w:pPr>
              <w:spacing w:after="0"/>
              <w:rPr>
                <w:sz w:val="1"/>
                <w:szCs w:val="1"/>
                <w:color w:val="auto"/>
              </w:rPr>
            </w:pPr>
          </w:p>
        </w:tc>
      </w:tr>
      <w:tr>
        <w:trPr>
          <w:trHeight w:val="237"/>
        </w:trPr>
        <w:tc>
          <w:tcPr>
            <w:tcW w:w="1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Officer</w:t>
            </w: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Cory T. Newsom</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7"/>
              </w:rPr>
              <w:t>630,000</w:t>
            </w:r>
          </w:p>
        </w:tc>
        <w:tc>
          <w:tcPr>
            <w:tcW w:w="8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220,501</w:t>
            </w: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472,500</w:t>
            </w:r>
          </w:p>
        </w:tc>
        <w:tc>
          <w:tcPr>
            <w:tcW w:w="8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7"/>
                <w:szCs w:val="17"/>
                <w:color w:val="auto"/>
              </w:rPr>
              <w:t>205,657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1,528,658</w:t>
            </w:r>
          </w:p>
        </w:tc>
        <w:tc>
          <w:tcPr>
            <w:tcW w:w="0" w:type="dxa"/>
            <w:vAlign w:val="bottom"/>
          </w:tcPr>
          <w:p>
            <w:pPr>
              <w:spacing w:after="0"/>
              <w:rPr>
                <w:sz w:val="1"/>
                <w:szCs w:val="1"/>
                <w:color w:val="auto"/>
              </w:rPr>
            </w:pPr>
          </w:p>
        </w:tc>
      </w:tr>
      <w:tr>
        <w:trPr>
          <w:trHeight w:val="219"/>
        </w:trPr>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President</w:t>
            </w:r>
          </w:p>
        </w:tc>
        <w:tc>
          <w:tcPr>
            <w:tcW w:w="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2020</w:t>
            </w:r>
          </w:p>
        </w:tc>
        <w:tc>
          <w:tcPr>
            <w:tcW w:w="6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630,000</w:t>
            </w:r>
          </w:p>
        </w:tc>
        <w:tc>
          <w:tcPr>
            <w:tcW w:w="80" w:type="dxa"/>
            <w:vAlign w:val="bottom"/>
          </w:tcPr>
          <w:p>
            <w:pPr>
              <w:spacing w:after="0"/>
              <w:rPr>
                <w:sz w:val="19"/>
                <w:szCs w:val="19"/>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220,495</w:t>
            </w:r>
          </w:p>
        </w:tc>
        <w:tc>
          <w:tcPr>
            <w:tcW w:w="80" w:type="dxa"/>
            <w:vAlign w:val="bottom"/>
          </w:tcPr>
          <w:p>
            <w:pPr>
              <w:spacing w:after="0"/>
              <w:rPr>
                <w:sz w:val="19"/>
                <w:szCs w:val="19"/>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472,500</w:t>
            </w:r>
          </w:p>
        </w:tc>
        <w:tc>
          <w:tcPr>
            <w:tcW w:w="80" w:type="dxa"/>
            <w:vAlign w:val="bottom"/>
          </w:tcPr>
          <w:p>
            <w:pPr>
              <w:spacing w:after="0"/>
              <w:rPr>
                <w:sz w:val="19"/>
                <w:szCs w:val="19"/>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ind w:right="80"/>
              <w:spacing w:after="0"/>
              <w:rPr>
                <w:sz w:val="20"/>
                <w:szCs w:val="20"/>
                <w:color w:val="auto"/>
              </w:rPr>
            </w:pPr>
            <w:r>
              <w:rPr>
                <w:rFonts w:ascii="Times New Roman" w:cs="Times New Roman" w:eastAsia="Times New Roman" w:hAnsi="Times New Roman"/>
                <w:sz w:val="17"/>
                <w:szCs w:val="17"/>
                <w:color w:val="auto"/>
              </w:rPr>
              <w:t>109,298</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1,432,293</w:t>
            </w: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8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Steven B. Crockett</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290,000</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34,800</w:t>
            </w: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115,999</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139,200</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49,363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629,362</w:t>
            </w:r>
          </w:p>
        </w:tc>
        <w:tc>
          <w:tcPr>
            <w:tcW w:w="0" w:type="dxa"/>
            <w:vAlign w:val="bottom"/>
          </w:tcPr>
          <w:p>
            <w:pPr>
              <w:spacing w:after="0"/>
              <w:rPr>
                <w:sz w:val="1"/>
                <w:szCs w:val="1"/>
                <w:color w:val="auto"/>
              </w:rPr>
            </w:pPr>
          </w:p>
        </w:tc>
      </w:tr>
      <w:tr>
        <w:trPr>
          <w:trHeight w:val="219"/>
        </w:trPr>
        <w:tc>
          <w:tcPr>
            <w:tcW w:w="1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Chief Financial Officer</w:t>
            </w:r>
          </w:p>
        </w:tc>
        <w:tc>
          <w:tcPr>
            <w:tcW w:w="6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2020</w:t>
            </w:r>
          </w:p>
        </w:tc>
        <w:tc>
          <w:tcPr>
            <w:tcW w:w="6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290,000</w:t>
            </w:r>
          </w:p>
        </w:tc>
        <w:tc>
          <w:tcPr>
            <w:tcW w:w="80" w:type="dxa"/>
            <w:vAlign w:val="bottom"/>
            <w:shd w:val="clear" w:color="auto" w:fill="CCEEFF"/>
          </w:tcPr>
          <w:p>
            <w:pPr>
              <w:spacing w:after="0"/>
              <w:rPr>
                <w:sz w:val="19"/>
                <w:szCs w:val="1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34,800</w:t>
            </w:r>
          </w:p>
        </w:tc>
        <w:tc>
          <w:tcPr>
            <w:tcW w:w="80" w:type="dxa"/>
            <w:vAlign w:val="bottom"/>
            <w:shd w:val="clear" w:color="auto" w:fill="CCEEFF"/>
          </w:tcPr>
          <w:p>
            <w:pPr>
              <w:spacing w:after="0"/>
              <w:rPr>
                <w:sz w:val="19"/>
                <w:szCs w:val="19"/>
                <w:color w:val="auto"/>
              </w:rPr>
            </w:pPr>
          </w:p>
        </w:tc>
        <w:tc>
          <w:tcPr>
            <w:tcW w:w="5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115,998</w:t>
            </w:r>
          </w:p>
        </w:tc>
        <w:tc>
          <w:tcPr>
            <w:tcW w:w="8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139,200</w:t>
            </w:r>
          </w:p>
        </w:tc>
        <w:tc>
          <w:tcPr>
            <w:tcW w:w="8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49,817</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629,815</w:t>
            </w:r>
          </w:p>
        </w:tc>
        <w:tc>
          <w:tcPr>
            <w:tcW w:w="0" w:type="dxa"/>
            <w:vAlign w:val="bottom"/>
          </w:tcPr>
          <w:p>
            <w:pPr>
              <w:spacing w:after="0"/>
              <w:rPr>
                <w:sz w:val="1"/>
                <w:szCs w:val="1"/>
                <w:color w:val="auto"/>
              </w:rPr>
            </w:pPr>
          </w:p>
        </w:tc>
      </w:tr>
      <w:tr>
        <w:trPr>
          <w:trHeight w:val="108"/>
        </w:trPr>
        <w:tc>
          <w:tcPr>
            <w:tcW w:w="18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gridSpan w:val="2"/>
            <w:vMerge w:val="continue"/>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2"/>
            <w:vMerge w:val="continue"/>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8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-1388110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-1388110</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-1388110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-1388110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-1388110</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-1388110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-1388110</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-1388110</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-1388110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portion of the annual incentive bonuses that were earned based upon the named executive officer’s individual performance, as determined in the discretion of the Compensation Committee. For a description of annual incentive bonuses for 2021, see “Annual Cash Incentive Compensation” below.</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aggregate grant date fair value, determined in accordance with applicable FASB ASC Topic 718, of equity-based awards made during the 2021 fiscal year. The discussion of the assumptions used in calculating the aggregate grant date fair value of the equity-based awards can be found in Footnote 11 of the Notes to Consolidated Financial Statements included in the Company’s Annual Report on Form 10-K for the year ended December 31, 2021.</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annual incentive bonuses that were earned in 2021. For a description of annual incentive bonuses for 2021, see “Annual Cash Incentive Compensation” below.</w:t>
      </w:r>
    </w:p>
    <w:p>
      <w:pPr>
        <w:ind w:left="640" w:right="299" w:hanging="348"/>
        <w:spacing w:after="0" w:line="261"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provide our named executive officers with other benefits that we believe are reasonable, competitive and consistent with our overall executive compensation structure. The amounts in this column for fiscal year 2021 include:</w:t>
      </w:r>
    </w:p>
    <w:p>
      <w:pPr>
        <w:spacing w:after="0" w:line="54" w:lineRule="exact"/>
        <w:rPr>
          <w:rFonts w:ascii="Times New Roman" w:cs="Times New Roman" w:eastAsia="Times New Roman" w:hAnsi="Times New Roman"/>
          <w:sz w:val="14"/>
          <w:szCs w:val="14"/>
          <w:color w:val="auto"/>
        </w:rPr>
      </w:pPr>
    </w:p>
    <w:p>
      <w:pPr>
        <w:jc w:val="both"/>
        <w:ind w:left="1000" w:right="319" w:hanging="348"/>
        <w:spacing w:after="0" w:line="236" w:lineRule="auto"/>
        <w:tabs>
          <w:tab w:leader="none" w:pos="10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Griffith: unused sick and vacation pay of $72,308 per his employment agreement, referral commissions of $211, a holiday gift in respect of service as a director valued at $7,735 and related tax gross-up of $2,181, vehicle expenses and related tax gross-up of $20,028 per his employment agreement, a matching contribution for our 401(k) of $14,500 and excess contributions of $5,500 paid in cash and Company-paid premiums for group insurance of $4,376.</w:t>
      </w:r>
    </w:p>
    <w:p>
      <w:pPr>
        <w:spacing w:after="0" w:line="68" w:lineRule="exact"/>
        <w:rPr>
          <w:rFonts w:ascii="Times New Roman" w:cs="Times New Roman" w:eastAsia="Times New Roman" w:hAnsi="Times New Roman"/>
          <w:sz w:val="14"/>
          <w:szCs w:val="14"/>
          <w:color w:val="auto"/>
        </w:rPr>
      </w:pPr>
    </w:p>
    <w:p>
      <w:pPr>
        <w:jc w:val="both"/>
        <w:ind w:left="1000" w:right="299" w:hanging="348"/>
        <w:spacing w:after="0" w:line="231" w:lineRule="auto"/>
        <w:tabs>
          <w:tab w:leader="none" w:pos="10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Newsom: a full tax gross-up of $23,508 on the positive spread of vested restricted stock units per his employment agreement, unused sick and vacation pay of $113,884 per his employment agreement, referral commissions of $4,051, a holiday gift in respect of service as a director valued at $7,735 and related tax gross-up of $2,181, vehicle expenses and related tax gross-up of $8,362 per his employment agreement, Company-paid health incentives of $400, a matching contribution for our 401(k) of $14,500 and excess contributions of $17,000 paid in cash, Company-paid premiums for group insurance of $1,256 and home security and country-club dues of $12,780 per his employment agreement.</w:t>
      </w:r>
    </w:p>
    <w:p>
      <w:pPr>
        <w:spacing w:after="0" w:line="69" w:lineRule="exact"/>
        <w:rPr>
          <w:rFonts w:ascii="Times New Roman" w:cs="Times New Roman" w:eastAsia="Times New Roman" w:hAnsi="Times New Roman"/>
          <w:sz w:val="14"/>
          <w:szCs w:val="14"/>
          <w:color w:val="auto"/>
        </w:rPr>
      </w:pPr>
    </w:p>
    <w:p>
      <w:pPr>
        <w:ind w:left="1000" w:right="319" w:hanging="348"/>
        <w:spacing w:after="0" w:line="261" w:lineRule="auto"/>
        <w:tabs>
          <w:tab w:leader="none" w:pos="10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Mr. Crockett: unused sick and vacation pay of $18,961 per the Company’s personnel policy, vehicle expenses of $15,000, a matching contribution for our 401(k) of $14,500 and Company-paid premiums for group insurance of $902.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Discussion of Summary Compensation Table</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We originally established our executive compensation philosophy and practices to fit our status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privately held corporation and adapted our philosophy and practices following our initial public offering. We will continue to review, evaluate and modify our compensation framework in an effort to maintain a competitive total compensation package. As such, and as a result of our becoming a publicly traded company, the compensation program moving forward could vary from our historical practices.</w:t>
      </w:r>
    </w:p>
    <w:p>
      <w:pPr>
        <w:spacing w:after="0" w:line="7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believe the current mix and value of these compensation elements provide our named executive officers with total annual compensation that is both reasonable and competitive within our markets, appropriately reflects our performance and the executive’s particular contributions to that performance, and takes into account applicable regulatory guidelines and requirements.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Base salary is designed to attract and retain experienced executive officers who can manage the Company and the Bank and achieve the Company’s long-term business goals. Base salaries are generally targeted at the top of the competitive market. The base salary for each executive officer is based upon officer experience, expected personal performance, salary levels in effect for comparable positions in the industry, internal base salary comparability considerations and the responsibilities assumed by the executive officer. While an executive officer’s initial salary is determined by an assessment of competitive market levels, the major factor in determining base salary increases is individual performance. Base salaries are reviewed and adjusted annually to reflect changes in personal achievement, changes in role, responsibility and the competitive environment. Insurance benefits and retirement benefits are not taken into account when determining base salary.</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order to stay competitive vis-à-vis base salaries in effect for comparable positions in the industry, the Company determined to increase the base salary for Mr. Griffith for fiscal year 2021. In fiscal year 2021, Mr. Griffith’s base salary increased from $360,000 to $400,000.</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Annual Cash Incentive Compensation</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Our annual cash incentive compensation program is designed to supplement base salary and align the executive’s interest with the interests of our shareholders by linking the Company’s performance to the amount of any bonus. The annual cash incentive bonus is expressed as a percentage of the executive’s base salary, and the performance targets for the applicable fiscal year are set by the Compensation Committee near the beginning of that fiscal year. At the end of each fiscal year, the Compensation Committee determines the amount of the bonus that is earned by each executive officer based upon the Company’s actual results compared to the annual budget. The annual cash bonus is usually earned in December but paid prior to March 15 of the next fiscal year. Mr. Newsom’s and Mr. Griffith’s annual cash incentive bonuses are governed by their employment agreements. For fiscal year end December 31, 2021, Mr. Griffith was eligible for a performance-based annual cash bonus targeted at 50% of his salary and a maximum not exceeding 100% of his salary. The performance-based annual cash bonus was determined based on the following performance metrics: (i) the Company’s net income compared to the projected net income for the year (weighted at 20%); (ii) the Bank’s efficiency ratio (weighted at 20%); (iii) the Bank’s asset quality, measured in relation to other peer group financial institutions (weighted at 20%); and (iv) the individual performance, as determined in the discretion of the Compensation Committee (weighted at 40%). For fiscal year end December 31, 2021, Mr. Newsom was eligible for a performance-based annual cash bonus targeted at 50% of his salary and a maximum not exceeding 75% of his salary. The performance-based annual cash bonus was measured against certain criteria, including, among other metrics, (i) the Company’s net income compared to the projected net income for the year (weighted at 50%); (ii) the Bank’s efficiency ratio (weighted at 25%); and (iii) the Bank’s asset quality, measured in relation to other peer group financial institutions (weighted at 25%). For fiscal year end December 31, 2021, Mr. Crockett was eligible for a performance-based annual cash bonus targeted at 40% of his salary and a maximum not exceeding 60% of his salary. The performance-based annual cash bonus was determined based on the following performance metrics: (i) the Company’s net income compared to the projected net income for the year (weighted at 30%); (ii) the Bank’s efficiency ratio (weighted at 20%); (iii) the Bank’s asset quality, measured in relation to other peer group financial institutions (weighted at 20%); and (iv) individual performance as determined in the discretion of the Chief Executive Officer (weighted at 30%). The following table sets forth information regarding the results of the 2021 annual cash incentive plan.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Steven B. Crockett</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6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5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 Specific Performance Metric</w:t>
            </w:r>
          </w:p>
        </w:tc>
        <w:tc>
          <w:tcPr>
            <w:tcW w:w="80" w:type="dxa"/>
            <w:vAlign w:val="bottom"/>
          </w:tcPr>
          <w:p>
            <w:pPr>
              <w:spacing w:after="0"/>
              <w:rPr>
                <w:sz w:val="12"/>
                <w:szCs w:val="12"/>
                <w:color w:val="auto"/>
              </w:rPr>
            </w:pPr>
          </w:p>
        </w:tc>
        <w:tc>
          <w:tcPr>
            <w:tcW w:w="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6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740" w:type="dxa"/>
            <w:vAlign w:val="bottom"/>
            <w:gridSpan w:val="2"/>
            <w:vMerge w:val="continue"/>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520" w:type="dxa"/>
            <w:vAlign w:val="bottom"/>
            <w:gridSpan w:val="4"/>
            <w:vMerge w:val="continue"/>
          </w:tcPr>
          <w:p>
            <w:pPr>
              <w:spacing w:after="0"/>
              <w:rPr>
                <w:sz w:val="12"/>
                <w:szCs w:val="12"/>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Capped</w:t>
            </w:r>
          </w:p>
        </w:tc>
        <w:tc>
          <w:tcPr>
            <w:tcW w:w="0" w:type="dxa"/>
            <w:vAlign w:val="bottom"/>
          </w:tcPr>
          <w:p>
            <w:pPr>
              <w:spacing w:after="0"/>
              <w:rPr>
                <w:sz w:val="1"/>
                <w:szCs w:val="1"/>
                <w:color w:val="auto"/>
              </w:rPr>
            </w:pPr>
          </w:p>
        </w:tc>
      </w:tr>
      <w:tr>
        <w:trPr>
          <w:trHeight w:val="190"/>
        </w:trPr>
        <w:tc>
          <w:tcPr>
            <w:tcW w:w="21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 Excess</w:t>
            </w:r>
          </w:p>
        </w:tc>
        <w:tc>
          <w:tcPr>
            <w:tcW w:w="560" w:type="dxa"/>
            <w:vAlign w:val="bottom"/>
            <w:gridSpan w:val="4"/>
            <w:vMerge w:val="continue"/>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5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6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w:t>
            </w:r>
          </w:p>
        </w:tc>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Profitability</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SPFI</w:t>
            </w:r>
          </w:p>
        </w:tc>
        <w:tc>
          <w:tcPr>
            <w:tcW w:w="7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w w:val="95"/>
              </w:rPr>
              <w:t>$41,946</w:t>
            </w:r>
          </w:p>
        </w:tc>
        <w:tc>
          <w:tcPr>
            <w:tcW w:w="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$58,614</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2)</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Efficiency</w:t>
            </w: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69.99%</w:t>
            </w:r>
          </w:p>
        </w:tc>
        <w:tc>
          <w:tcPr>
            <w:tcW w:w="40" w:type="dxa"/>
            <w:vAlign w:val="bottom"/>
          </w:tcPr>
          <w:p>
            <w:pPr>
              <w:spacing w:after="0"/>
              <w:rPr>
                <w:sz w:val="23"/>
                <w:szCs w:val="2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3"/>
                <w:szCs w:val="23"/>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3"/>
                <w:szCs w:val="23"/>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3)</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Quality</w:t>
            </w:r>
          </w:p>
        </w:tc>
        <w:tc>
          <w:tcPr>
            <w:tcW w:w="5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4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61"/>
        </w:trPr>
        <w:tc>
          <w:tcPr>
            <w:tcW w:w="160" w:type="dxa"/>
            <w:vAlign w:val="bottom"/>
            <w:tcBorders>
              <w:top w:val="single" w:sz="8" w:color="CCEEFF"/>
            </w:tcBorders>
            <w:shd w:val="clear" w:color="auto" w:fill="CCEEFF"/>
          </w:tcPr>
          <w:p>
            <w:pPr>
              <w:spacing w:after="0"/>
              <w:rPr>
                <w:sz w:val="5"/>
                <w:szCs w:val="5"/>
                <w:color w:val="auto"/>
              </w:rPr>
            </w:pPr>
          </w:p>
        </w:tc>
        <w:tc>
          <w:tcPr>
            <w:tcW w:w="19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6"/>
              </w:rPr>
              <w:t>135</w:t>
            </w:r>
          </w:p>
        </w:tc>
        <w:tc>
          <w:tcPr>
            <w:tcW w:w="100" w:type="dxa"/>
            <w:vAlign w:val="bottom"/>
          </w:tcPr>
          <w:p>
            <w:pPr>
              <w:spacing w:after="0"/>
              <w:rPr>
                <w:sz w:val="24"/>
                <w:szCs w:val="24"/>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4"/>
                <w:szCs w:val="24"/>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54"/>
        </w:trPr>
        <w:tc>
          <w:tcPr>
            <w:tcW w:w="208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 Individual</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61"/>
        </w:trPr>
        <w:tc>
          <w:tcPr>
            <w:tcW w:w="160" w:type="dxa"/>
            <w:vAlign w:val="bottom"/>
            <w:tcBorders>
              <w:top w:val="single" w:sz="8" w:color="CCEEFF"/>
            </w:tcBorders>
            <w:shd w:val="clear" w:color="auto" w:fill="CCEEFF"/>
          </w:tcPr>
          <w:p>
            <w:pPr>
              <w:spacing w:after="0"/>
              <w:rPr>
                <w:sz w:val="5"/>
                <w:szCs w:val="5"/>
                <w:color w:val="auto"/>
              </w:rPr>
            </w:pPr>
          </w:p>
        </w:tc>
        <w:tc>
          <w:tcPr>
            <w:tcW w:w="19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20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1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8"/>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Compensation:</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9"/>
              </w:rPr>
              <w:t>Overall</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$174,000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rPr>
              <w:t>Cap</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594"/>
        </w:trPr>
        <w:tc>
          <w:tcPr>
            <w:tcW w:w="16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Cory T. Newsom</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6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5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 Specific Performance Metric</w:t>
            </w:r>
          </w:p>
        </w:tc>
        <w:tc>
          <w:tcPr>
            <w:tcW w:w="80" w:type="dxa"/>
            <w:vAlign w:val="bottom"/>
          </w:tcPr>
          <w:p>
            <w:pPr>
              <w:spacing w:after="0"/>
              <w:rPr>
                <w:sz w:val="12"/>
                <w:szCs w:val="12"/>
                <w:color w:val="auto"/>
              </w:rPr>
            </w:pPr>
          </w:p>
        </w:tc>
        <w:tc>
          <w:tcPr>
            <w:tcW w:w="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4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6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740" w:type="dxa"/>
            <w:vAlign w:val="bottom"/>
            <w:gridSpan w:val="2"/>
            <w:vMerge w:val="continue"/>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520" w:type="dxa"/>
            <w:vAlign w:val="bottom"/>
            <w:gridSpan w:val="4"/>
            <w:vMerge w:val="continue"/>
          </w:tcPr>
          <w:p>
            <w:pPr>
              <w:spacing w:after="0"/>
              <w:rPr>
                <w:sz w:val="12"/>
                <w:szCs w:val="12"/>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Capped</w:t>
            </w:r>
          </w:p>
        </w:tc>
        <w:tc>
          <w:tcPr>
            <w:tcW w:w="0" w:type="dxa"/>
            <w:vAlign w:val="bottom"/>
          </w:tcPr>
          <w:p>
            <w:pPr>
              <w:spacing w:after="0"/>
              <w:rPr>
                <w:sz w:val="1"/>
                <w:szCs w:val="1"/>
                <w:color w:val="auto"/>
              </w:rPr>
            </w:pPr>
          </w:p>
        </w:tc>
      </w:tr>
      <w:tr>
        <w:trPr>
          <w:trHeight w:val="190"/>
        </w:trPr>
        <w:tc>
          <w:tcPr>
            <w:tcW w:w="21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Excess</w:t>
            </w:r>
          </w:p>
        </w:tc>
        <w:tc>
          <w:tcPr>
            <w:tcW w:w="560" w:type="dxa"/>
            <w:vAlign w:val="bottom"/>
            <w:gridSpan w:val="4"/>
            <w:vMerge w:val="continue"/>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5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6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w:t>
            </w:r>
          </w:p>
        </w:tc>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Profitability</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SPFI</w:t>
            </w:r>
          </w:p>
        </w:tc>
        <w:tc>
          <w:tcPr>
            <w:tcW w:w="7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$41,946</w:t>
            </w:r>
          </w:p>
        </w:tc>
        <w:tc>
          <w:tcPr>
            <w:tcW w:w="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$58,614</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2)</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Efficiency</w:t>
            </w: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69.99%</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6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3"/>
                <w:szCs w:val="23"/>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3"/>
                <w:szCs w:val="23"/>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3"/>
                <w:szCs w:val="23"/>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gridSpan w:val="3"/>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7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3)</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Quality</w:t>
            </w:r>
          </w:p>
        </w:tc>
        <w:tc>
          <w:tcPr>
            <w:tcW w:w="5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0.53%</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61"/>
        </w:trPr>
        <w:tc>
          <w:tcPr>
            <w:tcW w:w="160" w:type="dxa"/>
            <w:vAlign w:val="bottom"/>
            <w:tcBorders>
              <w:top w:val="single" w:sz="8" w:color="CCEEFF"/>
            </w:tcBorders>
            <w:shd w:val="clear" w:color="auto" w:fill="CCEEFF"/>
          </w:tcPr>
          <w:p>
            <w:pPr>
              <w:spacing w:after="0"/>
              <w:rPr>
                <w:sz w:val="5"/>
                <w:szCs w:val="5"/>
                <w:color w:val="auto"/>
              </w:rPr>
            </w:pPr>
          </w:p>
        </w:tc>
        <w:tc>
          <w:tcPr>
            <w:tcW w:w="19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6"/>
              </w:rPr>
              <w:t>135</w:t>
            </w:r>
          </w:p>
        </w:tc>
        <w:tc>
          <w:tcPr>
            <w:tcW w:w="100" w:type="dxa"/>
            <w:vAlign w:val="bottom"/>
          </w:tcPr>
          <w:p>
            <w:pPr>
              <w:spacing w:after="0"/>
              <w:rPr>
                <w:sz w:val="24"/>
                <w:szCs w:val="24"/>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4"/>
                <w:szCs w:val="24"/>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54"/>
        </w:trPr>
        <w:tc>
          <w:tcPr>
            <w:tcW w:w="208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80" w:type="dxa"/>
            <w:vAlign w:val="bottom"/>
            <w:gridSpan w:val="2"/>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Compensation:</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9"/>
              </w:rPr>
              <w:t>Overall</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$472,500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rPr>
              <w:t>Cap</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594"/>
        </w:trPr>
        <w:tc>
          <w:tcPr>
            <w:tcW w:w="160" w:type="dxa"/>
            <w:vAlign w:val="bottom"/>
          </w:tcPr>
          <w:p>
            <w:pPr>
              <w:spacing w:after="0"/>
              <w:rPr>
                <w:sz w:val="24"/>
                <w:szCs w:val="24"/>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Curtis C. Griffith</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6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5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 Specific Performance Metric</w:t>
            </w:r>
          </w:p>
        </w:tc>
        <w:tc>
          <w:tcPr>
            <w:tcW w:w="80" w:type="dxa"/>
            <w:vAlign w:val="bottom"/>
          </w:tcPr>
          <w:p>
            <w:pPr>
              <w:spacing w:after="0"/>
              <w:rPr>
                <w:sz w:val="12"/>
                <w:szCs w:val="12"/>
                <w:color w:val="auto"/>
              </w:rPr>
            </w:pPr>
          </w:p>
        </w:tc>
        <w:tc>
          <w:tcPr>
            <w:tcW w:w="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40" w:type="dxa"/>
            <w:vAlign w:val="bottom"/>
          </w:tcPr>
          <w:p>
            <w:pPr>
              <w:spacing w:after="0"/>
              <w:rPr>
                <w:sz w:val="12"/>
                <w:szCs w:val="12"/>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6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740" w:type="dxa"/>
            <w:vAlign w:val="bottom"/>
            <w:gridSpan w:val="2"/>
            <w:vMerge w:val="continue"/>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520" w:type="dxa"/>
            <w:vAlign w:val="bottom"/>
            <w:gridSpan w:val="4"/>
            <w:vMerge w:val="continue"/>
          </w:tcPr>
          <w:p>
            <w:pPr>
              <w:spacing w:after="0"/>
              <w:rPr>
                <w:sz w:val="12"/>
                <w:szCs w:val="12"/>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Capped</w:t>
            </w:r>
          </w:p>
        </w:tc>
        <w:tc>
          <w:tcPr>
            <w:tcW w:w="0" w:type="dxa"/>
            <w:vAlign w:val="bottom"/>
          </w:tcPr>
          <w:p>
            <w:pPr>
              <w:spacing w:after="0"/>
              <w:rPr>
                <w:sz w:val="1"/>
                <w:szCs w:val="1"/>
                <w:color w:val="auto"/>
              </w:rPr>
            </w:pPr>
          </w:p>
        </w:tc>
      </w:tr>
      <w:tr>
        <w:trPr>
          <w:trHeight w:val="190"/>
        </w:trPr>
        <w:tc>
          <w:tcPr>
            <w:tcW w:w="21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Excess</w:t>
            </w:r>
          </w:p>
        </w:tc>
        <w:tc>
          <w:tcPr>
            <w:tcW w:w="560" w:type="dxa"/>
            <w:vAlign w:val="bottom"/>
            <w:gridSpan w:val="4"/>
            <w:vMerge w:val="continue"/>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5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6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w:t>
            </w:r>
          </w:p>
        </w:tc>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Profitability</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SPFI</w:t>
            </w:r>
          </w:p>
        </w:tc>
        <w:tc>
          <w:tcPr>
            <w:tcW w:w="7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$41,946</w:t>
            </w:r>
          </w:p>
        </w:tc>
        <w:tc>
          <w:tcPr>
            <w:tcW w:w="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$58,614</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w w:val="99"/>
              </w:rPr>
              <w:t>40</w:t>
            </w: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2)</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Efficiency</w:t>
            </w: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69.99%</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6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3"/>
                <w:szCs w:val="23"/>
                <w:color w:val="auto"/>
              </w:rPr>
            </w:pPr>
          </w:p>
        </w:tc>
        <w:tc>
          <w:tcPr>
            <w:tcW w:w="540" w:type="dxa"/>
            <w:vAlign w:val="bottom"/>
            <w:gridSpan w:val="3"/>
          </w:tcPr>
          <w:p>
            <w:pPr>
              <w:jc w:val="center"/>
              <w:ind w:left="275"/>
              <w:spacing w:after="0"/>
              <w:rPr>
                <w:sz w:val="20"/>
                <w:szCs w:val="20"/>
                <w:color w:val="auto"/>
              </w:rPr>
            </w:pPr>
            <w:r>
              <w:rPr>
                <w:rFonts w:ascii="Times New Roman" w:cs="Times New Roman" w:eastAsia="Times New Roman" w:hAnsi="Times New Roman"/>
                <w:sz w:val="18"/>
                <w:szCs w:val="18"/>
                <w:color w:val="auto"/>
                <w:w w:val="99"/>
              </w:rPr>
              <w:t>15</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3"/>
                <w:szCs w:val="23"/>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54"/>
        </w:trPr>
        <w:tc>
          <w:tcPr>
            <w:tcW w:w="160" w:type="dxa"/>
            <w:vAlign w:val="bottom"/>
          </w:tcPr>
          <w:p>
            <w:pPr>
              <w:spacing w:after="0"/>
              <w:rPr>
                <w:sz w:val="4"/>
                <w:szCs w:val="4"/>
                <w:color w:val="auto"/>
              </w:rPr>
            </w:pPr>
          </w:p>
        </w:tc>
        <w:tc>
          <w:tcPr>
            <w:tcW w:w="1960" w:type="dxa"/>
            <w:vAlign w:val="bottom"/>
            <w:gridSpan w:val="2"/>
          </w:tcPr>
          <w:p>
            <w:pPr>
              <w:spacing w:after="0"/>
              <w:rPr>
                <w:sz w:val="4"/>
                <w:szCs w:val="4"/>
                <w:color w:val="auto"/>
              </w:rPr>
            </w:pPr>
          </w:p>
        </w:tc>
        <w:tc>
          <w:tcPr>
            <w:tcW w:w="540" w:type="dxa"/>
            <w:vAlign w:val="bottom"/>
            <w:gridSpan w:val="3"/>
          </w:tcPr>
          <w:p>
            <w:pPr>
              <w:spacing w:after="0"/>
              <w:rPr>
                <w:sz w:val="4"/>
                <w:szCs w:val="4"/>
                <w:color w:val="auto"/>
              </w:rPr>
            </w:pPr>
          </w:p>
        </w:tc>
        <w:tc>
          <w:tcPr>
            <w:tcW w:w="780" w:type="dxa"/>
            <w:vAlign w:val="bottom"/>
            <w:gridSpan w:val="3"/>
          </w:tcPr>
          <w:p>
            <w:pPr>
              <w:spacing w:after="0"/>
              <w:rPr>
                <w:sz w:val="4"/>
                <w:szCs w:val="4"/>
                <w:color w:val="auto"/>
              </w:rPr>
            </w:pPr>
          </w:p>
        </w:tc>
        <w:tc>
          <w:tcPr>
            <w:tcW w:w="84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3)</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Quality</w:t>
            </w:r>
          </w:p>
        </w:tc>
        <w:tc>
          <w:tcPr>
            <w:tcW w:w="5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Bank</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0.53%</w:t>
            </w:r>
          </w:p>
        </w:tc>
        <w:tc>
          <w:tcPr>
            <w:tcW w:w="8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0" w:type="dxa"/>
            <w:vAlign w:val="bottom"/>
            <w:gridSpan w:val="4"/>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61"/>
        </w:trPr>
        <w:tc>
          <w:tcPr>
            <w:tcW w:w="160" w:type="dxa"/>
            <w:vAlign w:val="bottom"/>
            <w:tcBorders>
              <w:top w:val="single" w:sz="8" w:color="CCEEFF"/>
            </w:tcBorders>
            <w:shd w:val="clear" w:color="auto" w:fill="CCEEFF"/>
          </w:tcPr>
          <w:p>
            <w:pPr>
              <w:spacing w:after="0"/>
              <w:rPr>
                <w:sz w:val="5"/>
                <w:szCs w:val="5"/>
                <w:color w:val="auto"/>
              </w:rPr>
            </w:pPr>
          </w:p>
        </w:tc>
        <w:tc>
          <w:tcPr>
            <w:tcW w:w="19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3"/>
          </w:tcPr>
          <w:p>
            <w:pPr>
              <w:jc w:val="center"/>
              <w:ind w:left="275"/>
              <w:spacing w:after="0"/>
              <w:rPr>
                <w:sz w:val="20"/>
                <w:szCs w:val="20"/>
                <w:color w:val="auto"/>
              </w:rPr>
            </w:pPr>
            <w:r>
              <w:rPr>
                <w:rFonts w:ascii="Times New Roman" w:cs="Times New Roman" w:eastAsia="Times New Roman" w:hAnsi="Times New Roman"/>
                <w:sz w:val="18"/>
                <w:szCs w:val="18"/>
                <w:color w:val="auto"/>
                <w:w w:val="99"/>
              </w:rPr>
              <w:t>55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4"/>
                <w:szCs w:val="24"/>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54"/>
        </w:trPr>
        <w:tc>
          <w:tcPr>
            <w:tcW w:w="212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120" w:type="dxa"/>
            <w:vAlign w:val="bottom"/>
            <w:gridSpan w:val="3"/>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 Individual Performance</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gridSpan w:val="3"/>
          </w:tcPr>
          <w:p>
            <w:pPr>
              <w:jc w:val="center"/>
              <w:ind w:left="275"/>
              <w:spacing w:after="0"/>
              <w:rPr>
                <w:sz w:val="20"/>
                <w:szCs w:val="20"/>
                <w:color w:val="auto"/>
              </w:rPr>
            </w:pPr>
            <w:r>
              <w:rPr>
                <w:rFonts w:ascii="Times New Roman" w:cs="Times New Roman" w:eastAsia="Times New Roman" w:hAnsi="Times New Roman"/>
                <w:sz w:val="18"/>
                <w:szCs w:val="18"/>
                <w:color w:val="auto"/>
                <w:w w:val="99"/>
              </w:rPr>
              <w:t>40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2"/>
                <w:szCs w:val="22"/>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61"/>
        </w:trPr>
        <w:tc>
          <w:tcPr>
            <w:tcW w:w="1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2120" w:type="dxa"/>
            <w:vAlign w:val="bottom"/>
            <w:gridSpan w:val="3"/>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center"/>
              <w:ind w:left="275"/>
              <w:spacing w:after="0"/>
              <w:rPr>
                <w:sz w:val="20"/>
                <w:szCs w:val="20"/>
                <w:color w:val="auto"/>
              </w:rPr>
            </w:pPr>
            <w:r>
              <w:rPr>
                <w:rFonts w:ascii="Times New Roman" w:cs="Times New Roman" w:eastAsia="Times New Roman" w:hAnsi="Times New Roman"/>
                <w:sz w:val="18"/>
                <w:szCs w:val="18"/>
                <w:color w:val="auto"/>
                <w:w w:val="99"/>
              </w:rPr>
              <w:t>95</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3"/>
                <w:szCs w:val="23"/>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54"/>
        </w:trPr>
        <w:tc>
          <w:tcPr>
            <w:tcW w:w="212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120" w:type="dxa"/>
            <w:vAlign w:val="bottom"/>
            <w:gridSpan w:val="3"/>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Compensation:</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w w:val="99"/>
              </w:rPr>
              <w:t>Overall</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$390,000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color w:val="auto"/>
              </w:rPr>
              <w:t>Cap</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5157470</wp:posOffset>
            </wp:positionH>
            <wp:positionV relativeFrom="paragraph">
              <wp:posOffset>-7354570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-7354570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-7354570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-7354570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-7354570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-7354570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-7354570</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-7354570</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-7354570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-4499610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-4499610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-4499610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-4499610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-4499610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-4499610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-4499610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-4499610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-4499610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-2211070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-2211070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-2211070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-2211070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-2211070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-2211070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-2211070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-2211070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-2211070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South Plains Financial, Inc. 2019 Equity Incentive Plan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board has adopted the South Plains Financial, Inc. 2019 Equity Incentive Plan for the purpose of attracting and retaining employees by providing them with additional incentives, and to promote the success of our company’s business.</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Our board or one or more committees appointed by our board will administer the 2019 Plan.</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Compensation Committee has been appointed by our board to administer the 2019 Plan.</w:t>
      </w:r>
    </w:p>
    <w:p>
      <w:pPr>
        <w:sectPr>
          <w:pgSz w:w="11900" w:h="16838" w:orient="portrait"/>
          <w:cols w:equalWidth="0" w:num="1">
            <w:col w:w="9019"/>
          </w:cols>
          <w:pgMar w:left="1440" w:top="263" w:right="1440" w:bottom="906"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906" w:gutter="0" w:footer="0" w:header="0"/>
          <w:type w:val="continuous"/>
        </w:sectPr>
      </w:pPr>
    </w:p>
    <w:bookmarkStart w:id="27" w:name="page28"/>
    <w:bookmarkEnd w:id="27"/>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Eligibilit</w:t>
      </w:r>
      <w:r>
        <w:rPr>
          <w:rFonts w:ascii="Times New Roman" w:cs="Times New Roman" w:eastAsia="Times New Roman" w:hAnsi="Times New Roman"/>
          <w:sz w:val="18"/>
          <w:szCs w:val="18"/>
          <w:color w:val="auto"/>
        </w:rPr>
        <w:t>y. Persons eligible to receive awards under the 2019 Plan include our officers, employees, consultants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members of our board. Our board or one or more committees appointed by our board will determine from time to time the participants to whom awards will be granted.</w:t>
      </w:r>
    </w:p>
    <w:p>
      <w:pPr>
        <w:spacing w:after="0" w:line="6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Authorized Shares; Limits on Awards</w:t>
      </w:r>
      <w:r>
        <w:rPr>
          <w:rFonts w:ascii="Times New Roman" w:cs="Times New Roman" w:eastAsia="Times New Roman" w:hAnsi="Times New Roman"/>
          <w:sz w:val="18"/>
          <w:szCs w:val="18"/>
          <w:color w:val="auto"/>
        </w:rPr>
        <w:t>. The maximum number of common shares that may be issued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pursuant to awards under the 2019 Plan as of December 31, 2021 equals 1,221,206, all of which may be subject to incentive stock option treatment. The maximum aggregate number of common shares that may be issued pursuant to all awards under the 2019 Plan shall increase annually on the first day of each fiscal year following the adoption of the 2019 Plan by the number of common shares equal to the lesser of (i) 3% of the total issued and outstanding common shares on the first day of such fiscal year, and (ii) such lesser amount determined by our board.</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Adjustments or Changes in Capitalization</w:t>
      </w:r>
      <w:r>
        <w:rPr>
          <w:rFonts w:ascii="Times New Roman" w:cs="Times New Roman" w:eastAsia="Times New Roman" w:hAnsi="Times New Roman"/>
          <w:sz w:val="18"/>
          <w:szCs w:val="18"/>
          <w:color w:val="auto"/>
        </w:rPr>
        <w:t>. In the event of any change in the outstanding common shares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 of a stock split, stock dividend or other non-recurring dividends or distributions, recapitalization, merger, consolidation, spin-off, combination, repurchase or exchange of stock, reorganization, liquidation, dissolution or other similar corporate transaction that affects our common stock, the aggregate number of shares of common stock available under the 2019 Plan or subject to outstanding awards (including the exercise price of any awards) shall be adjusted as our board deems necessary or appropriate.</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Incentive Awards</w:t>
      </w:r>
      <w:r>
        <w:rPr>
          <w:rFonts w:ascii="Times New Roman" w:cs="Times New Roman" w:eastAsia="Times New Roman" w:hAnsi="Times New Roman"/>
          <w:sz w:val="18"/>
          <w:szCs w:val="18"/>
          <w:color w:val="auto"/>
        </w:rPr>
        <w:t>. The 2019 Plan authorizes stock options, stock appreciation rights (“SARs”),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performance-based awards, as well as other awards (described in the 2019 Plan) that are responsive to changing developments in management compensation. The 2019 Plan retains the flexibility to offer competitive incentives and to tailor benefits to specific needs and circumstances. Any award may be paid or settled in cash. An option or SAR will expire, or other award will vest, in accordance with the schedule set forth in the applicable award agreement.</w:t>
      </w:r>
    </w:p>
    <w:p>
      <w:pPr>
        <w:spacing w:after="0" w:line="74" w:lineRule="exact"/>
        <w:rPr>
          <w:sz w:val="20"/>
          <w:szCs w:val="20"/>
          <w:color w:val="auto"/>
        </w:rPr>
      </w:pPr>
    </w:p>
    <w:p>
      <w:pPr>
        <w:jc w:val="both"/>
        <w:ind w:left="1000" w:right="299" w:hanging="348"/>
        <w:spacing w:after="0" w:line="255"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A stock option is the right to purchase common shares at a future date at a specified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share generally equal to, but no less than, the fair market value of a share on the date of grant. An option may either be an Incentive Stock Option, or ISO, or a nonstatutory stock option, or NSO. ISO benefits are taxed differently from NSOs, as described under “Federal Income Tax Treatment of Awards under the 2019 Plan” below. ISOs also are subject to more restrictive terms and are limited in amount by the Internal Revenue Code of 1986, as amended (the “Code”), and the 2019 Plan. Full payment for shares purchased on the exercise of any option must be made at the time of such exercise in a manner approved by our board.</w:t>
      </w:r>
    </w:p>
    <w:p>
      <w:pPr>
        <w:spacing w:after="0" w:line="76"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An SAR is the right to receive payment of an amount equal to the excess of the fair market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common share on the date of exercise of the SAR over the base price of the SAR. The base price will be established by our board at the time of grant of the SAR but will not be less than the fair market value of a share on the date of grant. SARs may be granted in connection with other awards or independently.</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A restricted stock award is typically for a fixed number of common shares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Our board specifies the price, if any; the participant must pay for such shares and the restrictions (which may include, for example, continued service and/or performance standards) imposed on such shares. A stock bonus may be granted by our board to any eligible person to reward exceptional or special services, contributions or achievements in the manner and on such terms and conditions (including any restrictions on such shares) as determined from time to time by our board. The number of shares so awarded shall be determined by our board and may be granted independently or in lieu of a cash bonus.</w:t>
      </w:r>
    </w:p>
    <w:p>
      <w:pPr>
        <w:spacing w:after="0" w:line="74" w:lineRule="exact"/>
        <w:rPr>
          <w:rFonts w:ascii="Times New Roman" w:cs="Times New Roman" w:eastAsia="Times New Roman" w:hAnsi="Times New Roman"/>
          <w:sz w:val="18"/>
          <w:szCs w:val="18"/>
          <w:color w:val="auto"/>
        </w:rPr>
      </w:pPr>
    </w:p>
    <w:p>
      <w:pPr>
        <w:ind w:left="1000" w:right="319" w:hanging="348"/>
        <w:spacing w:after="0" w:line="284"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A restricted stock unit is similar to an SAR except that it entitles the recipient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an amount equal to the fair market value of a common share.</w:t>
      </w:r>
    </w:p>
    <w:p>
      <w:pPr>
        <w:spacing w:after="0" w:line="50"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 Awards</w:t>
      </w:r>
      <w:r>
        <w:rPr>
          <w:rFonts w:ascii="Times New Roman" w:cs="Times New Roman" w:eastAsia="Times New Roman" w:hAnsi="Times New Roman"/>
          <w:sz w:val="18"/>
          <w:szCs w:val="18"/>
          <w:color w:val="auto"/>
        </w:rPr>
        <w:t>. Our board may designate any award, the exercisability or settlement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subject to the achievement of performance conditions, as a performance-based award. The performance goals set forth in the 2019 Plan are such goals as established by our board or a committee of the board in connection with an award and will be based upon one or more criteria. Our board may select any number of performance goals from this list of performance goals when establishing the performance measures of a performance-based award. The 2019 Plan allows performance goals to be described in terms of objectives that are related to an individual participant or goals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51" w:lineRule="auto"/>
        <w:rPr>
          <w:sz w:val="20"/>
          <w:szCs w:val="20"/>
          <w:color w:val="auto"/>
        </w:rPr>
      </w:pPr>
      <w:r>
        <w:rPr>
          <w:rFonts w:ascii="Times New Roman" w:cs="Times New Roman" w:eastAsia="Times New Roman" w:hAnsi="Times New Roman"/>
          <w:sz w:val="18"/>
          <w:szCs w:val="18"/>
          <w:color w:val="auto"/>
        </w:rPr>
        <w:t>business unit) or measured relative to selected peer companies or a market index. The performance goals set forth in the 2019 Plan are: interest income and expense; net earnings or net income; net interest margin; efficiency ratio; reduction in non-accrual loans and non-interest expense; growth in non-interest income and ratios to earning assets; net revenue growth and ratio to earning assets; capital ratios; asset or liability interest rate sensitivity and gap; effective tax rate; deposit growth and composition; liquidity management; securities portfolio (value, yield, spread, maturity, or duration); asset growth and composition (loans, securities); non-interest income (e.g., fees, premiums and commissions, loans, wealth management, treasury management, insurance, funds management) and expense; overhead ratios, productivity ratios; credit quality measures; return on assets; return on equity; economic value of equity; compliance and CAMELS or other regulatory ratings; internal controls; enterprise risk measures (e.g., interest rate, loan concentrations, portfolio composition, credit quality, operational measures, compliance ratings, balance sheet, liquidity, insurance); volume in production or loans; non-performing asset or non-performing loan levels or ratios or loan delinquency levels; provision for loan losses or net charge-offs; cash flow; cost; revenues; sales; ratio of debt to debt plus equity; net borrowing, credit quality or debt ratings; profit before tax; economic profit; earnings before interest and taxes; earnings before interest, taxes, depreciation and amortization; gross margin; profit margin; earnings per share; operating earnings; capital expenditures; expenses or expense levels; economic value added; ratio of operating earnings to capital spending or any other operating ratios; free cash flow; net profit; net sales; net asset value per share; the accomplishment of mergers, acquisitions, dispositions, public offerings or similar extraordinary business transactions; sales growth; price of the Company’s shares of common stock; return on investment; equity or shareholder equity; market share; inventory levels, inventory turn or shrinkage; customer satisfaction; or total shareholder return.</w:t>
      </w:r>
    </w:p>
    <w:p>
      <w:pPr>
        <w:spacing w:after="0" w:line="96"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Acceleration of Awards; Possible Early Termination of Awards</w:t>
      </w:r>
      <w:r>
        <w:rPr>
          <w:rFonts w:ascii="Times New Roman" w:cs="Times New Roman" w:eastAsia="Times New Roman" w:hAnsi="Times New Roman"/>
          <w:sz w:val="18"/>
          <w:szCs w:val="18"/>
          <w:color w:val="auto"/>
        </w:rPr>
        <w:t>. Upon a change in control of our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awards under the 2019 Plan will be assumed or substituted on the same terms. However, if the successor corporation does not assume or substitute the outstanding awards, then vesting of these awards will fully accelerate and, in the case of options or SARs, will become immediately exercisable. For this purpose, a change in control is defined to include certain changes in the majority of our board, the sale of all or substantially all of our Company’s assets, and the consummation of certain mergers or consolidations.</w:t>
      </w:r>
    </w:p>
    <w:p>
      <w:pPr>
        <w:spacing w:after="0" w:line="74"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Termination of or Changes to the 2019 Plan</w:t>
      </w:r>
      <w:r>
        <w:rPr>
          <w:rFonts w:ascii="Times New Roman" w:cs="Times New Roman" w:eastAsia="Times New Roman" w:hAnsi="Times New Roman"/>
          <w:sz w:val="18"/>
          <w:szCs w:val="18"/>
          <w:color w:val="auto"/>
        </w:rPr>
        <w:t>. Our board may amend or terminate the 2019 Plan at any time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any manner. Unless required by applicable law or listing agency rule, stockholder approval for any amendment will not be required. Unless previously terminated by our board, the 2019 Plan will terminate on January 16, 2029. Generally speaking, outstanding awards may be amended, subject, however, to the consent of the holder if the amendment materially and adversely affects the holder.</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ESOP</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The Company has established an employee stock ownership plan for the benefit of all employees who meet the eligibility requirements of the ESOP (the plan generally covers all employees who have completed one month of service). The Company may contribute cash into the plan, which may be used to buy new shares of common stock of South Plains Financial, to service ESOP debt (which the ESOP does not currently have outstanding), or maintained by the plan for liquidity purposes. The Company’s contributions in excess of debt service requirements are completely discretionary. Shares in the ESOP are allocated to individual employee accounts. Employees become fully vested in amounts contributed by the Company on their behalf after six years. When employment is terminated, employees are eligible to receive cash or a distribution of stock, based on the value of their ESOP account.</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Company maintains a 401(k) retirement plan intended to be a tax-qualified defined contribution plan under Section 401(k) of the Code. In addition to salary deferral contributions, the Company may make discretionary matching contributions and discretionary profit-sharing contributions to the 401(k) Plan. Currently, the Company makes a safe-harbor matching contribution to the 401(k) Plan equal to a participant’s salary deferrals, up to 5% of the participant’s compensation. A participant is always 100% vested in his or her salary deferral contributions and safe-harbor matching contributions. The named executive officers are eligible to participate in the 401(k) Plan on the same terms as other participating employees.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Non-qualified Deferred Compensation Plan</w:t>
      </w:r>
      <w:r>
        <w:rPr>
          <w:rFonts w:ascii="Times New Roman" w:cs="Times New Roman" w:eastAsia="Times New Roman" w:hAnsi="Times New Roman"/>
          <w:sz w:val="18"/>
          <w:szCs w:val="18"/>
          <w:color w:val="auto"/>
        </w:rPr>
        <w:t>. We sponsor a non-qualified, non-contributory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plan, or the Deferred Compensation Plan, for the benefit of certain employees of the Company. The primary purpose of the Deferred Compensation Plan is to provide additional compensation to participants upon termination of employment with the Company, death, or attainment of retirement age. The amount, timing, and form of payment is specified in the adoption agreement executed by the Company and the participant. The Deferred Compensation Plan is unfunded.</w:t>
      </w:r>
    </w:p>
    <w:p>
      <w:pPr>
        <w:spacing w:after="0" w:line="7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Effective April 9, 2008, the Company entered into an agreement under the Deferred Compensation Plan with Mr. Newsom. Mr. Newsom is 100% vested in his benefit and his benefit will be paid in cash only. Mr. Newsom’s agreement provides that he will receive an annual benefit of $150,000 on the earlier to occur of (i) achievement of retirement age (defined as age 58) and (ii) separation from service within two years following a change in control (as defined in the Deferred Compensation Plan). If Mr. Newsom experiences a separation from service or becomes disabled while employed, in each case prior to reaching retirement age, he will be entitled to a lump sum benefit equal to his benefit liability balance as set forth in the Deferred Compensation Plan. In the event Mr. Newsom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w:t>
      </w:r>
    </w:p>
    <w:p>
      <w:pPr>
        <w:spacing w:after="0" w:line="86" w:lineRule="exact"/>
        <w:rPr>
          <w:sz w:val="20"/>
          <w:szCs w:val="20"/>
          <w:color w:val="auto"/>
        </w:rPr>
      </w:pPr>
    </w:p>
    <w:p>
      <w:pPr>
        <w:jc w:val="both"/>
        <w:ind w:left="300" w:right="319" w:firstLine="360"/>
        <w:spacing w:after="0" w:line="257" w:lineRule="auto"/>
        <w:rPr>
          <w:sz w:val="20"/>
          <w:szCs w:val="20"/>
          <w:color w:val="auto"/>
        </w:rPr>
      </w:pPr>
      <w:r>
        <w:rPr>
          <w:rFonts w:ascii="Times New Roman" w:cs="Times New Roman" w:eastAsia="Times New Roman" w:hAnsi="Times New Roman"/>
          <w:sz w:val="18"/>
          <w:szCs w:val="18"/>
          <w:color w:val="auto"/>
        </w:rPr>
        <w:t>Effective January 1, 2008, the Company entered into a restated agreement under the Deferred Compensation Plan with Mr. Crockett. Mr. Crockett is currently 100% vested in his benefits. His benefit will be paid in cash only. Mr. Crockett’s agreement provides that he will receive an annual benefit of $50,000 on the earlier to occur of</w:t>
      </w:r>
    </w:p>
    <w:p>
      <w:pPr>
        <w:spacing w:after="0" w:line="1" w:lineRule="exact"/>
        <w:rPr>
          <w:sz w:val="20"/>
          <w:szCs w:val="20"/>
          <w:color w:val="auto"/>
        </w:rPr>
      </w:pPr>
    </w:p>
    <w:p>
      <w:pPr>
        <w:jc w:val="both"/>
        <w:ind w:left="300" w:right="299" w:hanging="8"/>
        <w:spacing w:after="0" w:line="252" w:lineRule="auto"/>
        <w:tabs>
          <w:tab w:leader="none" w:pos="5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retirement age (defined as age 65) and (ii) separation from service within two years following a change in control (as defined in the Deferred Compensation Plan). If Mr. Crockett experiences a separation from service or becomes disabled while employed, in each case prior to reaching retirement age, he will be entitled to a lump sum benefit equal to his benefit liability balance as set forth in the Deferred Compensation Plan. In the event Mr. Crockett is terminated for cause (as defined in the Deferred Compensation Plan), dies, or violates any restrictive covenants set forth in the Deferred Compensation Plan, he will forfeit any and all benefits to which he would otherwise be entitled to receive under the Deferred Compensation Plan.</w:t>
      </w:r>
    </w:p>
    <w:p>
      <w:pPr>
        <w:spacing w:after="0" w:line="7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Split Dollar Life Insurance Benefits</w:t>
      </w:r>
      <w:r>
        <w:rPr>
          <w:rFonts w:ascii="Times New Roman" w:cs="Times New Roman" w:eastAsia="Times New Roman" w:hAnsi="Times New Roman"/>
          <w:sz w:val="18"/>
          <w:szCs w:val="18"/>
          <w:color w:val="auto"/>
        </w:rPr>
        <w:t>. The Company has purchased life insurance policies on Mr. Newsom,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Crockett and Mr. Griffith and has entered into Joint Beneficial Designation Agreements with Mr. Newsom, Mr. Crockett and Mr. Griffith regarding such policies. The agreements provide certain death benefits to Mr. Newsom, Mr. Crockett and Mr. Griffith’s beneficiaries upon their death. If Mr. Newsom, Mr. Crockett or Mr. Griffith’s death occurs: (i) while employed by the Company; (ii) after retirement with the Company; (iii) after a change in control (as defined in the life insurance policy documents); or (iv) or after a determination of disability, they are entitled to a certain percentage of the value of the policies less the cash value of the policies. Mr. Newsom and Mr. Griffith are 100% vested in their benefits under the agreements. At December 31, 2021, the value of the split dollar life insurance benefits for Mr. Newsom’s beneficiaries would have been approximately $2,662,000, the value of the split dollar life insurance benefits for Mr. Crockett’s beneficiaries would have been approximately $1,520,000 and the value of the split dollar life insurance benefits for Mr. Griffith’s beneficiaries would have been approximately $1,054,000.</w:t>
      </w:r>
    </w:p>
    <w:p>
      <w:pPr>
        <w:spacing w:after="0" w:line="8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Independent Compensation Consultant</w:t>
      </w:r>
      <w:r>
        <w:rPr>
          <w:rFonts w:ascii="Times New Roman" w:cs="Times New Roman" w:eastAsia="Times New Roman" w:hAnsi="Times New Roman"/>
          <w:sz w:val="18"/>
          <w:szCs w:val="18"/>
          <w:color w:val="auto"/>
        </w:rPr>
        <w:t>. Pursuant to the Charter of the Compensation Committee,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is authorized to retain compensation consultants as it deems necessary or appropriate to carry out its duties. Prior to retaining, or seeking advice from, a compensation consultant, the Compensation Committee must consider the independence of such compensation consultant, taking into consideration the factors set forth in the Charter of the Compensation Committee. Neither the Company nor the Compensation Committee retained a compensation consultant in fiscal year 2021 for purposes of determining or recommending the amount or form of executive or director compensation.</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and Change in Control Severance Agreements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Mr. Cory T. Newsom and Mr. Curtis C. Griffith. Mr. Steven B. Crockett is a participant in the South Plains Financial, Inc. Executive Change in Control Severance Plan. The following is a summary of the material terms of each such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Cory T. Newsom</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Times New Roman" w:cs="Times New Roman" w:eastAsia="Times New Roman" w:hAnsi="Times New Roman"/>
          <w:sz w:val="17"/>
          <w:szCs w:val="17"/>
          <w:color w:val="auto"/>
        </w:rPr>
        <w:t>Effective March 6, 2019, the Company and the Bank entered into an employment agreement with Mr. Newsom, which was amended on December 15, 2021. Please refer to Exhibit 10.4 to our Registration Statement on Form S-1/A, filed with the SEC on April 29, 2019, and Exhibit 10.2 to our Current Report on Form 8-K, filed with the SEC on December 21, 2021, for copies of Mr. Newson’s employment agreement and the amendment to Mr. Newsom’s employment agreement. The key terms of Mr. Newsom’s employment agreement, as amended, are set forth below.</w:t>
      </w:r>
    </w:p>
    <w:p>
      <w:pPr>
        <w:spacing w:after="0" w:line="58"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The employment agreement has an initial three-year term and will automatically renew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three-year terms, unless we or Mr. Newsom provide 90-days’ advance notice of non-renewal.</w:t>
      </w:r>
    </w:p>
    <w:p>
      <w:pPr>
        <w:spacing w:after="0" w:line="50"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Service on the Board</w:t>
      </w:r>
      <w:r>
        <w:rPr>
          <w:rFonts w:ascii="Times New Roman" w:cs="Times New Roman" w:eastAsia="Times New Roman" w:hAnsi="Times New Roman"/>
          <w:sz w:val="18"/>
          <w:szCs w:val="18"/>
          <w:color w:val="auto"/>
        </w:rPr>
        <w:t>. Pursuant to the employment agreement, our board will nominate Mr. Newsom for re-election as a member of our board at the expiration of each then-current term and the board of the Bank will nominate Mr. Newsom for re-election as a member of its board at the expiration of each then-current term.</w:t>
      </w:r>
    </w:p>
    <w:p>
      <w:pPr>
        <w:spacing w:after="0" w:line="6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Cash Compensation</w:t>
      </w:r>
      <w:r>
        <w:rPr>
          <w:rFonts w:ascii="Times New Roman" w:cs="Times New Roman" w:eastAsia="Times New Roman" w:hAnsi="Times New Roman"/>
          <w:sz w:val="18"/>
          <w:szCs w:val="18"/>
          <w:color w:val="auto"/>
        </w:rPr>
        <w:t>. Mr. Newsom’s base salary will be not less than $630,000 annually. For fiscal year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Newsom’s base salary was $630,000. He is eligible for an annual cash incentive bonus with a target amount equal to 50% of his base salary, and a maximum not to exceed 75% of his base salary. Mr. Newsom is also eligible for an additional performance-based cash bonus with an award opportunity of 25% of his base salary. This performance-based annual cash bonus will be measured against certain criteria set forth in Attachment 1 to the amendment to Mr. Newsom’s employment agreement related to Mr. Newsom’s leadership and the growth of the Company and the Bank. The Compensation Committee will have full discretion to view the totality of the performance metrics when determining the extent to which a bonus should be earned by Mr. Newsom, and at the time of such determination the Compensation Committee has full discretion to decide the weighting of a metric vis-à-vis the other metrics.</w:t>
      </w:r>
    </w:p>
    <w:p>
      <w:pPr>
        <w:spacing w:after="0" w:line="7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Mr. Newsom is eligible to receive benefits that are substantially similar to those of our other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In addition, to the extent Mr. Newsom is not able to fully participate in contributions of the Company to the ESOP due to IRS-imposed top-heavy testing limitations, then the Bank will pay Mr. Newsom a cash bonus equal to the value of the lost contribution. With respect to other benefits, the Bank will (i) pay or reimburse Mr. Newsom for all of his country club membership dues and expenses; and (ii) provide Mr. Newsom with an automobile. The Bank will pay all of the reasonable professional fees and expenses incurred by Mr. Newsom in negotiation and preparation of the employment agreement and related agreements. The employment agreement also contains certain standard non-competition, non-solicitation, and confidentiality provisions.</w:t>
      </w:r>
    </w:p>
    <w:p>
      <w:pPr>
        <w:spacing w:after="0" w:line="7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Equity Grants - RSU Award</w:t>
      </w:r>
      <w:r>
        <w:rPr>
          <w:rFonts w:ascii="Times New Roman" w:cs="Times New Roman" w:eastAsia="Times New Roman" w:hAnsi="Times New Roman"/>
          <w:sz w:val="18"/>
          <w:szCs w:val="18"/>
          <w:color w:val="auto"/>
        </w:rPr>
        <w:t>. Mr. Newsom received a stock-settled restricted stock unit award on March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having a fair market value of $1,000,000 on the date of grant. The award is subject to a 4-year time-based vesting schedule, with 25% of the award vesting on each anniversary of the grant until fully vested. To the extent the fair market value of a restricted stock unit has increased on each respective vesting date, the Bank will pay Mr. Newsom a full tax-gross up on such positive spread, if any. In addition, under the terms of the amendment to Mr. Newsom’s employment agreement, Mr. Newsom will receive an annual grant of restricted stock units in an amount equal to $250,000 divided by the fair market value of the underlying stock as of the date of grant. The annual grant of restricted stock units will occur in January of each fiscal year and will contain a vesting schedule of one (1) year. No tax gross-up applies to the annual grant.</w:t>
      </w:r>
    </w:p>
    <w:p>
      <w:pPr>
        <w:spacing w:after="0" w:line="8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Equity Grants - Stock Option Award</w:t>
      </w:r>
      <w:r>
        <w:rPr>
          <w:rFonts w:ascii="Times New Roman" w:cs="Times New Roman" w:eastAsia="Times New Roman" w:hAnsi="Times New Roman"/>
          <w:sz w:val="18"/>
          <w:szCs w:val="18"/>
          <w:color w:val="auto"/>
        </w:rPr>
        <w:t>. Pursuant to Mr. Newsom’s employment agreement, Mr. Newsom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of incentive stock options to purchase Company common stock on March 20, 2019, February 19, 2020 and January 4, 2021 and Mr. Newsom will continue to receive an annual grant of incentive stock options to purchase Company common stock. The grant date aggregate fair value of such stock options will be approximately equal to 35% of his base salary. The options will contain a vesting schedule no less favorable than a vesting period of 4 years, with 25% becoming vested on the first anniversary of the date of the grant, and the remainder vesting pro rata on a monthly basis over the next three years. The initial grants of stock options and the restricted stock units described in the foregoing paragraph will vest in full upon the earlier of: (i) Mr. Newsom’s “disability” (as defined in the employment agreement), (ii) Mr. Newsom’s death, (iii) immediately prior to a “change in control” (as defined in the 2019 Plan), (iv) Mr. Newsom terminating his service with the Bank for “good reason” (as defined in the employment agreement), or (v) the Company terminating Mr. Newsom’s employment with “cause” (as defined in the employment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Mr. Newsom’s employment agreement provides that, in the event his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terminated by us without “cause” (as defined in his employment agreement), the Company elects not to renew the employment agreement, or Mr. Newsom terminates employment for “good reason” (as defined in the employment agreement), then subject to the execution and effectiveness of a general release of claims in our favor,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In lieu of the payments and benefits described in the preceding sentence, if Mr. Newsom’s employment is terminated by us without cause, the Company elects not to renew the employment agreement, or Mr. Newsom terminates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our favor, he will be entitled to receive:</w:t>
      </w:r>
    </w:p>
    <w:p>
      <w:pPr>
        <w:spacing w:after="0" w:line="3" w:lineRule="exact"/>
        <w:rPr>
          <w:sz w:val="20"/>
          <w:szCs w:val="20"/>
          <w:color w:val="auto"/>
        </w:rPr>
      </w:pPr>
    </w:p>
    <w:p>
      <w:pPr>
        <w:ind w:left="520" w:hanging="228"/>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3 times the sum of (x) his annual base salary and (y) his target annual cash incentive bonus;</w:t>
      </w:r>
    </w:p>
    <w:p>
      <w:pPr>
        <w:spacing w:after="0" w:line="9" w:lineRule="exact"/>
        <w:rPr>
          <w:rFonts w:ascii="Times New Roman" w:cs="Times New Roman" w:eastAsia="Times New Roman" w:hAnsi="Times New Roman"/>
          <w:sz w:val="18"/>
          <w:szCs w:val="18"/>
          <w:color w:val="auto"/>
        </w:rPr>
      </w:pPr>
    </w:p>
    <w:p>
      <w:pPr>
        <w:ind w:left="580" w:hanging="28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of equity and phantom awards, with performance goals, if applicable, deemed met at target; and</w:t>
      </w:r>
    </w:p>
    <w:p>
      <w:pPr>
        <w:spacing w:after="0" w:line="9" w:lineRule="exact"/>
        <w:rPr>
          <w:rFonts w:ascii="Times New Roman" w:cs="Times New Roman" w:eastAsia="Times New Roman" w:hAnsi="Times New Roman"/>
          <w:sz w:val="18"/>
          <w:szCs w:val="18"/>
          <w:color w:val="auto"/>
        </w:rPr>
      </w:pPr>
    </w:p>
    <w:p>
      <w:pPr>
        <w:jc w:val="both"/>
        <w:ind w:left="300" w:right="299" w:hanging="8"/>
        <w:spacing w:after="0" w:line="251" w:lineRule="auto"/>
        <w:tabs>
          <w:tab w:leader="none" w:pos="6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36 months’ of the monthly premiums to continue existing healthcare coverage under COBRA, grossed-up for any applicable taxes. For the first five years after the effective date of the employment agreement, if any change in control payment Mr. Newsom receives is deemed to be subject to excise taxes under Section 280G of the Code, then Mr. Newsom is entitled to an excise tax “gross-up.” However, with respect to a change in control that occurs after the fifth anniversary of the effective date of the employment agreement, if payments to Mr. Newsom would constitute “parachute payments” within the meaning of Section 280G of the Code, the parachute payments will be reduced so as not to trigger the excise tax imposed by Section 4999 of the Code if it would leave Mr. Newsom in a better after-tax position.</w:t>
      </w:r>
    </w:p>
    <w:p>
      <w:pPr>
        <w:spacing w:after="0" w:line="86"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Upon a termination of Mr. Newsom’s employment due to “disability” (as defined in the employment agreement), he will be entitled to receive: (i) an amount equal to 2 times the sum of (x) his annual base salary and</w:t>
      </w:r>
    </w:p>
    <w:p>
      <w:pPr>
        <w:jc w:val="both"/>
        <w:ind w:left="300" w:right="299" w:hanging="8"/>
        <w:spacing w:after="0" w:line="251" w:lineRule="auto"/>
        <w:tabs>
          <w:tab w:leader="none" w:pos="5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Any amounts payable pursuant to subsection (i) of the foregoing sentence shall be reduced on a dollar-for-dollar basis by the amount Mr. Newsom is entitled to under any disability insurance plan sponsored by the Company or the Bank. Upon a termination of Mr. Newsom’s employment due to death, he will be entitled to receive: (i) full vesting of equity and phantom equity awards, with performance goals, if applicable, deemed met at target, and (ii) any earned but unpaid bonus.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Curtis C. Griffith</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December 18, 2019, the Company and the Bank entered into an employment agreement with Mr. Griffith, which was amended on December 15, 2021. Please refer to Exhibit 10.1 to our Current Report on Form 8-K, filed with the SEC on December 19, 2019, and Exhibit 10.1 to our Current Report on Form 8-K, filed with the SEC on December 21, 2021, for copies of Mr. Griffith’s employment agreement and the amendment to Mr. Griffith’s employment agreement. The key terms of Mr. Griffith’s employment agreement, as amended, are set forth below.</w:t>
      </w:r>
    </w:p>
    <w:p>
      <w:pPr>
        <w:spacing w:after="0" w:line="73"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The employment agreement has an initial three-year term and will automatically renew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three-year terms, unless we or Mr. Griffith provide 90-days’ advance notice of non-renewal.</w:t>
      </w:r>
    </w:p>
    <w:p>
      <w:pPr>
        <w:spacing w:after="0" w:line="50"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Service on the Board</w:t>
      </w:r>
      <w:r>
        <w:rPr>
          <w:rFonts w:ascii="Times New Roman" w:cs="Times New Roman" w:eastAsia="Times New Roman" w:hAnsi="Times New Roman"/>
          <w:sz w:val="18"/>
          <w:szCs w:val="18"/>
          <w:color w:val="auto"/>
        </w:rPr>
        <w:t>. Pursuant to the employment agreement, our board will nominate Mr. Griffith for re-election as a member of our board at the expiration of each then-current term and the board of the Bank will nominate Mr. Griffith for re-election as a member of its board at the expiration of each then-current term.</w:t>
      </w:r>
    </w:p>
    <w:p>
      <w:pPr>
        <w:spacing w:after="0" w:line="65"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Cash Compensation</w:t>
      </w:r>
      <w:r>
        <w:rPr>
          <w:rFonts w:ascii="Times New Roman" w:cs="Times New Roman" w:eastAsia="Times New Roman" w:hAnsi="Times New Roman"/>
          <w:sz w:val="18"/>
          <w:szCs w:val="18"/>
          <w:color w:val="auto"/>
        </w:rPr>
        <w:t>. Mr. Griffith’s base salary will be not less than $360,000 annually. For fiscal year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Griffith’s base salary was $400,000. He is eligible for an annual cash incentive bonus with a target amount equal to 50% of his base salary, and a maximum not to exceed 100% of his base salary.</w:t>
      </w:r>
    </w:p>
    <w:p>
      <w:pPr>
        <w:spacing w:after="0" w:line="65" w:lineRule="exact"/>
        <w:rPr>
          <w:sz w:val="20"/>
          <w:szCs w:val="20"/>
          <w:color w:val="auto"/>
        </w:rPr>
      </w:pPr>
    </w:p>
    <w:p>
      <w:pPr>
        <w:jc w:val="both"/>
        <w:ind w:left="300" w:right="299" w:firstLine="360"/>
        <w:spacing w:after="0" w:line="277" w:lineRule="auto"/>
        <w:rPr>
          <w:sz w:val="20"/>
          <w:szCs w:val="20"/>
          <w:color w:val="auto"/>
        </w:rPr>
      </w:pPr>
      <w:r>
        <w:rPr>
          <w:rFonts w:ascii="Times New Roman" w:cs="Times New Roman" w:eastAsia="Times New Roman" w:hAnsi="Times New Roman"/>
          <w:sz w:val="17"/>
          <w:szCs w:val="17"/>
          <w:i w:val="1"/>
          <w:iCs w:val="1"/>
          <w:color w:val="auto"/>
        </w:rPr>
        <w:t>Benefits</w:t>
      </w:r>
      <w:r>
        <w:rPr>
          <w:rFonts w:ascii="Times New Roman" w:cs="Times New Roman" w:eastAsia="Times New Roman" w:hAnsi="Times New Roman"/>
          <w:sz w:val="17"/>
          <w:szCs w:val="17"/>
          <w:color w:val="auto"/>
        </w:rPr>
        <w:t>. Mr. Griffith is eligible to receive benefits that are substantially similar to those of our other senior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executive officers. In addition, to the extent Mr. Griffith is not able to fully participate in contributions of the Company to the ESOP due to IRS-imposed top-heavy testing limitations, then the Bank will pay Mr. Griffith a cash bonus equal to the value of the lost contribution. With respect to other benefits, the Bank will (i) provide Mr. Griffith with two automobiles and (ii) any other benefits Mr. Griffith has the right to receive under our policies. The Bank</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will pay all of the reasonable professional fees and expenses incurred by Mr. Griffith in negotiation and preparation of the employment agreement and related agreements. The employment agreement also contains certain standard non-competition, non-solicitation, and confidentiality provisions.</w:t>
      </w:r>
    </w:p>
    <w:p>
      <w:pPr>
        <w:spacing w:after="0" w:line="66"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Equity Grants - RSU Award</w:t>
      </w:r>
      <w:r>
        <w:rPr>
          <w:rFonts w:ascii="Times New Roman" w:cs="Times New Roman" w:eastAsia="Times New Roman" w:hAnsi="Times New Roman"/>
          <w:sz w:val="18"/>
          <w:szCs w:val="18"/>
          <w:color w:val="auto"/>
        </w:rPr>
        <w:t>. Under the terms of the amendment to Mr. Griffith’s employment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Griffith will receive an annual grant of restricted stock units in an amount equal to $125,000 divided by the fair market value of the underlying stock as of the date of grant. The annual grant of restricted stock units will occur in January of each fiscal year and will contain a vesting schedule of one (1) year.</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Equity Grants - Stock Option Award</w:t>
      </w:r>
      <w:r>
        <w:rPr>
          <w:rFonts w:ascii="Times New Roman" w:cs="Times New Roman" w:eastAsia="Times New Roman" w:hAnsi="Times New Roman"/>
          <w:sz w:val="18"/>
          <w:szCs w:val="18"/>
          <w:color w:val="auto"/>
        </w:rPr>
        <w:t>. Pursuant to Mr. Griffith’s employment agreement, Mr. Griffith received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of incentive stock options to purchase Company common stock on December 18, 2019, February 19, 2020 and January 4, 2021 and will continue to receive an annual grant of incentive stock options to purchase Company common stock. The grant date aggregate fair value of such stock options will be approximately equal to 35% of his base salary. The options will contain a vesting schedule no less favorable than a vesting period of 4 years, with 25% becoming vested on the first anniversary of the date of grant, and the remainder vesting pro rata on a monthly basis over the next three years. The initial grants of stock options will vest in full upon the earlier of: (i) Mr. Griffith’s “disability” (as defined in the employment agreement), (ii) Mr. Griffith’s death, (iii) immediately prior to a “change in control” (as defined in the 2019 Plan), (iv) Mr. Griffith terminating his service with the Bank for “good reason” (as defined in the employment agreement), or (v) the Company terminating Mr. Griffith’s employment with “cause” (as defined in the employment agreement).</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Mr. Griffith’s employment agreement provides that, in the event his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terminated by us without “cause” (as defined in his employment agreement), the Company elects not to renew the employment agreement, or Mr. Griffith terminates employment for “good reason” (as defined in the employment agreement), then subject to the execution and effectiveness of a general release of claims in our favor,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In lieu of the payments and benefits described in the preceding sentence, if Mr. Griffith’s employment is terminated by us without cause, the Company elects not to renew the employment agreement, or Mr. Griffith terminates employment for good reason, in each case within 24 months following a “change in control” (as defined in the employment agreement), at the request of a third party participating in a change in control or otherwise in connection with a change in control, subject to the execution and effectiveness of a general release of claims in our favor, he will be entitled to receive:</w:t>
      </w:r>
    </w:p>
    <w:p>
      <w:pPr>
        <w:spacing w:after="0" w:line="3" w:lineRule="exact"/>
        <w:rPr>
          <w:sz w:val="20"/>
          <w:szCs w:val="20"/>
          <w:color w:val="auto"/>
        </w:rPr>
      </w:pPr>
    </w:p>
    <w:p>
      <w:pPr>
        <w:ind w:left="520" w:hanging="228"/>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3 times the sum of (x) his annual base salary and (y) his target annual cash incentive bonus;</w:t>
      </w:r>
    </w:p>
    <w:p>
      <w:pPr>
        <w:spacing w:after="0" w:line="9" w:lineRule="exact"/>
        <w:rPr>
          <w:rFonts w:ascii="Times New Roman" w:cs="Times New Roman" w:eastAsia="Times New Roman" w:hAnsi="Times New Roman"/>
          <w:sz w:val="18"/>
          <w:szCs w:val="18"/>
          <w:color w:val="auto"/>
        </w:rPr>
      </w:pPr>
    </w:p>
    <w:p>
      <w:pPr>
        <w:ind w:left="580" w:hanging="288"/>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of equity and phantom awards, with performance goals, if applicable, deemed met at target; and</w:t>
      </w:r>
    </w:p>
    <w:p>
      <w:pPr>
        <w:spacing w:after="0" w:line="9" w:lineRule="exact"/>
        <w:rPr>
          <w:rFonts w:ascii="Times New Roman" w:cs="Times New Roman" w:eastAsia="Times New Roman" w:hAnsi="Times New Roman"/>
          <w:sz w:val="18"/>
          <w:szCs w:val="18"/>
          <w:color w:val="auto"/>
        </w:rPr>
      </w:pPr>
    </w:p>
    <w:p>
      <w:pPr>
        <w:jc w:val="both"/>
        <w:ind w:left="300" w:right="299" w:hanging="8"/>
        <w:spacing w:after="0" w:line="253" w:lineRule="auto"/>
        <w:tabs>
          <w:tab w:leader="none" w:pos="6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36 months’ of the monthly premiums to continue existing healthcare coverage under COBRA, grossed-up for any applicable taxes. If payments to Mr. Griffith would constitute “parachute payments” within the meaning of Section 280G of the Code, the parachute payments will be reduced so as not to trigger the excise tax imposed by Section 4999 of the Code if it would leave Mr. Griffith in a better after-tax position.</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Upon a termination of Mr. Griffith’s employment due to “disability” (as defined in the employment agreement), he will be entitled to receive: (i) an amount equal to 2 times the sum of (x) his annual base salary and (y) his target annual cash incentive bonus; (ii) full vesting of equity and phantom equity awards, with performance goals, if applicable, deemed met at target; and (iii) a lump sum payment equal to 24 months’ of the monthly premiums to continue existing healthcare coverage under COBRA, grossed-up for any applicable taxes. Any amounts payable pursuant to subsection (i) of the foregoing sentence shall be reduced on a dollar-for-dollar basis by the amount Mr. Griffith is entitled to under any disability insurance plan sponsored by the Company or the Bank. Upon a termination of Mr. Griffith employment due to death, he will be entitled to receive: (i) full vesting of equity and phantom equity awards, with performance goals, if applicable, deemed met at target, and (ii) any earned but unpaid bonus.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Executive Change in Control Severance Plan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Effective July 15, 2020, the board approved the South Plains Financial, Inc. Executive Change in Control Severance Plan (the “Severance Plan”), which provides benefits to eligible employees in the event of certain terminations of employment in connection with a “change in control” (as defined in the Severance Plan). The Compensation Committee of the board selected Mr. Steven B. Crockett to participate in the Severance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Severance Plan and Participation and Award Agreement entered into by Mr. Crockett provide that if an involuntary termination of Mr. Crockett’s employment (other than for death, disability or “cause” (as defined in the Severance Plan)) or a resignation by Mr. Crockett for “good reason” (as defined in the Severance Plan) occurs during the twenty-four (24)-month period immediately following a change in control, then Mr. Crockett will be entitled to: (a) a single lump sum payment equal the sum of: (i) 1.5x his annual base salary; (ii) a pro-rata target annual bonus for the year in which the termination occurs; and (iii) 1.5x the annual total premium cost to cover Mr. Crockett and his eligible dependents, to the extent they were covered as of the termination date, under the Company’s health plan, plus (b) the acceleration of Mr. Crockett’s “equity awards” (as defined in the Severance Plan), with the performance goals relating to performance-based equity awards deemed achieved at target levels.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the payments or benefits to be paid to Mr. Crockett under the Severance Plan together with any other payments the eligible employee has the right to receive would constitute a “parachute payment” under Section 280G of the Code, Mr. Crockett’s payments and benefits under the Severance Plan will be either (a) reduced (but not below zero) so that the present value of such total amounts and benefits will be $1.00 less than three (3) times the Mr. Crockett’s “base amount” (as defined in Section 280G(b)(3) of the Code) and so that no portion of such amounts will be subject to the excise tax imposed by Section 4999 of the Code, or (b) paid in full, whichever produces the better “net after-tax position” to Mr. Crockett.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for each of our named executive officers regarding outstanding equity awards held by the named executive officers at December 31, 2021.</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51"/>
        </w:trPr>
        <w:tc>
          <w:tcPr>
            <w:tcW w:w="2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 that</w:t>
            </w:r>
          </w:p>
        </w:tc>
        <w:tc>
          <w:tcPr>
            <w:tcW w:w="0" w:type="dxa"/>
            <w:vAlign w:val="bottom"/>
          </w:tcPr>
          <w:p>
            <w:pPr>
              <w:spacing w:after="0"/>
              <w:rPr>
                <w:sz w:val="1"/>
                <w:szCs w:val="1"/>
                <w:color w:val="auto"/>
              </w:rPr>
            </w:pPr>
          </w:p>
        </w:tc>
      </w:tr>
      <w:tr>
        <w:trPr>
          <w:trHeight w:val="146"/>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40" w:type="dxa"/>
            <w:vAlign w:val="bottom"/>
          </w:tcPr>
          <w:p>
            <w:pPr>
              <w:spacing w:after="0"/>
              <w:rPr>
                <w:sz w:val="12"/>
                <w:szCs w:val="12"/>
                <w:color w:val="auto"/>
              </w:rPr>
            </w:pP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40" w:type="dxa"/>
            <w:vAlign w:val="bottom"/>
          </w:tcPr>
          <w:p>
            <w:pPr>
              <w:spacing w:after="0"/>
              <w:rPr>
                <w:sz w:val="12"/>
                <w:szCs w:val="12"/>
                <w:color w:val="auto"/>
              </w:rPr>
            </w:pPr>
          </w:p>
        </w:tc>
        <w:tc>
          <w:tcPr>
            <w:tcW w:w="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Pr>
          <w:p>
            <w:pPr>
              <w:spacing w:after="0"/>
              <w:rPr>
                <w:sz w:val="12"/>
                <w:szCs w:val="12"/>
                <w:color w:val="auto"/>
              </w:rPr>
            </w:pPr>
          </w:p>
        </w:tc>
        <w:tc>
          <w:tcPr>
            <w:tcW w:w="11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243"/>
        </w:trPr>
        <w:tc>
          <w:tcPr>
            <w:tcW w:w="216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0"/>
              </w:rPr>
              <w:t xml:space="preserve">($) </w:t>
            </w:r>
            <w:r>
              <w:rPr>
                <w:rFonts w:ascii="Times New Roman" w:cs="Times New Roman" w:eastAsia="Times New Roman" w:hAnsi="Times New Roman"/>
                <w:sz w:val="23"/>
                <w:szCs w:val="23"/>
                <w:b w:val="1"/>
                <w:bCs w:val="1"/>
                <w:color w:val="auto"/>
                <w:w w:val="90"/>
                <w:vertAlign w:val="superscript"/>
              </w:rPr>
              <w:t>(1)</w:t>
            </w:r>
          </w:p>
        </w:tc>
        <w:tc>
          <w:tcPr>
            <w:tcW w:w="0" w:type="dxa"/>
            <w:vAlign w:val="bottom"/>
          </w:tcPr>
          <w:p>
            <w:pPr>
              <w:spacing w:after="0"/>
              <w:rPr>
                <w:sz w:val="1"/>
                <w:szCs w:val="1"/>
                <w:color w:val="auto"/>
              </w:rPr>
            </w:pPr>
          </w:p>
        </w:tc>
      </w:tr>
      <w:tr>
        <w:trPr>
          <w:trHeight w:val="277"/>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B. Crockett</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$12.03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12/31/2022</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6,000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$10.33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12/31/2023</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6,000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$ 5.88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12/31/2024</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6,000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$ 8.60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12/31/2025</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$10.93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$12.24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$13.88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$16.93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$19.05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13,007</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13,007</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8/21/2029</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5,093</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3"/>
              <w:spacing w:after="0" w:line="324" w:lineRule="exact"/>
              <w:rPr>
                <w:sz w:val="20"/>
                <w:szCs w:val="20"/>
                <w:color w:val="auto"/>
              </w:rPr>
            </w:pPr>
            <w:r>
              <w:rPr>
                <w:rFonts w:ascii="Times New Roman" w:cs="Times New Roman" w:eastAsia="Times New Roman" w:hAnsi="Times New Roman"/>
                <w:sz w:val="18"/>
                <w:szCs w:val="18"/>
                <w:color w:val="auto"/>
              </w:rPr>
              <w:t>15,279</w:t>
            </w:r>
            <w:r>
              <w:rPr>
                <w:rFonts w:ascii="Times New Roman" w:cs="Times New Roman" w:eastAsia="Times New Roman" w:hAnsi="Times New Roman"/>
                <w:sz w:val="29"/>
                <w:szCs w:val="29"/>
                <w:color w:val="auto"/>
                <w:vertAlign w:val="superscript"/>
              </w:rPr>
              <w:t>(3)</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$20.93</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2/19/2030</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93"/>
              <w:spacing w:after="0" w:line="324" w:lineRule="exact"/>
              <w:rPr>
                <w:sz w:val="20"/>
                <w:szCs w:val="20"/>
                <w:color w:val="auto"/>
              </w:rPr>
            </w:pPr>
            <w:r>
              <w:rPr>
                <w:rFonts w:ascii="Times New Roman" w:cs="Times New Roman" w:eastAsia="Times New Roman" w:hAnsi="Times New Roman"/>
                <w:sz w:val="18"/>
                <w:szCs w:val="18"/>
                <w:color w:val="auto"/>
              </w:rPr>
              <w:t>16,210</w:t>
            </w:r>
            <w:r>
              <w:rPr>
                <w:rFonts w:ascii="Times New Roman" w:cs="Times New Roman" w:eastAsia="Times New Roman" w:hAnsi="Times New Roman"/>
                <w:sz w:val="29"/>
                <w:szCs w:val="29"/>
                <w:color w:val="auto"/>
                <w:vertAlign w:val="superscript"/>
              </w:rPr>
              <w:t>(4)</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$19.62</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2/24/2031</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4,531</w:t>
            </w:r>
            <w:r>
              <w:rPr>
                <w:rFonts w:ascii="Times New Roman" w:cs="Times New Roman" w:eastAsia="Times New Roman" w:hAnsi="Times New Roman"/>
                <w:sz w:val="29"/>
                <w:szCs w:val="29"/>
                <w:color w:val="auto"/>
                <w:vertAlign w:val="superscript"/>
              </w:rPr>
              <w:t>(5)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126,007</w:t>
            </w:r>
          </w:p>
        </w:tc>
        <w:tc>
          <w:tcPr>
            <w:tcW w:w="0" w:type="dxa"/>
            <w:vAlign w:val="bottom"/>
          </w:tcPr>
          <w:p>
            <w:pPr>
              <w:spacing w:after="0"/>
              <w:rPr>
                <w:sz w:val="1"/>
                <w:szCs w:val="1"/>
                <w:color w:val="auto"/>
              </w:rPr>
            </w:pPr>
          </w:p>
        </w:tc>
      </w:tr>
      <w:tr>
        <w:trPr>
          <w:trHeight w:val="270"/>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Curtis C. Griffith</w:t>
            </w:r>
          </w:p>
        </w:tc>
        <w:tc>
          <w:tcPr>
            <w:tcW w:w="84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9,000</w:t>
            </w:r>
          </w:p>
        </w:tc>
        <w:tc>
          <w:tcPr>
            <w:tcW w:w="140" w:type="dxa"/>
            <w:vAlign w:val="bottom"/>
          </w:tcPr>
          <w:p>
            <w:pPr>
              <w:spacing w:after="0"/>
              <w:rPr>
                <w:sz w:val="23"/>
                <w:szCs w:val="23"/>
                <w:color w:val="auto"/>
              </w:rPr>
            </w:pPr>
          </w:p>
        </w:tc>
        <w:tc>
          <w:tcPr>
            <w:tcW w:w="12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$12.03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12/31/2022</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9,000</w:t>
            </w:r>
          </w:p>
        </w:tc>
        <w:tc>
          <w:tcPr>
            <w:tcW w:w="140" w:type="dxa"/>
            <w:vAlign w:val="bottom"/>
          </w:tcPr>
          <w:p>
            <w:pPr>
              <w:spacing w:after="0"/>
              <w:rPr>
                <w:sz w:val="24"/>
                <w:szCs w:val="24"/>
                <w:color w:val="auto"/>
              </w:rPr>
            </w:pPr>
          </w:p>
        </w:tc>
        <w:tc>
          <w:tcPr>
            <w:tcW w:w="12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12/31/2023</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24"/>
                <w:szCs w:val="24"/>
                <w:color w:val="auto"/>
              </w:rPr>
            </w:pPr>
          </w:p>
        </w:tc>
        <w:tc>
          <w:tcPr>
            <w:tcW w:w="12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$ 5.88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24"/>
                <w:szCs w:val="24"/>
                <w:color w:val="auto"/>
              </w:rPr>
            </w:pPr>
          </w:p>
        </w:tc>
        <w:tc>
          <w:tcPr>
            <w:tcW w:w="12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$ 8.60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12/31/2025</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24"/>
                <w:szCs w:val="24"/>
                <w:color w:val="auto"/>
              </w:rPr>
            </w:pPr>
          </w:p>
        </w:tc>
        <w:tc>
          <w:tcPr>
            <w:tcW w:w="12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$10.93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24"/>
                <w:szCs w:val="24"/>
                <w:color w:val="auto"/>
              </w:rPr>
            </w:pPr>
          </w:p>
        </w:tc>
        <w:tc>
          <w:tcPr>
            <w:tcW w:w="12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$12.24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24"/>
                <w:szCs w:val="24"/>
                <w:color w:val="auto"/>
              </w:rPr>
            </w:pPr>
          </w:p>
        </w:tc>
        <w:tc>
          <w:tcPr>
            <w:tcW w:w="12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$13.88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24"/>
                <w:szCs w:val="24"/>
                <w:color w:val="auto"/>
              </w:rPr>
            </w:pPr>
          </w:p>
        </w:tc>
        <w:tc>
          <w:tcPr>
            <w:tcW w:w="12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$16.93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24"/>
                <w:szCs w:val="24"/>
                <w:color w:val="auto"/>
              </w:rPr>
            </w:pPr>
          </w:p>
        </w:tc>
        <w:tc>
          <w:tcPr>
            <w:tcW w:w="12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$19.05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16,008</w:t>
            </w:r>
          </w:p>
        </w:tc>
        <w:tc>
          <w:tcPr>
            <w:tcW w:w="1420" w:type="dxa"/>
            <w:vAlign w:val="bottom"/>
            <w:gridSpan w:val="2"/>
          </w:tcPr>
          <w:p>
            <w:pPr>
              <w:jc w:val="right"/>
              <w:ind w:right="93"/>
              <w:spacing w:after="0"/>
              <w:rPr>
                <w:sz w:val="20"/>
                <w:szCs w:val="20"/>
                <w:color w:val="auto"/>
              </w:rPr>
            </w:pPr>
            <w:r>
              <w:rPr>
                <w:rFonts w:ascii="Times New Roman" w:cs="Times New Roman" w:eastAsia="Times New Roman" w:hAnsi="Times New Roman"/>
                <w:sz w:val="18"/>
                <w:szCs w:val="18"/>
                <w:color w:val="auto"/>
              </w:rPr>
              <w:t>5,947</w:t>
            </w:r>
            <w:r>
              <w:rPr>
                <w:rFonts w:ascii="Times New Roman" w:cs="Times New Roman" w:eastAsia="Times New Roman" w:hAnsi="Times New Roman"/>
                <w:sz w:val="29"/>
                <w:szCs w:val="29"/>
                <w:color w:val="auto"/>
                <w:vertAlign w:val="superscript"/>
              </w:rPr>
              <w:t>(6)</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$19.98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12/18/2029</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10,738</w:t>
            </w:r>
          </w:p>
        </w:tc>
        <w:tc>
          <w:tcPr>
            <w:tcW w:w="1420" w:type="dxa"/>
            <w:vAlign w:val="bottom"/>
            <w:gridSpan w:val="2"/>
          </w:tcPr>
          <w:p>
            <w:pPr>
              <w:jc w:val="right"/>
              <w:ind w:right="93"/>
              <w:spacing w:after="0" w:line="324" w:lineRule="exact"/>
              <w:rPr>
                <w:sz w:val="20"/>
                <w:szCs w:val="20"/>
                <w:color w:val="auto"/>
              </w:rPr>
            </w:pPr>
            <w:r>
              <w:rPr>
                <w:rFonts w:ascii="Times New Roman" w:cs="Times New Roman" w:eastAsia="Times New Roman" w:hAnsi="Times New Roman"/>
                <w:sz w:val="18"/>
                <w:szCs w:val="18"/>
                <w:color w:val="auto"/>
              </w:rPr>
              <w:t>11,673</w:t>
            </w:r>
            <w:r>
              <w:rPr>
                <w:rFonts w:ascii="Times New Roman" w:cs="Times New Roman" w:eastAsia="Times New Roman" w:hAnsi="Times New Roman"/>
                <w:sz w:val="29"/>
                <w:szCs w:val="29"/>
                <w:color w:val="auto"/>
                <w:vertAlign w:val="superscript"/>
              </w:rPr>
              <w:t>(7)</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$20.93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2/19/2030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93"/>
              <w:spacing w:after="0" w:line="298" w:lineRule="exact"/>
              <w:rPr>
                <w:sz w:val="20"/>
                <w:szCs w:val="20"/>
                <w:color w:val="auto"/>
              </w:rPr>
            </w:pPr>
            <w:r>
              <w:rPr>
                <w:rFonts w:ascii="Times New Roman" w:cs="Times New Roman" w:eastAsia="Times New Roman" w:hAnsi="Times New Roman"/>
                <w:sz w:val="18"/>
                <w:szCs w:val="18"/>
                <w:color w:val="auto"/>
              </w:rPr>
              <w:t>18,562</w:t>
            </w:r>
            <w:r>
              <w:rPr>
                <w:rFonts w:ascii="Times New Roman" w:cs="Times New Roman" w:eastAsia="Times New Roman" w:hAnsi="Times New Roman"/>
                <w:sz w:val="29"/>
                <w:szCs w:val="29"/>
                <w:color w:val="auto"/>
                <w:vertAlign w:val="superscript"/>
              </w:rPr>
              <w:t>(8)</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$18.95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1/4/2031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Cory T. Newsom</w:t>
            </w:r>
          </w:p>
        </w:tc>
        <w:tc>
          <w:tcPr>
            <w:tcW w:w="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9,000</w:t>
            </w: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$12.03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12/31/2022</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9,000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$10.33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12/31/2023</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9,000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$ 5.88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12/31/2024</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9,000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$ 8.60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12/31/2025</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12,000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$10.93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12/31/2026</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12,000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$12.24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12/31/2027</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12,000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$13.88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12,000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$16.93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$19.05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26,138</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9,709</w:t>
            </w:r>
            <w:r>
              <w:rPr>
                <w:rFonts w:ascii="Times New Roman" w:cs="Times New Roman" w:eastAsia="Times New Roman" w:hAnsi="Times New Roman"/>
                <w:sz w:val="29"/>
                <w:szCs w:val="29"/>
                <w:color w:val="auto"/>
                <w:vertAlign w:val="superscript"/>
              </w:rPr>
              <w:t>(6)</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$21.32</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3/20/2029</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18,792</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3"/>
              <w:spacing w:after="0" w:line="324" w:lineRule="exact"/>
              <w:rPr>
                <w:sz w:val="20"/>
                <w:szCs w:val="20"/>
                <w:color w:val="auto"/>
              </w:rPr>
            </w:pPr>
            <w:r>
              <w:rPr>
                <w:rFonts w:ascii="Times New Roman" w:cs="Times New Roman" w:eastAsia="Times New Roman" w:hAnsi="Times New Roman"/>
                <w:sz w:val="18"/>
                <w:szCs w:val="18"/>
                <w:color w:val="auto"/>
              </w:rPr>
              <w:t>20,428</w:t>
            </w:r>
            <w:r>
              <w:rPr>
                <w:rFonts w:ascii="Times New Roman" w:cs="Times New Roman" w:eastAsia="Times New Roman" w:hAnsi="Times New Roman"/>
                <w:sz w:val="29"/>
                <w:szCs w:val="29"/>
                <w:color w:val="auto"/>
                <w:vertAlign w:val="superscript"/>
              </w:rPr>
              <w:t>(7)</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$20.93</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2/19/2030</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3"/>
              <w:spacing w:after="0" w:line="324" w:lineRule="exact"/>
              <w:rPr>
                <w:sz w:val="20"/>
                <w:szCs w:val="20"/>
                <w:color w:val="auto"/>
              </w:rPr>
            </w:pPr>
            <w:r>
              <w:rPr>
                <w:rFonts w:ascii="Times New Roman" w:cs="Times New Roman" w:eastAsia="Times New Roman" w:hAnsi="Times New Roman"/>
                <w:sz w:val="18"/>
                <w:szCs w:val="18"/>
                <w:color w:val="auto"/>
              </w:rPr>
              <w:t>32,484</w:t>
            </w:r>
            <w:r>
              <w:rPr>
                <w:rFonts w:ascii="Times New Roman" w:cs="Times New Roman" w:eastAsia="Times New Roman" w:hAnsi="Times New Roman"/>
                <w:sz w:val="29"/>
                <w:szCs w:val="29"/>
                <w:color w:val="auto"/>
                <w:vertAlign w:val="superscript"/>
              </w:rPr>
              <w:t>(8)</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$18.95</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1/4/2031</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88"/>
              <w:spacing w:after="0" w:line="324" w:lineRule="exact"/>
              <w:rPr>
                <w:sz w:val="20"/>
                <w:szCs w:val="20"/>
                <w:color w:val="auto"/>
              </w:rPr>
            </w:pPr>
            <w:r>
              <w:rPr>
                <w:rFonts w:ascii="Times New Roman" w:cs="Times New Roman" w:eastAsia="Times New Roman" w:hAnsi="Times New Roman"/>
                <w:sz w:val="18"/>
                <w:szCs w:val="18"/>
                <w:color w:val="auto"/>
              </w:rPr>
              <w:t>23,452</w:t>
            </w:r>
            <w:r>
              <w:rPr>
                <w:rFonts w:ascii="Times New Roman" w:cs="Times New Roman" w:eastAsia="Times New Roman" w:hAnsi="Times New Roman"/>
                <w:sz w:val="29"/>
                <w:szCs w:val="29"/>
                <w:color w:val="auto"/>
                <w:vertAlign w:val="superscript"/>
              </w:rPr>
              <w:t>(9)</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652,200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-7834630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-7834630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-7834630</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-7834630</wp:posOffset>
            </wp:positionV>
            <wp:extent cx="857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-7834630</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-7834630</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640" w:right="29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computed by multiplying the number of restricted stock units that have not vested by $27.81, which was the closing price of a share of the Company’s common stock on December 31, 2021.</w:t>
      </w:r>
    </w:p>
    <w:p>
      <w:pPr>
        <w:sectPr>
          <w:pgSz w:w="11900" w:h="16838" w:orient="portrait"/>
          <w:cols w:equalWidth="0" w:num="1">
            <w:col w:w="9019"/>
          </w:cols>
          <w:pgMar w:left="1440" w:top="263" w:right="1440" w:bottom="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019"/>
          </w:cols>
          <w:pgMar w:left="1440" w:top="263" w:right="1440" w:bottom="0" w:gutter="0" w:footer="0" w:header="0"/>
          <w:type w:val="continuous"/>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one-half on each of January 1, 2022 and January 1,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one-third on each of January 1, 2022, January 1, 2023 and January 1,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one-fourth on each of January 1, 2022, January 1, 2023, January 1, 2024 and January 1,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one-half on each of January 1, 2022 and January 1,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pro rata on a monthly basis over the 13 months beginning on January 1, 2022.</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pro rata on a monthly basis over the 25 months beginning on January 1, 2022.</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options vest one-fourth on January 1, 2022 and pro rata on a monthly basis over the next 36 months.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one-half on each of March 20, 2022 and March 20, 2023.</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 upon Termination or Change in Control</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Payments to Mr. Newsom and Mr. Griffith in the event of a termination of employment with the Bank or upon a “change in control” (as defined in the employment agreements) are described above in “Employment Agreement with Cory T. Newsom,” and “Employment Agreement with Curtis C. Griffith.” Payments to Mr. Crockett in the event of a termination of employment with the Bank in connection with a “change in control” (as defined in the Severance Plan) are described above in “Executive Change in Control Severance Plan.” In addition, certain payments in connection with a termination of employment with the Bank or death for Mr. Newsom, Mr. Griffith and Mr. Crockett are described above in “Deferred Compensation.” Equity awards granted to our executive officers under the 2019 Plan generally vest upon (i) the executive officer’s disability (as defined in the 2019 Plan), (ii) the executive officer’s death, and (iii) immediately prior to a “change in control” (as defined in the 2019 Plan).</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board reviewed non-employee independent director compensation paid by our peers to establish the appropriate mix and amount of compensation payable to our non-employee directors. The following table sets forth information regarding 2021 compensation for each of our non-employee directors, including for director services at the Bank.</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2"/>
                <w:szCs w:val="12"/>
                <w:color w:val="auto"/>
              </w:rPr>
            </w:pPr>
          </w:p>
        </w:tc>
        <w:tc>
          <w:tcPr>
            <w:tcW w:w="7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Paid in</w:t>
            </w:r>
          </w:p>
        </w:tc>
        <w:tc>
          <w:tcPr>
            <w:tcW w:w="7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3"/>
        </w:trPr>
        <w:tc>
          <w:tcPr>
            <w:tcW w:w="21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4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23"/>
                <w:szCs w:val="23"/>
                <w:b w:val="1"/>
                <w:bCs w:val="1"/>
                <w:color w:val="auto"/>
                <w:w w:val="95"/>
                <w:vertAlign w:val="superscript"/>
              </w:rPr>
              <w:t>(1)</w:t>
            </w:r>
          </w:p>
        </w:tc>
        <w:tc>
          <w:tcPr>
            <w:tcW w:w="1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gridSpan w:val="2"/>
          </w:tcPr>
          <w:p>
            <w:pPr>
              <w:ind w:left="20"/>
              <w:spacing w:after="0" w:line="243" w:lineRule="exact"/>
              <w:rPr>
                <w:sz w:val="20"/>
                <w:szCs w:val="20"/>
                <w:color w:val="auto"/>
              </w:rPr>
            </w:pPr>
            <w:r>
              <w:rPr>
                <w:rFonts w:ascii="Times New Roman" w:cs="Times New Roman" w:eastAsia="Times New Roman" w:hAnsi="Times New Roman"/>
                <w:sz w:val="14"/>
                <w:szCs w:val="14"/>
                <w:b w:val="1"/>
                <w:bCs w:val="1"/>
                <w:color w:val="auto"/>
                <w:w w:val="99"/>
              </w:rPr>
              <w:t>Compensation</w:t>
            </w:r>
            <w:r>
              <w:rPr>
                <w:rFonts w:ascii="Times New Roman" w:cs="Times New Roman" w:eastAsia="Times New Roman" w:hAnsi="Times New Roman"/>
                <w:sz w:val="23"/>
                <w:szCs w:val="23"/>
                <w:b w:val="1"/>
                <w:bCs w:val="1"/>
                <w:color w:val="auto"/>
                <w:w w:val="99"/>
                <w:vertAlign w:val="superscript"/>
              </w:rPr>
              <w:t>(2)</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2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D. Campbell</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$92,500</w:t>
            </w: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$24,996</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10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$9,916</w:t>
            </w:r>
          </w:p>
        </w:tc>
        <w:tc>
          <w:tcPr>
            <w:tcW w:w="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$127,412</w:t>
            </w:r>
          </w:p>
        </w:tc>
        <w:tc>
          <w:tcPr>
            <w:tcW w:w="0" w:type="dxa"/>
            <w:vAlign w:val="bottom"/>
          </w:tcPr>
          <w:p>
            <w:pPr>
              <w:spacing w:after="0"/>
              <w:rPr>
                <w:sz w:val="1"/>
                <w:szCs w:val="1"/>
                <w:color w:val="auto"/>
              </w:rPr>
            </w:pPr>
          </w:p>
        </w:tc>
      </w:tr>
      <w:tr>
        <w:trPr>
          <w:trHeight w:val="270"/>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Cynthia B. Keith</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$67,500</w:t>
            </w:r>
          </w:p>
        </w:tc>
        <w:tc>
          <w:tcPr>
            <w:tcW w:w="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$24,996</w:t>
            </w:r>
          </w:p>
        </w:tc>
        <w:tc>
          <w:tcPr>
            <w:tcW w:w="140" w:type="dxa"/>
            <w:vAlign w:val="bottom"/>
          </w:tcPr>
          <w:p>
            <w:pPr>
              <w:spacing w:after="0"/>
              <w:rPr>
                <w:sz w:val="23"/>
                <w:szCs w:val="23"/>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$9,916</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$102,412</w:t>
            </w:r>
          </w:p>
        </w:tc>
        <w:tc>
          <w:tcPr>
            <w:tcW w:w="0" w:type="dxa"/>
            <w:vAlign w:val="bottom"/>
          </w:tcPr>
          <w:p>
            <w:pPr>
              <w:spacing w:after="0"/>
              <w:rPr>
                <w:sz w:val="1"/>
                <w:szCs w:val="1"/>
                <w:color w:val="auto"/>
              </w:rPr>
            </w:pPr>
          </w:p>
        </w:tc>
      </w:tr>
      <w:tr>
        <w:trPr>
          <w:trHeight w:val="54"/>
        </w:trPr>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Allison Navitskas*</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$24,365</w:t>
            </w: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$24,996</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$ 49,361</w:t>
            </w:r>
          </w:p>
        </w:tc>
        <w:tc>
          <w:tcPr>
            <w:tcW w:w="0" w:type="dxa"/>
            <w:vAlign w:val="bottom"/>
          </w:tcPr>
          <w:p>
            <w:pPr>
              <w:spacing w:after="0"/>
              <w:rPr>
                <w:sz w:val="1"/>
                <w:szCs w:val="1"/>
                <w:color w:val="auto"/>
              </w:rPr>
            </w:pPr>
          </w:p>
        </w:tc>
      </w:tr>
      <w:tr>
        <w:trPr>
          <w:trHeight w:val="270"/>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Noe G. Valles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$70,000</w:t>
            </w:r>
          </w:p>
        </w:tc>
        <w:tc>
          <w:tcPr>
            <w:tcW w:w="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$24,996</w:t>
            </w:r>
          </w:p>
        </w:tc>
        <w:tc>
          <w:tcPr>
            <w:tcW w:w="140" w:type="dxa"/>
            <w:vAlign w:val="bottom"/>
          </w:tcPr>
          <w:p>
            <w:pPr>
              <w:spacing w:after="0"/>
              <w:rPr>
                <w:sz w:val="23"/>
                <w:szCs w:val="23"/>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$9,916</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$104,912</w:t>
            </w:r>
          </w:p>
        </w:tc>
        <w:tc>
          <w:tcPr>
            <w:tcW w:w="0" w:type="dxa"/>
            <w:vAlign w:val="bottom"/>
          </w:tcPr>
          <w:p>
            <w:pPr>
              <w:spacing w:after="0"/>
              <w:rPr>
                <w:sz w:val="1"/>
                <w:szCs w:val="1"/>
                <w:color w:val="auto"/>
              </w:rPr>
            </w:pPr>
          </w:p>
        </w:tc>
      </w:tr>
      <w:tr>
        <w:trPr>
          <w:trHeight w:val="54"/>
        </w:trPr>
        <w:tc>
          <w:tcPr>
            <w:tcW w:w="2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Kyle R. Wargo</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$76,875</w:t>
            </w: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$24,996</w:t>
            </w:r>
          </w:p>
        </w:tc>
        <w:tc>
          <w:tcPr>
            <w:tcW w:w="14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w:t>
            </w:r>
          </w:p>
        </w:tc>
        <w:tc>
          <w:tcPr>
            <w:tcW w:w="1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$9,916</w:t>
            </w: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$111,787</w:t>
            </w:r>
          </w:p>
        </w:tc>
        <w:tc>
          <w:tcPr>
            <w:tcW w:w="0" w:type="dxa"/>
            <w:vAlign w:val="bottom"/>
          </w:tcPr>
          <w:p>
            <w:pPr>
              <w:spacing w:after="0"/>
              <w:rPr>
                <w:sz w:val="1"/>
                <w:szCs w:val="1"/>
                <w:color w:val="auto"/>
              </w:rPr>
            </w:pPr>
          </w:p>
        </w:tc>
      </w:tr>
      <w:tr>
        <w:trPr>
          <w:trHeight w:val="54"/>
        </w:trPr>
        <w:tc>
          <w:tcPr>
            <w:tcW w:w="2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-1045210</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-1045210</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-1045210</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-1045210</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-1045210</wp:posOffset>
            </wp:positionV>
            <wp:extent cx="857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-1045210</wp:posOffset>
            </wp:positionV>
            <wp:extent cx="85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-1045210</wp:posOffset>
            </wp:positionV>
            <wp:extent cx="857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29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was a director of the Company until the 2021 annual meeting of shareholders of the Company held on May 18, 2021. Amounts noted here were paid during the time she was on the board.</w:t>
      </w:r>
    </w:p>
    <w:p>
      <w:pPr>
        <w:spacing w:after="0" w:line="1" w:lineRule="exact"/>
        <w:rPr>
          <w:sz w:val="20"/>
          <w:szCs w:val="20"/>
          <w:color w:val="auto"/>
        </w:rPr>
      </w:pPr>
    </w:p>
    <w:p>
      <w:pPr>
        <w:ind w:left="640" w:right="29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date fair value, as computed in accordance with ASC Topic 718 and the 2019 Equity Incentive Plan, of stock awards granted during 2021 to each non-employee director based on the per share closing price of the Company’s common stock on the date of grant.</w:t>
      </w:r>
    </w:p>
    <w:p>
      <w:pPr>
        <w:ind w:left="640" w:right="31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tax gross-up related to a holiday gift to the directors in the amount of: $2,181 for Mr. Campbell, Ms. Keith, Mr. Valles, and Mr. Wargo.</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Policies and Practices and Risk Management</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do not believe any risks arise from our compensation policies and practices for our executive officers and other employees that are reasonably likely to have a material adverse effect on our operations, results of operations or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Relationships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any of our directors or executive officers, as defined in Item 401 of Regulation S-K.</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Regarding Related Person Transactions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Transactions by us or the Bank with related persons are subject to regulatory requirements and restrictions. These requirements and restrictions include Section 23A and Section 23B of the Federal Reserve Act and the Board of Governors of the Federal Reserve System’s (the “Federal Reserve”) Regulation W (which governs certain transactions by the Bank with its affiliates) and the Federal Reserve’s Regulation O (which governs certain loans by the Bank to its executive officers, directors, and principal shareholders). We have adopted policies to comply with these regulatory requirements and restrictions.</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addition, our board has adopted a written policy governing the approval of related person transactions that complies with all applicable requirements of the SEC and the NASDAQ Global Select Market concerning related person transactions. Related person transactions are transactions in which we are a participant, the amount involved exceeds $120,000 and a related person has or will have a direct or indirect material interest. Related persons of the Company include directors (including nominees for election as directors), executive officers, beneficial holders of more than 5% of our capital stock and the immediate family members of these persons. Our Audit Committee, in consultation with outside counsel, as appropriate, will review potential related person transactions to determine if they are subject to the policy. In determining whether to approve a related person transaction, the Audit Committee will consider, among other factors, the fairness of the proposed transaction, the direct or indirect nature of the related person’s interest in the transaction, the appearance of an improper conflict of interests for any director or executive officer taking into account the size of the transaction and the financial position of the related person, whether the transaction would impair an outside director’s independence, the acceptability of the transaction to our regulators and the potential violations of other corporate policies. Our Related Person Transactions Policy is available on our website at www.spfi.bank.</w:t>
      </w:r>
    </w:p>
    <w:p>
      <w:pPr>
        <w:spacing w:after="0" w:line="8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arrangements with directors and executive officers described in “Executive Compensation” above, the following is a description of each transaction since January 1, 2020, and each proposed transaction in which:</w:t>
      </w:r>
    </w:p>
    <w:p>
      <w:pPr>
        <w:spacing w:after="0" w:line="68"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exceeds or will exceed the lesser of (1) $120,000 or (2) 1% of the average of the Company’s total assets at year end for the last two completed fiscal years; and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five percent of our capital stock, or any immediate family member of or person sharing the household with any of these individuals (other than tenants or employees), had or will have a direct or indirect material interest.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Representation Agreement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June 2011, we entered into a Stock Purchase Agreement with James C. Henry, a principal shareholder of the Company, and his spouse in connection with their purchase of approximately $15.0 million of our common stock in a private placement. Pursuant to that Stock Purchase Agreement, the Company agreed to nominate a representative of the Henrys to serve on the board of each of the Company and the Bank. Richard D. Campbell has served as that board representative since 2011. On March 7, 2019, the Company and the Henrys terminated the Stock Purchase Agreement and entered into a Board Representation Agreement that maintained the Henrys’ right to appoint a representative to our board and to the board of the Bank. Pursuant to the Board Representation Agreement, for so long as the Henrys, or a lineal descendant of the Henrys, or an entity formed for their benefit, holds in aggregate 5.0% or more of our outstanding shares of common stock, the Company must nominate their representative to serve on the board of each of the Company and the Bank, subject to any required regulatory and shareholder approvals.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Private Sales of Subordinated Debt Securities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December 2018, we conducted an exchange offering pursuant to which we exchanged existing subordinated debt securities, due 2024, for newly issued ten- and twelve-year subordinated debt securities, due 2028 and 2030, respectively, and sold additional newly issued subordinated debt securities. In this offering, Richard D. Campbell,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director, and his spouse exchanged $250,000 in principal amount of existing subordinated debt securities, due 2024, for $250,000 in principal amount of newly issued debt securities, due 2030 on the same terms and conditions as offered to other qualified investors. Certain of our directors also participated in the exchange offering in principal amounts less than $120,000 and on the same terms and conditions as offered to other qualified investors.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11" w:lineRule="exact"/>
        <w:rPr>
          <w:sz w:val="20"/>
          <w:szCs w:val="20"/>
          <w:color w:val="auto"/>
        </w:rPr>
      </w:pPr>
    </w:p>
    <w:p>
      <w:pPr>
        <w:jc w:val="both"/>
        <w:ind w:left="300" w:right="299" w:firstLine="360"/>
        <w:spacing w:after="0" w:line="214" w:lineRule="auto"/>
        <w:rPr>
          <w:sz w:val="20"/>
          <w:szCs w:val="20"/>
          <w:color w:val="auto"/>
        </w:rPr>
      </w:pPr>
      <w:r>
        <w:rPr>
          <w:rFonts w:ascii="Times New Roman" w:cs="Times New Roman" w:eastAsia="Times New Roman" w:hAnsi="Times New Roman"/>
          <w:sz w:val="18"/>
          <w:szCs w:val="18"/>
          <w:color w:val="auto"/>
        </w:rPr>
        <w:t>The Company has purchased office furniture, fixtures and equipment for various bank locations from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Class Solutions, an entity in which Kim Newsom, the wife of Cory T. Newsom, a director and the President of the Company, has a majority ownership interest. Mr. Newsom also owns a minority interest in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Class Solutions. The purchases by the Company totaled approximately $81,000 and $155,000 in the years ended December 31, 2021 and 2020, respectively. All purchases from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Class Solutions received prior approval of the board of the Bank, with Mr. Newsom abstaining from the vote. We believe the terms of each of the transactions described above are no less favorable to us than we could have obtained from an unaffiliated third party. We expect to continue to engage in similar transactions in the ordinary course of business with our directors, executive officers, principal shareholders and their associates. All related party transactions will be reviewed and approved in accordance with our Related Person Transaction Policy.</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Ordinary Banking Relationships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Certain of our officers, directors and principal shareholders, as well as their immediate family members and affiliates, are customers of, or have or have had transactions with us or the Bank in the ordinary course of business. These transactions include deposits, loans, wealth management products and other financial services related transactions. Related party transactions are made in the ordinary course of business, on substantially the same terms, including interest rates and collateral (where applicable), as those prevailing at the time for comparable transactions with persons not related to us, and do not involve more than normal risk of collectability or present other features unfavorable to us. Any loans we originate with officers, directors and principal shareholders, as well as their immediate family members and affiliates, are approved by our board in accordance with the Bank’s regulatory requirements.</w:t>
      </w:r>
    </w:p>
    <w:p>
      <w:pPr>
        <w:spacing w:after="0" w:line="80"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Cory T. Newsom, our President, has no familial relationship with Mikella D. Newsom, our Chief Risk Officer and Secretary.</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no related party loans were categorized as nonaccrual, past due, restructured or potential problem loans. We expect to continue to enter into transactions in the ordinary course of business on similar terms with our officers, directors and principal shareholders, as well as their immediate family members and affiliates.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left="292" w:right="351"/>
        <w:spacing w:after="0" w:line="286" w:lineRule="auto"/>
        <w:rPr>
          <w:sz w:val="20"/>
          <w:szCs w:val="20"/>
          <w:color w:val="auto"/>
        </w:rPr>
      </w:pPr>
      <w:r>
        <w:rPr>
          <w:rFonts w:ascii="Times New Roman" w:cs="Times New Roman" w:eastAsia="Times New Roman" w:hAnsi="Times New Roman"/>
          <w:sz w:val="18"/>
          <w:szCs w:val="18"/>
          <w:b w:val="1"/>
          <w:bCs w:val="1"/>
          <w:color w:val="auto"/>
        </w:rPr>
        <w:t>BENEFICIAL OWNERSHIP OF THE COMPANY’S COMMON STOCK BY MANAGEMENT AND PRINCIPAL SHAREHOLDERS OF THE COMPANY</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beneficial ownership of our common stock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14, 2022 for:</w:t>
      </w:r>
    </w:p>
    <w:p>
      <w:pPr>
        <w:spacing w:after="0" w:line="99"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who beneficially owns more than 5% of our common stock.</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provide that a person is the beneficial owner of securities if such person has or shares the power to vote or direct the voting of securities, or to dispose or direct the disposition of securities, or has the right to acquire such powers within sixty (60) days. Except as disclosed in the footnotes to this table and subject to applicable community property laws, we believe that each person identified in the table has sole voting and investment power over all of the shares shown opposite such person’s name.</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percentage of beneficial ownership is based on 17,683,638 shares of our common stock outstanding as of March 14, 2022.</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Except as indicated below, the address for each shareholder listed in the table below is: South Plains Financial, Inc., 5219 City Bank Parkway, Lubbock, Texas 79407.</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0"/>
        </w:trPr>
        <w:tc>
          <w:tcPr>
            <w:tcW w:w="5720" w:type="dxa"/>
            <w:vAlign w:val="bottom"/>
            <w:gridSpan w:val="2"/>
            <w:vMerge w:val="continue"/>
          </w:tcPr>
          <w:p>
            <w:pPr>
              <w:spacing w:after="0"/>
              <w:rPr>
                <w:sz w:val="16"/>
                <w:szCs w:val="16"/>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51"/>
        </w:trPr>
        <w:tc>
          <w:tcPr>
            <w:tcW w:w="540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Richard D. Campbell</w:t>
            </w:r>
            <w:r>
              <w:rPr>
                <w:rFonts w:ascii="Times New Roman" w:cs="Times New Roman" w:eastAsia="Times New Roman" w:hAnsi="Times New Roman"/>
                <w:sz w:val="29"/>
                <w:szCs w:val="29"/>
                <w:color w:val="auto"/>
                <w:vertAlign w:val="superscript"/>
              </w:rPr>
              <w:t>(1)</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1,751,010</w:t>
            </w:r>
          </w:p>
        </w:tc>
        <w:tc>
          <w:tcPr>
            <w:tcW w:w="300" w:type="dxa"/>
            <w:vAlign w:val="bottom"/>
          </w:tcPr>
          <w:p>
            <w:pPr>
              <w:spacing w:after="0"/>
              <w:rPr>
                <w:sz w:val="24"/>
                <w:szCs w:val="24"/>
                <w:color w:val="auto"/>
              </w:rPr>
            </w:pPr>
          </w:p>
        </w:tc>
        <w:tc>
          <w:tcPr>
            <w:tcW w:w="12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324"/>
        </w:trPr>
        <w:tc>
          <w:tcPr>
            <w:tcW w:w="57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Steven B. Crockett</w:t>
            </w:r>
            <w:r>
              <w:rPr>
                <w:rFonts w:ascii="Times New Roman" w:cs="Times New Roman" w:eastAsia="Times New Roman" w:hAnsi="Times New Roman"/>
                <w:sz w:val="29"/>
                <w:szCs w:val="29"/>
                <w:color w:val="auto"/>
                <w:vertAlign w:val="superscript"/>
              </w:rPr>
              <w:t>(2)</w:t>
            </w: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152,487</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7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Kelly L. Deterding</w:t>
            </w:r>
            <w:r>
              <w:rPr>
                <w:rFonts w:ascii="Times New Roman" w:cs="Times New Roman" w:eastAsia="Times New Roman" w:hAnsi="Times New Roman"/>
                <w:sz w:val="29"/>
                <w:szCs w:val="29"/>
                <w:color w:val="auto"/>
                <w:vertAlign w:val="superscript"/>
              </w:rPr>
              <w:t>(3)</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40,507</w:t>
            </w:r>
          </w:p>
        </w:tc>
        <w:tc>
          <w:tcPr>
            <w:tcW w:w="300" w:type="dxa"/>
            <w:vAlign w:val="bottom"/>
          </w:tcPr>
          <w:p>
            <w:pPr>
              <w:spacing w:after="0"/>
              <w:rPr>
                <w:sz w:val="24"/>
                <w:szCs w:val="24"/>
                <w:color w:val="auto"/>
              </w:rPr>
            </w:pP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7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Curtis C. Griffith</w:t>
            </w:r>
            <w:r>
              <w:rPr>
                <w:rFonts w:ascii="Times New Roman" w:cs="Times New Roman" w:eastAsia="Times New Roman" w:hAnsi="Times New Roman"/>
                <w:sz w:val="29"/>
                <w:szCs w:val="29"/>
                <w:color w:val="auto"/>
                <w:vertAlign w:val="superscript"/>
              </w:rPr>
              <w:t>(4)</w:t>
            </w: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2,139,157</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12.05%</w:t>
            </w:r>
          </w:p>
        </w:tc>
        <w:tc>
          <w:tcPr>
            <w:tcW w:w="0" w:type="dxa"/>
            <w:vAlign w:val="bottom"/>
          </w:tcPr>
          <w:p>
            <w:pPr>
              <w:spacing w:after="0"/>
              <w:rPr>
                <w:sz w:val="1"/>
                <w:szCs w:val="1"/>
                <w:color w:val="auto"/>
              </w:rPr>
            </w:pPr>
          </w:p>
        </w:tc>
      </w:tr>
      <w:tr>
        <w:trPr>
          <w:trHeight w:val="324"/>
        </w:trPr>
        <w:tc>
          <w:tcPr>
            <w:tcW w:w="57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Cynthia B. Keith</w:t>
            </w:r>
            <w:r>
              <w:rPr>
                <w:rFonts w:ascii="Times New Roman" w:cs="Times New Roman" w:eastAsia="Times New Roman" w:hAnsi="Times New Roman"/>
                <w:sz w:val="29"/>
                <w:szCs w:val="29"/>
                <w:color w:val="auto"/>
                <w:vertAlign w:val="superscript"/>
              </w:rPr>
              <w:t>(5)</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6,996</w:t>
            </w:r>
          </w:p>
        </w:tc>
        <w:tc>
          <w:tcPr>
            <w:tcW w:w="300" w:type="dxa"/>
            <w:vAlign w:val="bottom"/>
          </w:tcPr>
          <w:p>
            <w:pPr>
              <w:spacing w:after="0"/>
              <w:rPr>
                <w:sz w:val="24"/>
                <w:szCs w:val="24"/>
                <w:color w:val="auto"/>
              </w:rPr>
            </w:pP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7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Cory T. Newsom</w:t>
            </w:r>
            <w:r>
              <w:rPr>
                <w:rFonts w:ascii="Times New Roman" w:cs="Times New Roman" w:eastAsia="Times New Roman" w:hAnsi="Times New Roman"/>
                <w:sz w:val="29"/>
                <w:szCs w:val="29"/>
                <w:color w:val="auto"/>
                <w:vertAlign w:val="superscript"/>
              </w:rPr>
              <w:t>(6)</w:t>
            </w: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422,261</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324"/>
        </w:trPr>
        <w:tc>
          <w:tcPr>
            <w:tcW w:w="57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Mikella D. Newsom</w:t>
            </w:r>
            <w:r>
              <w:rPr>
                <w:rFonts w:ascii="Times New Roman" w:cs="Times New Roman" w:eastAsia="Times New Roman" w:hAnsi="Times New Roman"/>
                <w:sz w:val="29"/>
                <w:szCs w:val="29"/>
                <w:color w:val="auto"/>
                <w:vertAlign w:val="superscript"/>
              </w:rPr>
              <w:t>(7)</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59,618</w:t>
            </w:r>
          </w:p>
        </w:tc>
        <w:tc>
          <w:tcPr>
            <w:tcW w:w="300" w:type="dxa"/>
            <w:vAlign w:val="bottom"/>
          </w:tcPr>
          <w:p>
            <w:pPr>
              <w:spacing w:after="0"/>
              <w:rPr>
                <w:sz w:val="24"/>
                <w:szCs w:val="24"/>
                <w:color w:val="auto"/>
              </w:rPr>
            </w:pP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7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Noe G. Valles</w:t>
            </w:r>
            <w:r>
              <w:rPr>
                <w:rFonts w:ascii="Times New Roman" w:cs="Times New Roman" w:eastAsia="Times New Roman" w:hAnsi="Times New Roman"/>
                <w:sz w:val="29"/>
                <w:szCs w:val="29"/>
                <w:color w:val="auto"/>
                <w:vertAlign w:val="superscript"/>
              </w:rPr>
              <w:t>(8)</w:t>
            </w: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86,596</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57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Kyle R. Wargo</w:t>
            </w:r>
            <w:r>
              <w:rPr>
                <w:rFonts w:ascii="Times New Roman" w:cs="Times New Roman" w:eastAsia="Times New Roman" w:hAnsi="Times New Roman"/>
                <w:sz w:val="29"/>
                <w:szCs w:val="29"/>
                <w:color w:val="auto"/>
                <w:vertAlign w:val="superscript"/>
              </w:rPr>
              <w:t>(9)</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10,996</w:t>
            </w:r>
          </w:p>
        </w:tc>
        <w:tc>
          <w:tcPr>
            <w:tcW w:w="300" w:type="dxa"/>
            <w:vAlign w:val="bottom"/>
          </w:tcPr>
          <w:p>
            <w:pPr>
              <w:spacing w:after="0"/>
              <w:rPr>
                <w:sz w:val="24"/>
                <w:szCs w:val="24"/>
                <w:color w:val="auto"/>
              </w:rPr>
            </w:pP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5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&amp; executive officers as a group (9 individuals)</w:t>
            </w: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4,669,628</w:t>
            </w:r>
          </w:p>
        </w:tc>
        <w:tc>
          <w:tcPr>
            <w:tcW w:w="3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25.86%</w:t>
            </w:r>
          </w:p>
        </w:tc>
        <w:tc>
          <w:tcPr>
            <w:tcW w:w="0" w:type="dxa"/>
            <w:vAlign w:val="bottom"/>
          </w:tcPr>
          <w:p>
            <w:pPr>
              <w:spacing w:after="0"/>
              <w:rPr>
                <w:sz w:val="1"/>
                <w:szCs w:val="1"/>
                <w:color w:val="auto"/>
              </w:rPr>
            </w:pPr>
          </w:p>
        </w:tc>
      </w:tr>
      <w:tr>
        <w:trPr>
          <w:trHeight w:val="27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7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South Plains Financial, Inc. ESOP</w:t>
            </w:r>
            <w:r>
              <w:rPr>
                <w:rFonts w:ascii="Times New Roman" w:cs="Times New Roman" w:eastAsia="Times New Roman" w:hAnsi="Times New Roman"/>
                <w:sz w:val="29"/>
                <w:szCs w:val="29"/>
                <w:color w:val="auto"/>
                <w:vertAlign w:val="superscript"/>
              </w:rPr>
              <w:t>(10)</w:t>
            </w: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2,701,958</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420"/>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Henry TAW LP</w:t>
            </w:r>
            <w:r>
              <w:rPr>
                <w:rFonts w:ascii="Times New Roman" w:cs="Times New Roman" w:eastAsia="Times New Roman" w:hAnsi="Times New Roman"/>
                <w:sz w:val="29"/>
                <w:szCs w:val="29"/>
                <w:color w:val="auto"/>
                <w:vertAlign w:val="superscript"/>
              </w:rPr>
              <w:t>(11)</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1,703,787</w:t>
            </w:r>
          </w:p>
        </w:tc>
        <w:tc>
          <w:tcPr>
            <w:tcW w:w="300" w:type="dxa"/>
            <w:vAlign w:val="bottom"/>
          </w:tcPr>
          <w:p>
            <w:pPr>
              <w:spacing w:after="0"/>
              <w:rPr>
                <w:sz w:val="24"/>
                <w:szCs w:val="24"/>
                <w:color w:val="auto"/>
              </w:rPr>
            </w:pPr>
          </w:p>
        </w:tc>
        <w:tc>
          <w:tcPr>
            <w:tcW w:w="120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-2957830</wp:posOffset>
            </wp:positionV>
            <wp:extent cx="1885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-2957830</wp:posOffset>
            </wp:positionV>
            <wp:extent cx="2057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85090</wp:posOffset>
            </wp:positionV>
            <wp:extent cx="8229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8" w:lineRule="exact"/>
        <w:rPr>
          <w:sz w:val="20"/>
          <w:szCs w:val="20"/>
          <w:color w:val="auto"/>
        </w:rPr>
      </w:pPr>
    </w:p>
    <w:p>
      <w:pPr>
        <w:ind w:left="640"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ownership of less than 1%</w:t>
      </w:r>
    </w:p>
    <w:p>
      <w:pPr>
        <w:spacing w:after="0" w:line="42" w:lineRule="exact"/>
        <w:rPr>
          <w:sz w:val="20"/>
          <w:szCs w:val="20"/>
          <w:color w:val="auto"/>
        </w:rPr>
      </w:pPr>
    </w:p>
    <w:p>
      <w:pPr>
        <w:jc w:val="both"/>
        <w:ind w:left="640" w:right="299" w:hanging="348"/>
        <w:spacing w:after="0" w:line="236"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6,367 shares held individually by Mr. Campbell, (ii) 40,000 shares held by Racham Investment Group LLC, over which Mr. Campbell is a member, (iii) 1,703,787 shares owned by Henry TAW LP, and (iv) 856 nonvested shares of restricted stock. All of the shares owned by Henry TAW LP are subject to a voting agreement and irrevocable proxy pursuant to which Mr. Campbell exercises voting authority, and includes 1,703,787 shares pledged to J.P. Morgan Chase.</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23,948 shares held individually by Mr. Crockett, (ii) 92,248 shares underlying vested options, (iii) 4,595 nonvested shares of restricted stock, (iv) 31,551 shares held by the ESOP and allocated to Mr. Crockett’s account, and (v) 145 shares held in Mr. Crockett’s account under the City Bank 401(k) Plan.</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3,464 shares held individually by Mr. Deterding, (ii) 15,375 shares underlying vested options, (iii) 822 nonvested shares of restricted stock, (iv) 20,763 shares held by the ESOP and allocated to Mr. Deterding’s account, and (v) 83 shares held in Mr. Deterding’s account under the City Bank 401(k) Plan.</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1,523,350 shares held individually by Mr. Griffith, (ii) 87,000 shares held in the Richard Thomas White 2021 Trust, over which Mr. Griffith serves as trustee, (iii) 87,000 shares held in the Birdie Lucille White 2021 Trust, over which Mr. Griffith serves as trustee,</w:t>
      </w:r>
    </w:p>
    <w:p>
      <w:pPr>
        <w:jc w:val="both"/>
        <w:ind w:left="640" w:right="319" w:firstLine="3"/>
        <w:spacing w:after="0" w:line="221" w:lineRule="auto"/>
        <w:tabs>
          <w:tab w:leader="none" w:pos="897"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87,000 shares held in the William Hogan White 2021 Trust, over which Mr. Griffith serves as trustee, (v) 87,000 shares held in the Sydney Suzanne Griffith 2021 Trust, over which Mr. Griffith serves as trustee, (vi) 87,000 shares held in the Johnathan Brockway Griffith 2021 Trust, over which Mr. Griffith serves as trustee, (vii) 76,555 shares underlying options that are vested or will be vested within 60 days,</w:t>
      </w:r>
    </w:p>
    <w:p>
      <w:pPr>
        <w:ind w:left="640" w:right="319" w:firstLine="3"/>
        <w:spacing w:after="0" w:line="239" w:lineRule="auto"/>
        <w:tabs>
          <w:tab w:leader="none" w:pos="972"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4,243 nonvested shares of restricted stock, (ix) 99,858 shares held by the ESOP and allocated to Mr. Griffith’s account, and (x) 151 shares held in Mr. Griffith’s account under the City Bank 401(k) Plan. Includes 1,095,000 shares pledged to Waggoner National Bank as</w:t>
      </w:r>
    </w:p>
    <w:p>
      <w:pPr>
        <w:sectPr>
          <w:pgSz w:w="11900" w:h="16838" w:orient="portrait"/>
          <w:cols w:equalWidth="0" w:num="1">
            <w:col w:w="9019"/>
          </w:cols>
          <w:pgMar w:left="1440" w:top="263"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0" w:name="page41"/>
    <w:bookmarkEnd w:id="40"/>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660" w:right="319"/>
        <w:spacing w:after="0" w:line="241" w:lineRule="auto"/>
        <w:rPr>
          <w:sz w:val="20"/>
          <w:szCs w:val="20"/>
          <w:color w:val="auto"/>
        </w:rPr>
      </w:pPr>
      <w:r>
        <w:rPr>
          <w:rFonts w:ascii="Times New Roman" w:cs="Times New Roman" w:eastAsia="Times New Roman" w:hAnsi="Times New Roman"/>
          <w:sz w:val="14"/>
          <w:szCs w:val="14"/>
          <w:color w:val="auto"/>
        </w:rPr>
        <w:t>security for a personal loan. Does not include (i) 435,000 shares that are held in the Curtis C. Griffith 2021 Irrevocable Trust, over which Mr. Griffith’s spouse serves as trustee, which Mr. Griffith has disclaimed beneficial ownership, and (ii) 46,350 shares owned directly by Mr. Griffith’s spouse, which Mr. Griffith has disclaimed beneficial ownership.</w:t>
      </w:r>
    </w:p>
    <w:p>
      <w:pPr>
        <w:spacing w:after="0" w:line="15" w:lineRule="exact"/>
        <w:rPr>
          <w:sz w:val="20"/>
          <w:szCs w:val="20"/>
          <w:color w:val="auto"/>
        </w:rPr>
      </w:pPr>
    </w:p>
    <w:p>
      <w:pPr>
        <w:ind w:left="640" w:hanging="348"/>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6,140 shares held individually by Ms. Keith and (ii) 856 nonvested shares of restricted stock.</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145,509 shares held individually by Mr. Newsom, (ii) 750 shares held for the benefit of Mr. Newsom’s minor child, (iii) 162,578 shares underlying options that are vested or will be vested within 60 days, (iv) 31,938 nonvested shares of restricted stock, (v) 81,334 shares held by the ESOP and allocated to Mr. Newsom’s account, and (vi) 152 shares held in Mr. Newsom’s account under the City Bank 401(k) Plan. Includes 109,500 pledged shares as collateral to Alliance Credit Union.</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6,390 shares held individually by Ms. Newsom, (ii) 1,340 shares held by Ms. Newsom’s spouse, (iii) 35,455 shares underlying vested options, (iv) 2,055 nonvested shares of restricted stock, (v) 14,258 shares held by the ESOP and allocated to Ms. Newsom’s account, and (vi) 120 shares held in Ms. Newsom’s account under the City Bank 401(k) Plan.</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85,740 shares held individually by Mr. Valles and (ii) 856 nonvested shares of restricted stock.</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10,140 shares held individually by Mr. Wargo and (ii) 856 nonvested shares of restricted stock.</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ESOP participant has the right to direct the ESOP trustee to vote the shares allocated to his or her account on all matters requiring the vote of our shareholders. In the event that a participant does not direct the ESOP trustee on how to vote his or her allocated shares, the ESOP trustee will determine how such shares are voted. The business address for our ESOP is 5219 City Bank Parkway, Lubbock, Texas 79407.</w:t>
      </w:r>
    </w:p>
    <w:p>
      <w:pPr>
        <w:spacing w:after="0" w:line="165"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1,703,787 shares held by Henry TAW LP are subject to a voting agreement and irrevocable proxy pursuant to which Richard D. Campbell exercises voting authority.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Notwithstanding anything to the contrary set forth in any of the Company’s previous or future filings under the Securities Act or the Exchange Act that might incorporate this proxy statement or future filings with the SEC, in whole or in part, the following report of the Audit Committee shall not be deemed to be incorporated by reference into any such filing.</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The Audit Committee operates pursuant to a written charter adopted March 6, 2019, a current version of the Audit Committee Charter can be accessed on our website https://www.spfi.bank/corporate-governance/documents-charters. Each member of the Audit Committee (1) is an independent director under NASDAQ Stock Market rules,</w:t>
      </w:r>
    </w:p>
    <w:p>
      <w:pPr>
        <w:spacing w:after="0" w:line="1" w:lineRule="exact"/>
        <w:rPr>
          <w:sz w:val="20"/>
          <w:szCs w:val="20"/>
          <w:color w:val="auto"/>
        </w:rPr>
      </w:pPr>
    </w:p>
    <w:p>
      <w:pPr>
        <w:ind w:left="580" w:hanging="288"/>
        <w:spacing w:after="0"/>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the additional independence standards under applicable SEC rules for Audit Committee service, and</w:t>
      </w:r>
    </w:p>
    <w:p>
      <w:pPr>
        <w:spacing w:after="0" w:line="9" w:lineRule="exact"/>
        <w:rPr>
          <w:rFonts w:ascii="Times New Roman" w:cs="Times New Roman" w:eastAsia="Times New Roman" w:hAnsi="Times New Roman"/>
          <w:sz w:val="18"/>
          <w:szCs w:val="18"/>
          <w:color w:val="auto"/>
        </w:rPr>
      </w:pPr>
    </w:p>
    <w:p>
      <w:pPr>
        <w:jc w:val="both"/>
        <w:ind w:left="300" w:right="299" w:hanging="8"/>
        <w:spacing w:after="0" w:line="251" w:lineRule="auto"/>
        <w:tabs>
          <w:tab w:leader="none" w:pos="5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ability to read and understand fundamental financial statements. Consistent with the Audit Committee’s charter, the primary purposes of the Audit Committee are to oversee the financial reporting processes of the Company and the audits of the Company’s financial statements and, in that regard, assist the board in its oversight of: (i) the performance of the Company’s independent registered public accounting firm that audits and reports on the Company’s consolidated financial statements; (ii) the internal audit function; (iii) the integrity of the Company’s financial statements; and (iv) the system of internal controls of the Company. The Audit Committee relies on (i) the integrity of those persons and organizations within and outside the Company from which it receives information absent actual knowledge to the contrary, (ii) the accuracy of the financial and other information provided to the Audit Committee absent actual knowledge to the contrary and (iii) statements made by management or third parties as to any information technology, internal audit, and other non-audit services provided by Weaver to the Company. In fulfilling its oversight responsibilities, the Audit Committee:</w:t>
      </w:r>
    </w:p>
    <w:p>
      <w:pPr>
        <w:spacing w:after="0" w:line="84"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the audited financial statements for the year ended December 31, 2021;</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oversaw the annual independent audit of the Company’s financial statements, including the Company’s internal control over financial reporting as required by the Federal Deposit Insurance Corporation Improvement Act of 1991, the engagement, compensation, and retention of the independent registered public accounting firm, and the evaluation of the independent registered public accounting firm’s qualifications, independence, and performance;</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Company’s independent registered public accounting firm, Weaver, the matters required to be discussed by the applicable requirements of the Public Company Accounting Oversight Board (“PCAOB”) and the SEC;</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Weaver required by applicable requirements of the PCAOB regarding Weaver’s communications with the Audit Committee concerning independence, and discussed with Weaver its independence;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adequacy of the internal controls of the Company with management and the internal audit department.</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has adopted a written Whistleblower Policy that is intended to encourage our employees to bring to the attention of management and the Audit Committee any complaints regarding the integrity of our internal financial controls or the accuracy or completeness of financial or other information related to our financial statements. A current version of the Whistleblower Policy can be accessed on our website https://www.spfi.bank/corporate-governance/documents-charters.</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the board that the audited financial statements for the year ended December 31, 2021 be included in the Company’s Annual Report on Form 10-K for filing with the SEC.</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Submitted by the Audit Committee of the 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Kyle R. Wargo (Audit Committee Chairman)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Richard D. Campbell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Cynthia B. Keith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AUDITORS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has recommended, and the board appointed, BKD, LLP as our independent auditors to audit the consolidated financial statements of the Company for the 2022 fiscal year. Weaver served as our independent auditors for the 2021 fiscal year and reported on the Company’s consolidated financial statements for that year.</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 in Independent Registered Public Accounting Firm</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As previously disclosed in the Company’s Current Report on Form 8-K, filed with the SEC on October 26, 2021, and the Company’s Current Report on Form 8-K/A, filed with the SEC on March 11, 2022 (the “Auditor Change 8-K”), the Audit Committee conducted a competitive process to process to review the appointment of the Company’s independent registered public accounting firm for the fiscal year ended December 31, 2022. The Audit Committee invited several firms, including the Company’s then-current independent registered public accounting firm, Weaver, to participate in this process. As a result of this process and following careful deliberations, on October 20, 2021, the Audit Committee dismissed Weaver, as the Company’s independent registered public accounting firm, effective upon completion of its procedures on the financial statements of the Company as of and for the year ended December 31, 2021 and immediately following the filing of the Company’s Annual Report on Form 10-K for the year ended December 31, 2021.</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Weaver’s reports on the Corporation’s consolidated financial statements as of and for the years ended December 31, 2021 and 2020 did not contain any adverse opinion or disclaimer of opinion, nor were they qualified or modified as to uncertainty, audit scope, or accounting principles. During the fiscal years ended December 31, 2021 and 2020, and the interim period from January 1, 2022 through the date of the Company’s dismissal of Weaver, there were: (i) no disagreements within the meaning of Item 304(a)(1)(iv) of Regulation S-K and the related instructions between the Company and Weaver on any matters of accounting principles or practices, financial statement disclosure, or auditing scope or procedure which, if not resolved to Weaver’s satisfaction, would have caused Weaver to make reference thereto in its reports; and (ii) no “reportable events” within the meaning of Item 304(a)(1)(v) of Regulation S-K.</w:t>
      </w:r>
    </w:p>
    <w:p>
      <w:pPr>
        <w:spacing w:after="0" w:line="8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as disclosed in the Auditor Change 8-K, on October 22, 2021, the Audit Committee appointed BKD, LLP as the Company’s independent registered public accounting firm for the fiscal year ending December 31, 2022, effective immediately following the filing of the Company’s Annual Report on Form 10-K for the year ended December 31, 2021. BKD, LLP and the Company executed an engagement letter relating to the Company’s engagement of BKD, LLP as the Company’s independent registered public accounting firm for the year ending December 31, 2022, effective as of March 7, 2022.</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During the fiscal years ended December 31, 2021 and 2020 and the subsequent interim period from January 1, 2022 through the date of BKD, LLP’s engagement, neither the Company nor anyone on its behalf consulted with BKD, LLP regarding: (i) the application of accounting principles to a specific transaction, either completed or proposed, or the type of audit opinion that might be rendered on the Company’s financial statements, and neither a written report nor oral advice was provided to the Company that BKD, LLP concluded was an important factor considered by the Company in reaching a decision as to any accounting, auditing, or financial reporting issue;</w:t>
      </w:r>
    </w:p>
    <w:p>
      <w:pPr>
        <w:spacing w:after="0" w:line="5" w:lineRule="exact"/>
        <w:rPr>
          <w:sz w:val="20"/>
          <w:szCs w:val="20"/>
          <w:color w:val="auto"/>
        </w:rPr>
      </w:pPr>
    </w:p>
    <w:p>
      <w:pPr>
        <w:jc w:val="both"/>
        <w:ind w:left="300" w:right="299" w:hanging="8"/>
        <w:spacing w:after="0" w:line="255" w:lineRule="auto"/>
        <w:tabs>
          <w:tab w:leader="none" w:pos="57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was the subject of a “disagreement” within the meaning of Item 304(a)(1)(iv) of Regulation S-K and the related instructions; or (iii) any “reportable event” within the meaning of Item 304(a)(1)(v) of Regulation S-K.</w:t>
      </w:r>
    </w:p>
    <w:p>
      <w:pPr>
        <w:spacing w:after="0" w:line="7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shareholders are being asked to ratify and approve the appointment of BKD, LLP at the Company’s 2022 annual meeting of shareholders.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 Pre-Approval</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Charter of the Audit Committee provides the Audit Committee with the authority to pre-approve, or to adopt appropriate procedures to pre-approve, all auditing services (which, if applicable, may include providing comfort letters in connection with securities underwritings), and non-audit services that are otherwise permitted by law (including tax services, if any) that are provided to the Company by its independent auditors. In addition, the Audit Committee has the authority to pre-approve the Company’s independent auditors’ annual engagement letter, including the proposed fees and terms contained therein.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Fees Billed by Independent Registered Public Accounting Firm</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the following audit and non-audit fees billed to the Company by Weaver for 2021 and 2020 for purposes of considering whether such fees are compatible with maintaining the auditor’s independence, and concluded that such fees did not impair Weaver’s independence. The policy of the Audit Committee is to pre-approve all audit and non-audit services performed by Weaver for the benefit of the Company before the services are performed, including all of the services described under “Audit Fees” and “Audit-Related Fees,” “Tax Fees” and “All Other Fees” below. The Audit Committee has pre-approved all of the services provided by Weaver to the Company in accordance with the policies and procedures described in the section titled “—Audit Committee Pre-Approval.”</w:t>
      </w:r>
    </w:p>
    <w:p>
      <w:pPr>
        <w:spacing w:after="0" w:line="158"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spacing w:after="0" w:line="6"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39370</wp:posOffset>
            </wp:positionV>
            <wp:extent cx="10375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9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360" w:type="dxa"/>
            <w:vAlign w:val="bottom"/>
            <w:gridSpan w:val="2"/>
          </w:tcPr>
          <w:p>
            <w:pPr>
              <w:jc w:val="center"/>
              <w:ind w:left="263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6"/>
                <w:szCs w:val="16"/>
                <w:color w:val="auto"/>
              </w:rPr>
            </w:pP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r>
      <w:tr>
        <w:trPr>
          <w:trHeight w:val="51"/>
        </w:trPr>
        <w:tc>
          <w:tcPr>
            <w:tcW w:w="4080" w:type="dxa"/>
            <w:vAlign w:val="bottom"/>
            <w:tcBorders>
              <w:bottom w:val="single" w:sz="8" w:color="CCEEFF"/>
            </w:tcBorders>
          </w:tcPr>
          <w:p>
            <w:pPr>
              <w:spacing w:after="0"/>
              <w:rPr>
                <w:sz w:val="4"/>
                <w:szCs w:val="4"/>
                <w:color w:val="auto"/>
              </w:rPr>
            </w:pPr>
          </w:p>
        </w:tc>
        <w:tc>
          <w:tcPr>
            <w:tcW w:w="27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380" w:type="dxa"/>
            <w:vAlign w:val="bottom"/>
            <w:tcBorders>
              <w:bottom w:val="single" w:sz="8" w:color="CCEEFF"/>
            </w:tcBorders>
            <w:gridSpan w:val="3"/>
            <w:shd w:val="clear" w:color="auto" w:fill="CCEEFF"/>
          </w:tcPr>
          <w:p>
            <w:pPr>
              <w:jc w:val="center"/>
              <w:ind w:left="2616"/>
              <w:spacing w:after="0"/>
              <w:rPr>
                <w:sz w:val="20"/>
                <w:szCs w:val="20"/>
                <w:color w:val="auto"/>
              </w:rPr>
            </w:pPr>
            <w:r>
              <w:rPr>
                <w:rFonts w:ascii="Times New Roman" w:cs="Times New Roman" w:eastAsia="Times New Roman" w:hAnsi="Times New Roman"/>
                <w:sz w:val="18"/>
                <w:szCs w:val="18"/>
                <w:color w:val="auto"/>
              </w:rPr>
              <w:t>$297,725</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$273,483</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700" w:type="dxa"/>
            <w:vAlign w:val="bottom"/>
          </w:tcPr>
          <w:p>
            <w:pPr>
              <w:spacing w:after="0"/>
              <w:rPr>
                <w:sz w:val="23"/>
                <w:szCs w:val="23"/>
                <w:color w:val="auto"/>
              </w:rPr>
            </w:pP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3"/>
                <w:szCs w:val="2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0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408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(1)</w:t>
            </w:r>
          </w:p>
        </w:tc>
        <w:tc>
          <w:tcPr>
            <w:tcW w:w="27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22,215</w:t>
            </w:r>
          </w:p>
        </w:tc>
        <w:tc>
          <w:tcPr>
            <w:tcW w:w="20" w:type="dxa"/>
            <w:vAlign w:val="bottom"/>
            <w:shd w:val="clear" w:color="auto" w:fill="CCEEFF"/>
          </w:tcPr>
          <w:p>
            <w:pPr>
              <w:spacing w:after="0"/>
              <w:rPr>
                <w:sz w:val="24"/>
                <w:szCs w:val="24"/>
                <w:color w:val="auto"/>
              </w:rPr>
            </w:pPr>
          </w:p>
        </w:tc>
      </w:tr>
      <w:tr>
        <w:trPr>
          <w:trHeight w:val="257"/>
        </w:trPr>
        <w:tc>
          <w:tcPr>
            <w:tcW w:w="4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(2)</w:t>
            </w:r>
          </w:p>
        </w:tc>
        <w:tc>
          <w:tcPr>
            <w:tcW w:w="2700" w:type="dxa"/>
            <w:vAlign w:val="bottom"/>
          </w:tcPr>
          <w:p>
            <w:pPr>
              <w:spacing w:after="0"/>
              <w:rPr>
                <w:sz w:val="22"/>
                <w:szCs w:val="22"/>
                <w:color w:val="auto"/>
              </w:rPr>
            </w:pP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0" w:type="dxa"/>
            <w:vAlign w:val="bottom"/>
          </w:tcPr>
          <w:p>
            <w:pPr>
              <w:spacing w:after="0"/>
              <w:rPr>
                <w:sz w:val="22"/>
                <w:szCs w:val="22"/>
                <w:color w:val="auto"/>
              </w:rPr>
            </w:pPr>
          </w:p>
        </w:tc>
      </w:tr>
      <w:tr>
        <w:trPr>
          <w:trHeight w:val="61"/>
        </w:trPr>
        <w:tc>
          <w:tcPr>
            <w:tcW w:w="40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84"/>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380" w:type="dxa"/>
            <w:vAlign w:val="bottom"/>
            <w:gridSpan w:val="3"/>
            <w:shd w:val="clear" w:color="auto" w:fill="CCEEFF"/>
          </w:tcPr>
          <w:p>
            <w:pPr>
              <w:jc w:val="center"/>
              <w:ind w:left="2616"/>
              <w:spacing w:after="0"/>
              <w:rPr>
                <w:sz w:val="20"/>
                <w:szCs w:val="20"/>
                <w:color w:val="auto"/>
              </w:rPr>
            </w:pPr>
            <w:r>
              <w:rPr>
                <w:rFonts w:ascii="Times New Roman" w:cs="Times New Roman" w:eastAsia="Times New Roman" w:hAnsi="Times New Roman"/>
                <w:sz w:val="18"/>
                <w:szCs w:val="18"/>
                <w:color w:val="auto"/>
              </w:rPr>
              <w:t>$297,725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$306,198</w:t>
            </w:r>
          </w:p>
        </w:tc>
        <w:tc>
          <w:tcPr>
            <w:tcW w:w="20" w:type="dxa"/>
            <w:vAlign w:val="bottom"/>
            <w:shd w:val="clear" w:color="auto" w:fill="CCEEFF"/>
          </w:tcPr>
          <w:p>
            <w:pPr>
              <w:spacing w:after="0"/>
              <w:rPr>
                <w:sz w:val="24"/>
                <w:szCs w:val="24"/>
                <w:color w:val="auto"/>
              </w:rPr>
            </w:pPr>
          </w:p>
        </w:tc>
      </w:tr>
      <w:tr>
        <w:trPr>
          <w:trHeight w:val="54"/>
        </w:trPr>
        <w:tc>
          <w:tcPr>
            <w:tcW w:w="4080" w:type="dxa"/>
            <w:vAlign w:val="bottom"/>
            <w:shd w:val="clear" w:color="auto" w:fill="CCEEFF"/>
          </w:tcPr>
          <w:p>
            <w:pPr>
              <w:spacing w:after="0"/>
              <w:rPr>
                <w:sz w:val="4"/>
                <w:szCs w:val="4"/>
                <w:color w:val="auto"/>
              </w:rPr>
            </w:pPr>
          </w:p>
        </w:tc>
        <w:tc>
          <w:tcPr>
            <w:tcW w:w="27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-1062355</wp:posOffset>
            </wp:positionV>
            <wp:extent cx="1714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-1062355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2"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consist of services provided by Weaver to West Texas State Bank, pursuant to an engagement with West Texas State Bank prior to its merger with City Bank, which were accrued by West Texas State Bank prior to the merger but that were paid by City Bank after the merger.</w:t>
      </w:r>
    </w:p>
    <w:p>
      <w:pPr>
        <w:spacing w:after="0" w:line="17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consist of services related to other SEC filings.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FOR SUBMISSION OF SHAREHOLDER PROPOSALS FOR 2023 ANNUAL MEETING</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a shareholder desires to submit a shareholder proposal pursuant to Rule 14a-8 under the Exchange Act for inclusion in the proxy statement for the 2023 annual meeting of shareholders, such proposal and supporting statements, if any, must be received by us at the Company’s principal executive office no later than December 6, 2022 unless the date of the Company’s 2023 annual meeting of shareholders is changed by more than 30 days from May 10, 2023 (the one-year anniversary date of the 2022 annual meeting), in which case the proposal must be received a reasonable time before the Company begins to print and mail its proxy materials. Any such proposal must comply with the requirements of Rule 14a-8 under the Exchange Act.</w:t>
      </w:r>
    </w:p>
    <w:p>
      <w:pPr>
        <w:spacing w:after="0" w:line="81" w:lineRule="exact"/>
        <w:rPr>
          <w:sz w:val="20"/>
          <w:szCs w:val="20"/>
          <w:color w:val="auto"/>
        </w:rPr>
      </w:pPr>
    </w:p>
    <w:p>
      <w:pPr>
        <w:jc w:val="both"/>
        <w:ind w:left="300" w:right="299" w:firstLine="360"/>
        <w:spacing w:after="0" w:line="233" w:lineRule="auto"/>
        <w:rPr>
          <w:sz w:val="20"/>
          <w:szCs w:val="20"/>
          <w:color w:val="auto"/>
        </w:rPr>
      </w:pPr>
      <w:r>
        <w:rPr>
          <w:rFonts w:ascii="Times New Roman" w:cs="Times New Roman" w:eastAsia="Times New Roman" w:hAnsi="Times New Roman"/>
          <w:sz w:val="18"/>
          <w:szCs w:val="18"/>
          <w:color w:val="auto"/>
        </w:rPr>
        <w:t>In addition, our bylaws provide that only such business which is properly brought before a shareholder meeting will be conducted. For business to be properly brought before a meeting, including nominations of persons for election to the board, notice must be received by the Secretary of the Company at the address below not less than thirty (30) days nor more than sixty (60) days prior to the meeting; provided, however, that in the event less than thirty (30) days’ notice or prior disclosure of the date of the meeting is given or made to shareholders, notice by the shareholder(s) to be timely must be so received not later than the close of business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such notice of the date of the meeting was mailed or such disclosure was made.</w:t>
      </w:r>
    </w:p>
    <w:p>
      <w:pPr>
        <w:spacing w:after="0" w:line="9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All notices to us must also provide certain information set forth in the Company’s bylaws. A copy of the Company’s bylaws may be obtained upon written request to the Secretary of the Company.</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All shareholder proposals and nominations should be submitted to the Secretary of the Company at South Plains Financial, Inc., 5219 City Bank Parkway, Lubbock, Texas 79407, Attention: Corporate Secretary.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board does not intend to bring any other matter before the annual meeting and does not know of any other matters that are to be presented for action at the annual meeting. However, if any other matter does properly come before the annual meeting or any adjournment(s) or postponement(s) thereof, the proxies will be voted in accordance with the discretion of the person or persons voting the proxies.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annual meeting. Regardless of whether you plan to attend the annual meeting, you are urged to complete, date, sign and return the enclosed proxy in the accompanying envelope at your earliest convenience.</w:t>
      </w:r>
    </w:p>
    <w:p>
      <w:pPr>
        <w:spacing w:after="0" w:line="14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Curtis C. Griffith</w:t>
      </w:r>
    </w:p>
    <w:p>
      <w:pPr>
        <w:spacing w:after="0" w:line="1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Curtis C. Griffith</w:t>
      </w:r>
    </w:p>
    <w:p>
      <w:pPr>
        <w:spacing w:after="0" w:line="11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Lubbock, Texas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April 5, 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8728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87285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47" w:name="page48"/>
    <w:bookmarkEnd w:id="47"/>
    <w:p>
      <w:pPr>
        <w:spacing w:after="0"/>
        <w:rPr>
          <w:rFonts w:ascii="Times New Roman" w:cs="Times New Roman" w:eastAsia="Times New Roman" w:hAnsi="Times New Roman"/>
          <w:sz w:val="14"/>
          <w:szCs w:val="14"/>
          <w:b w:val="1"/>
          <w:bCs w:val="1"/>
          <w:u w:val="single" w:color="auto"/>
          <w:color w:val="0000EE"/>
        </w:rPr>
      </w:pPr>
      <w:hyperlink w:anchor="page5">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sectPr>
      <w:pgSz w:w="11900" w:h="16838" w:orient="portrait"/>
      <w:cols w:equalWidth="0" w:num="1">
        <w:col w:w="10039"/>
      </w:cols>
      <w:pgMar w:left="42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3"/>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lvl w:ilvl="1">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lowerRoman"/>
      <w:start w:val="1"/>
    </w:lvl>
  </w:abstractNum>
  <w:abstractNum w:abstractNumId="16">
    <w:nsid w:val="8EDBDAB"/>
    <w:multiLevelType w:val="hybridMultilevel"/>
    <w:lvl w:ilvl="0">
      <w:lvlJc w:val="left"/>
      <w:lvlText w:val="(%1)"/>
      <w:numFmt w:val="lowerRoman"/>
      <w:start w:val="1"/>
    </w:lvl>
  </w:abstractNum>
  <w:abstractNum w:abstractNumId="17">
    <w:nsid w:val="79838CB2"/>
    <w:multiLevelType w:val="hybridMultilevel"/>
    <w:lvl w:ilvl="0">
      <w:lvlJc w:val="left"/>
      <w:lvlText w:val="(%1)"/>
      <w:numFmt w:val="lowerLetter"/>
      <w:start w:val="25"/>
    </w:lvl>
  </w:abstractNum>
  <w:abstractNum w:abstractNumId="18">
    <w:nsid w:val="4353D0CD"/>
    <w:multiLevelType w:val="hybridMultilevel"/>
    <w:lvl w:ilvl="0">
      <w:lvlJc w:val="left"/>
      <w:lvlText w:val="(%1)"/>
      <w:numFmt w:val="lowerRoman"/>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2"/>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lvl w:ilvl="1">
      <w:lvlJc w:val="left"/>
      <w:lvlText w:val="(%2)"/>
      <w:numFmt w:val="lowerRoman"/>
      <w:start w:val="4"/>
    </w:lvl>
  </w:abstractNum>
  <w:abstractNum w:abstractNumId="27">
    <w:nsid w:val="8138641"/>
    <w:multiLevelType w:val="hybridMultilevel"/>
    <w:lvl w:ilvl="0">
      <w:lvlJc w:val="left"/>
      <w:lvlText w:val="%1"/>
      <w:numFmt w:val="decimal"/>
      <w:start w:val="1"/>
    </w:lvl>
    <w:lvl w:ilvl="1">
      <w:lvlJc w:val="left"/>
      <w:lvlText w:val="(%2)"/>
      <w:numFmt w:val="lowerRoman"/>
      <w:start w:val="8"/>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decimal"/>
      <w:start w:val="2"/>
    </w:lvl>
    <w:lvl w:ilvl="1">
      <w:lvlJc w:val="left"/>
      <w:lvlText w:val="(%2)"/>
      <w:numFmt w:val="decimal"/>
      <w:start w:val="1"/>
    </w:lvl>
  </w:abstractNum>
  <w:abstractNum w:abstractNumId="30">
    <w:nsid w:val="737B8DDC"/>
    <w:multiLevelType w:val="hybridMultilevel"/>
    <w:lvl w:ilvl="0">
      <w:lvlJc w:val="left"/>
      <w:lvlText w:val="(%1)"/>
      <w:numFmt w:val="lowerRoman"/>
      <w:start w:val="2"/>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2022-04-05T15:46:00Z</dcterms:created>
  <dcterms:modified xsi:type="dcterms:W3CDTF">2022-04-05T15:46:00Z</dcterms:modified>
</cp:coreProperties>
</file>