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1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vMerge w:val="restart"/>
          </w:tcPr>
          <w:p>
            <w:pPr>
              <w:spacing w:after="0" w:line="240" w:lineRule="exact"/>
              <w:rPr>
                <w:rFonts w:ascii="Times New Roman" w:cs="Times New Roman" w:eastAsia="Times New Roman" w:hAnsi="Times New Roman"/>
                <w:sz w:val="21"/>
                <w:szCs w:val="21"/>
                <w:color w:val="0000EE"/>
                <w:w w:val="97"/>
              </w:rPr>
            </w:pPr>
            <w:hyperlink r:id="rId12">
              <w:r>
                <w:rPr>
                  <w:rFonts w:ascii="Times New Roman" w:cs="Times New Roman" w:eastAsia="Times New Roman" w:hAnsi="Times New Roman"/>
                  <w:sz w:val="21"/>
                  <w:szCs w:val="21"/>
                  <w:color w:val="0000EE"/>
                  <w:w w:val="97"/>
                </w:rPr>
                <w:t>Crockett Steven B</w:t>
              </w:r>
            </w:hyperlink>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4"/>
          </w:tcPr>
          <w:p>
            <w:pPr>
              <w:spacing w:after="0" w:line="16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bottom w:val="single" w:sz="8" w:color="0000EE"/>
            </w:tcBorders>
            <w:gridSpan w:val="4"/>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4"/>
          </w:tcPr>
          <w:p>
            <w:pPr>
              <w:spacing w:after="0"/>
              <w:rPr>
                <w:sz w:val="5"/>
                <w:szCs w:val="5"/>
                <w:color w:val="auto"/>
              </w:rPr>
            </w:pPr>
          </w:p>
        </w:tc>
        <w:tc>
          <w:tcPr>
            <w:tcW w:w="9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9A9A9A"/>
            </w:tcBorders>
          </w:tcPr>
          <w:p>
            <w:pPr>
              <w:spacing w:after="0"/>
              <w:rPr>
                <w:sz w:val="9"/>
                <w:szCs w:val="9"/>
                <w:color w:val="auto"/>
              </w:rPr>
            </w:pPr>
          </w:p>
        </w:tc>
        <w:tc>
          <w:tcPr>
            <w:tcW w:w="6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9A9A9A"/>
            </w:tcBorders>
          </w:tcPr>
          <w:p>
            <w:pPr>
              <w:spacing w:after="0"/>
              <w:rPr>
                <w:sz w:val="9"/>
                <w:szCs w:val="9"/>
                <w:color w:val="auto"/>
              </w:rPr>
            </w:pPr>
          </w:p>
        </w:tc>
        <w:tc>
          <w:tcPr>
            <w:tcW w:w="120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9A9A9A"/>
              <w:bottom w:val="single" w:sz="8" w:color="9A9A9A"/>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7"/>
                <w:szCs w:val="17"/>
                <w:color w:val="0000FF"/>
              </w:rPr>
              <w:t>CFO and Treasurer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40" w:type="dxa"/>
            <w:vAlign w:val="bottom"/>
          </w:tcPr>
          <w:p>
            <w:pPr>
              <w:spacing w:after="0"/>
              <w:rPr>
                <w:sz w:val="9"/>
                <w:szCs w:val="9"/>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12/30/2022</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12/30/2022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9"/>
              </w:rPr>
              <w:t>3,000</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12.03</w:t>
            </w:r>
          </w:p>
        </w:tc>
        <w:tc>
          <w:tcPr>
            <w:tcW w:w="1160" w:type="dxa"/>
            <w:vAlign w:val="bottom"/>
            <w:tcBorders>
              <w:bottom w:val="single" w:sz="8" w:color="2C2C2C"/>
            </w:tcBorders>
            <w:gridSpan w:val="2"/>
          </w:tcPr>
          <w:p>
            <w:pPr>
              <w:jc w:val="center"/>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31,543</w:t>
            </w:r>
            <w:r>
              <w:rPr>
                <w:rFonts w:ascii="Times New Roman" w:cs="Times New Roman" w:eastAsia="Times New Roman" w:hAnsi="Times New Roman"/>
                <w:sz w:val="11"/>
                <w:szCs w:val="11"/>
                <w:color w:val="008000"/>
                <w:w w:val="83"/>
              </w:rPr>
              <w:t>(1)(2)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12/30/2022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9"/>
              </w:rPr>
              <w:t>1,709</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27.93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29,834</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01/03/2023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rPr>
              <w:t>695</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29,139</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31,798</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80" w:type="dxa"/>
            <w:vAlign w:val="bottom"/>
            <w:gridSpan w:val="18"/>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12.03</w:t>
            </w:r>
          </w:p>
        </w:tc>
        <w:tc>
          <w:tcPr>
            <w:tcW w:w="16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12/30/2022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September 12, 2022, SPFI eliminated the SPFI stock fund as an investment alternative available under the City Bank 401(k) Plan (the "401(k) Plan"). As a result, the 226 shares of SPFI common stock the Reporting Person previously reported as beneficially owned under the 401(k) Plan were liquidated.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South Plains Financial, Inc. Employee Stock Ownership Plan ("ESOP") and allocated to the Reporting Person's account.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40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Steven B.  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8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2023-01-04T14:36:00Z</dcterms:created>
  <dcterms:modified xsi:type="dcterms:W3CDTF">2023-01-04T14:36:00Z</dcterms:modified>
</cp:coreProperties>
</file>