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194310</wp:posOffset>
            </wp:positionH>
            <wp:positionV relativeFrom="page">
              <wp:posOffset>143510</wp:posOffset>
            </wp:positionV>
            <wp:extent cx="7160260" cy="27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260" cy="27305"/>
                    </a:xfrm>
                    <a:prstGeom prst="rect">
                      <a:avLst/>
                    </a:prstGeom>
                    <a:noFill/>
                  </pic:spPr>
                </pic:pic>
              </a:graphicData>
            </a:graphic>
          </wp:anchor>
        </w:drawing>
        <w:drawing>
          <wp:anchor simplePos="0" relativeHeight="251657728" behindDoc="1" locked="0" layoutInCell="0" allowOverlap="1">
            <wp:simplePos x="0" y="0"/>
            <wp:positionH relativeFrom="page">
              <wp:posOffset>194310</wp:posOffset>
            </wp:positionH>
            <wp:positionV relativeFrom="page">
              <wp:posOffset>239395</wp:posOffset>
            </wp:positionV>
            <wp:extent cx="716026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6985"/>
                    </a:xfrm>
                    <a:prstGeom prst="rect">
                      <a:avLst/>
                    </a:prstGeom>
                    <a:noFill/>
                  </pic:spPr>
                </pic:pic>
              </a:graphicData>
            </a:graphic>
          </wp:anchor>
        </w:drawing>
        <w:t>UNITED STATES</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FORM 8-K</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CURRENT REPORT</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Pursuant to Section 13 or 15(d) of</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the Securities Exchange Act of 1934</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Date of Report (Date of earliest event reported): July 27, 2021</w:t>
      </w:r>
    </w:p>
    <w:p>
      <w:pPr>
        <w:spacing w:after="0" w:line="163" w:lineRule="exact"/>
        <w:rPr>
          <w:sz w:val="24"/>
          <w:szCs w:val="24"/>
          <w:color w:val="auto"/>
        </w:rPr>
      </w:pPr>
    </w:p>
    <w:p>
      <w:pPr>
        <w:jc w:val="center"/>
        <w:spacing w:after="0"/>
        <w:rPr>
          <w:sz w:val="20"/>
          <w:szCs w:val="20"/>
          <w:color w:val="auto"/>
        </w:rPr>
      </w:pPr>
      <w:r>
        <w:rPr>
          <w:rFonts w:ascii="Arial" w:cs="Arial" w:eastAsia="Arial" w:hAnsi="Arial"/>
          <w:sz w:val="33"/>
          <w:szCs w:val="33"/>
          <w:b w:val="1"/>
          <w:bCs w:val="1"/>
          <w:color w:val="auto"/>
        </w:rPr>
        <w:t>South Plains Financial, Inc.</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280"/>
          </w:cols>
          <w:pgMar w:left="300" w:top="455" w:right="319" w:bottom="1440" w:gutter="0" w:footer="0" w:header="0"/>
        </w:sectPr>
      </w:pPr>
    </w:p>
    <w:p>
      <w:pPr>
        <w:spacing w:after="0" w:line="167" w:lineRule="exact"/>
        <w:rPr>
          <w:sz w:val="24"/>
          <w:szCs w:val="24"/>
          <w:color w:val="auto"/>
        </w:rPr>
      </w:pPr>
    </w:p>
    <w:p>
      <w:pPr>
        <w:jc w:val="center"/>
        <w:ind w:right="420"/>
        <w:spacing w:after="0"/>
        <w:rPr>
          <w:sz w:val="20"/>
          <w:szCs w:val="20"/>
          <w:color w:val="auto"/>
        </w:rPr>
      </w:pPr>
      <w:r>
        <w:rPr>
          <w:rFonts w:ascii="Arial" w:cs="Arial" w:eastAsia="Arial" w:hAnsi="Arial"/>
          <w:sz w:val="14"/>
          <w:szCs w:val="14"/>
          <w:b w:val="1"/>
          <w:bCs w:val="1"/>
          <w:color w:val="auto"/>
        </w:rPr>
        <w:t>Texas</w:t>
      </w:r>
    </w:p>
    <w:p>
      <w:pPr>
        <w:spacing w:after="0" w:line="25" w:lineRule="exact"/>
        <w:rPr>
          <w:sz w:val="24"/>
          <w:szCs w:val="24"/>
          <w:color w:val="auto"/>
        </w:rPr>
      </w:pPr>
    </w:p>
    <w:p>
      <w:pPr>
        <w:jc w:val="center"/>
        <w:ind w:right="420"/>
        <w:spacing w:after="0"/>
        <w:rPr>
          <w:sz w:val="20"/>
          <w:szCs w:val="20"/>
          <w:color w:val="auto"/>
        </w:rPr>
      </w:pPr>
      <w:r>
        <w:rPr>
          <w:rFonts w:ascii="Arial" w:cs="Arial" w:eastAsia="Arial" w:hAnsi="Arial"/>
          <w:sz w:val="13"/>
          <w:szCs w:val="13"/>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jc w:val="center"/>
        <w:ind w:right="1280"/>
        <w:spacing w:after="0"/>
        <w:rPr>
          <w:sz w:val="20"/>
          <w:szCs w:val="20"/>
          <w:color w:val="auto"/>
        </w:rPr>
      </w:pPr>
      <w:r>
        <w:rPr>
          <w:rFonts w:ascii="Arial" w:cs="Arial" w:eastAsia="Arial" w:hAnsi="Arial"/>
          <w:sz w:val="14"/>
          <w:szCs w:val="14"/>
          <w:b w:val="1"/>
          <w:bCs w:val="1"/>
          <w:color w:val="auto"/>
        </w:rPr>
        <w:t>001-38895</w:t>
      </w:r>
    </w:p>
    <w:p>
      <w:pPr>
        <w:spacing w:after="0" w:line="25" w:lineRule="exact"/>
        <w:rPr>
          <w:sz w:val="24"/>
          <w:szCs w:val="24"/>
          <w:color w:val="auto"/>
        </w:rPr>
      </w:pPr>
    </w:p>
    <w:p>
      <w:pPr>
        <w:jc w:val="center"/>
        <w:ind w:right="1280"/>
        <w:spacing w:after="0"/>
        <w:rPr>
          <w:sz w:val="20"/>
          <w:szCs w:val="20"/>
          <w:color w:val="auto"/>
        </w:rPr>
      </w:pPr>
      <w:r>
        <w:rPr>
          <w:rFonts w:ascii="Arial" w:cs="Arial" w:eastAsia="Arial" w:hAnsi="Arial"/>
          <w:sz w:val="13"/>
          <w:szCs w:val="13"/>
          <w:color w:val="auto"/>
        </w:rPr>
        <w:t>(Commission File Number)</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jc w:val="center"/>
        <w:ind w:right="860"/>
        <w:spacing w:after="0"/>
        <w:rPr>
          <w:sz w:val="20"/>
          <w:szCs w:val="20"/>
          <w:color w:val="auto"/>
        </w:rPr>
      </w:pPr>
      <w:r>
        <w:rPr>
          <w:rFonts w:ascii="Arial" w:cs="Arial" w:eastAsia="Arial" w:hAnsi="Arial"/>
          <w:sz w:val="14"/>
          <w:szCs w:val="14"/>
          <w:b w:val="1"/>
          <w:bCs w:val="1"/>
          <w:color w:val="auto"/>
        </w:rPr>
        <w:t>75-2453320</w:t>
      </w:r>
    </w:p>
    <w:p>
      <w:pPr>
        <w:spacing w:after="0" w:line="25" w:lineRule="exact"/>
        <w:rPr>
          <w:sz w:val="24"/>
          <w:szCs w:val="24"/>
          <w:color w:val="auto"/>
        </w:rPr>
      </w:pPr>
    </w:p>
    <w:p>
      <w:pPr>
        <w:jc w:val="center"/>
        <w:ind w:right="860"/>
        <w:spacing w:after="0"/>
        <w:rPr>
          <w:sz w:val="20"/>
          <w:szCs w:val="20"/>
          <w:color w:val="auto"/>
        </w:rPr>
      </w:pPr>
      <w:r>
        <w:rPr>
          <w:rFonts w:ascii="Arial" w:cs="Arial" w:eastAsia="Arial" w:hAnsi="Arial"/>
          <w:sz w:val="13"/>
          <w:szCs w:val="13"/>
          <w:color w:val="auto"/>
        </w:rPr>
        <w:t>(IRS Employer Identification No.)</w:t>
      </w:r>
    </w:p>
    <w:p>
      <w:pPr>
        <w:spacing w:after="0" w:line="181" w:lineRule="exact"/>
        <w:rPr>
          <w:sz w:val="24"/>
          <w:szCs w:val="24"/>
          <w:color w:val="auto"/>
        </w:rPr>
      </w:pPr>
    </w:p>
    <w:p>
      <w:pPr>
        <w:sectPr>
          <w:pgSz w:w="11900" w:h="16838" w:orient="portrait"/>
          <w:cols w:equalWidth="0" w:num="3">
            <w:col w:w="4140" w:space="720"/>
            <w:col w:w="2860" w:space="720"/>
            <w:col w:w="2840"/>
          </w:cols>
          <w:pgMar w:left="300" w:top="455" w:right="319" w:bottom="1440" w:gutter="0" w:footer="0" w:header="0"/>
          <w:type w:val="continuous"/>
        </w:sectPr>
      </w:pPr>
    </w:p>
    <w:p>
      <w:pPr>
        <w:jc w:val="center"/>
        <w:ind w:right="1960"/>
        <w:spacing w:after="0"/>
        <w:rPr>
          <w:sz w:val="20"/>
          <w:szCs w:val="20"/>
          <w:color w:val="auto"/>
        </w:rPr>
      </w:pPr>
      <w:r>
        <w:rPr>
          <w:rFonts w:ascii="Arial" w:cs="Arial" w:eastAsia="Arial" w:hAnsi="Arial"/>
          <w:sz w:val="14"/>
          <w:szCs w:val="14"/>
          <w:b w:val="1"/>
          <w:bCs w:val="1"/>
          <w:color w:val="auto"/>
        </w:rPr>
        <w:t>5219 City Bank Parkway</w:t>
      </w:r>
    </w:p>
    <w:p>
      <w:pPr>
        <w:spacing w:after="0" w:line="25" w:lineRule="exact"/>
        <w:rPr>
          <w:sz w:val="24"/>
          <w:szCs w:val="24"/>
          <w:color w:val="auto"/>
        </w:rPr>
      </w:pPr>
    </w:p>
    <w:p>
      <w:pPr>
        <w:jc w:val="center"/>
        <w:ind w:right="1960"/>
        <w:spacing w:after="0"/>
        <w:rPr>
          <w:sz w:val="20"/>
          <w:szCs w:val="20"/>
          <w:color w:val="auto"/>
        </w:rPr>
      </w:pPr>
      <w:r>
        <w:rPr>
          <w:rFonts w:ascii="Arial" w:cs="Arial" w:eastAsia="Arial" w:hAnsi="Arial"/>
          <w:sz w:val="14"/>
          <w:szCs w:val="14"/>
          <w:b w:val="1"/>
          <w:bCs w:val="1"/>
          <w:color w:val="auto"/>
        </w:rPr>
        <w:t>Lubbock, Texas</w:t>
      </w:r>
    </w:p>
    <w:p>
      <w:pPr>
        <w:spacing w:after="0" w:line="11" w:lineRule="exact"/>
        <w:rPr>
          <w:sz w:val="24"/>
          <w:szCs w:val="24"/>
          <w:color w:val="auto"/>
        </w:rPr>
      </w:pPr>
    </w:p>
    <w:p>
      <w:pPr>
        <w:jc w:val="center"/>
        <w:ind w:right="1960"/>
        <w:spacing w:after="0"/>
        <w:rPr>
          <w:sz w:val="20"/>
          <w:szCs w:val="20"/>
          <w:color w:val="auto"/>
        </w:rPr>
      </w:pPr>
      <w:r>
        <w:rPr>
          <w:rFonts w:ascii="Arial" w:cs="Arial" w:eastAsia="Arial" w:hAnsi="Arial"/>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jc w:val="center"/>
        <w:ind w:right="2440"/>
        <w:spacing w:after="0"/>
        <w:rPr>
          <w:sz w:val="20"/>
          <w:szCs w:val="20"/>
          <w:color w:val="auto"/>
        </w:rPr>
      </w:pPr>
      <w:r>
        <w:rPr>
          <w:rFonts w:ascii="Arial" w:cs="Arial" w:eastAsia="Arial" w:hAnsi="Arial"/>
          <w:sz w:val="14"/>
          <w:szCs w:val="14"/>
          <w:b w:val="1"/>
          <w:bCs w:val="1"/>
          <w:color w:val="auto"/>
        </w:rPr>
        <w:t>79407</w:t>
      </w:r>
    </w:p>
    <w:p>
      <w:pPr>
        <w:spacing w:after="0" w:line="25" w:lineRule="exact"/>
        <w:rPr>
          <w:sz w:val="24"/>
          <w:szCs w:val="24"/>
          <w:color w:val="auto"/>
        </w:rPr>
      </w:pPr>
    </w:p>
    <w:p>
      <w:pPr>
        <w:jc w:val="center"/>
        <w:ind w:right="2440"/>
        <w:spacing w:after="0"/>
        <w:rPr>
          <w:sz w:val="20"/>
          <w:szCs w:val="20"/>
          <w:color w:val="auto"/>
        </w:rPr>
      </w:pPr>
      <w:r>
        <w:rPr>
          <w:rFonts w:ascii="Arial" w:cs="Arial" w:eastAsia="Arial" w:hAnsi="Arial"/>
          <w:sz w:val="13"/>
          <w:szCs w:val="13"/>
          <w:color w:val="auto"/>
        </w:rPr>
        <w:t>(Zip Code)</w:t>
      </w:r>
    </w:p>
    <w:p>
      <w:pPr>
        <w:spacing w:after="0" w:line="181" w:lineRule="exact"/>
        <w:rPr>
          <w:sz w:val="24"/>
          <w:szCs w:val="24"/>
          <w:color w:val="auto"/>
        </w:rPr>
      </w:pPr>
    </w:p>
    <w:p>
      <w:pPr>
        <w:sectPr>
          <w:pgSz w:w="11900" w:h="16838" w:orient="portrait"/>
          <w:cols w:equalWidth="0" w:num="2">
            <w:col w:w="7500" w:space="720"/>
            <w:col w:w="3060"/>
          </w:cols>
          <w:pgMar w:left="300" w:top="455" w:right="319" w:bottom="1440"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(806) 792-7101</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174"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183" w:lineRule="exact"/>
        <w:rPr>
          <w:sz w:val="24"/>
          <w:szCs w:val="24"/>
          <w:color w:val="auto"/>
        </w:rPr>
      </w:pPr>
    </w:p>
    <w:p>
      <w:pPr>
        <w:ind w:left="260" w:hanging="254"/>
        <w:spacing w:after="0"/>
        <w:tabs>
          <w:tab w:leader="none" w:pos="2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183" w:lineRule="exact"/>
        <w:rPr>
          <w:rFonts w:ascii="MS PGothic" w:cs="MS PGothic" w:eastAsia="MS PGothic" w:hAnsi="MS PGothic"/>
          <w:sz w:val="14"/>
          <w:szCs w:val="14"/>
          <w:color w:val="auto"/>
        </w:rPr>
      </w:pPr>
    </w:p>
    <w:p>
      <w:pPr>
        <w:ind w:left="260" w:hanging="254"/>
        <w:spacing w:after="0"/>
        <w:tabs>
          <w:tab w:leader="none" w:pos="2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83" w:lineRule="exact"/>
        <w:rPr>
          <w:rFonts w:ascii="MS PGothic" w:cs="MS PGothic" w:eastAsia="MS PGothic" w:hAnsi="MS PGothic"/>
          <w:sz w:val="14"/>
          <w:szCs w:val="14"/>
          <w:color w:val="auto"/>
        </w:rPr>
      </w:pPr>
    </w:p>
    <w:p>
      <w:pPr>
        <w:ind w:left="260" w:hanging="254"/>
        <w:spacing w:after="0"/>
        <w:tabs>
          <w:tab w:leader="none" w:pos="2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83" w:lineRule="exact"/>
        <w:rPr>
          <w:rFonts w:ascii="MS PGothic" w:cs="MS PGothic" w:eastAsia="MS PGothic" w:hAnsi="MS PGothic"/>
          <w:sz w:val="14"/>
          <w:szCs w:val="14"/>
          <w:color w:val="auto"/>
        </w:rPr>
      </w:pPr>
    </w:p>
    <w:p>
      <w:pPr>
        <w:ind w:right="4600" w:firstLine="6"/>
        <w:spacing w:after="0" w:line="521" w:lineRule="auto"/>
        <w:tabs>
          <w:tab w:leader="none" w:pos="258"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75"/>
        </w:trPr>
        <w:tc>
          <w:tcPr>
            <w:tcW w:w="45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Trading Symbol(s)</w:t>
            </w:r>
          </w:p>
        </w:tc>
        <w:tc>
          <w:tcPr>
            <w:tcW w:w="45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Name of each exchange on which registered</w:t>
            </w:r>
          </w:p>
        </w:tc>
      </w:tr>
      <w:tr>
        <w:trPr>
          <w:trHeight w:val="174"/>
        </w:trPr>
        <w:tc>
          <w:tcPr>
            <w:tcW w:w="45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Common Stock, par value $1.00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SPFI</w:t>
            </w:r>
          </w:p>
        </w:tc>
        <w:tc>
          <w:tcPr>
            <w:tcW w:w="4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The Nasdaq Stock Market LLC</w:t>
            </w:r>
          </w:p>
        </w:tc>
      </w:tr>
    </w:tbl>
    <w:p>
      <w:pPr>
        <w:spacing w:after="0" w:line="161" w:lineRule="exact"/>
        <w:rPr>
          <w:sz w:val="24"/>
          <w:szCs w:val="24"/>
          <w:color w:val="auto"/>
        </w:rPr>
      </w:pPr>
    </w:p>
    <w:p>
      <w:pPr>
        <w:ind w:right="420"/>
        <w:spacing w:after="0" w:line="287"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4" w:lineRule="exact"/>
        <w:rPr>
          <w:sz w:val="24"/>
          <w:szCs w:val="24"/>
          <w:color w:val="auto"/>
        </w:rPr>
      </w:pPr>
    </w:p>
    <w:p>
      <w:pPr>
        <w:ind w:left="956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222" w:lineRule="exact"/>
        <w:rPr>
          <w:sz w:val="24"/>
          <w:szCs w:val="24"/>
          <w:color w:val="auto"/>
        </w:rPr>
      </w:pPr>
    </w:p>
    <w:p>
      <w:pPr>
        <w:ind w:right="60"/>
        <w:spacing w:after="0" w:line="185"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148590</wp:posOffset>
            </wp:positionV>
            <wp:extent cx="716026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69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223520</wp:posOffset>
            </wp:positionV>
            <wp:extent cx="7160260" cy="27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273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339725</wp:posOffset>
            </wp:positionV>
            <wp:extent cx="7160260" cy="13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455" w:right="31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4"/>
          <w:szCs w:val="14"/>
          <w:b w:val="1"/>
          <w:bCs w:val="1"/>
          <w:color w:val="auto"/>
        </w:rPr>
        <w:t>Item 2.02</w:t>
      </w:r>
      <w:r>
        <w:rPr>
          <w:sz w:val="20"/>
          <w:szCs w:val="20"/>
          <w:color w:val="auto"/>
        </w:rPr>
        <w:tab/>
      </w:r>
      <w:r>
        <w:rPr>
          <w:rFonts w:ascii="Arial" w:cs="Arial" w:eastAsia="Arial" w:hAnsi="Arial"/>
          <w:sz w:val="12"/>
          <w:szCs w:val="12"/>
          <w:b w:val="1"/>
          <w:bCs w:val="1"/>
          <w:color w:val="auto"/>
        </w:rPr>
        <w:t>Results of Operations and Financial Condition.</w:t>
      </w:r>
    </w:p>
    <w:p>
      <w:pPr>
        <w:spacing w:after="0" w:line="187" w:lineRule="exact"/>
        <w:rPr>
          <w:sz w:val="20"/>
          <w:szCs w:val="20"/>
          <w:color w:val="auto"/>
        </w:rPr>
      </w:pPr>
    </w:p>
    <w:p>
      <w:pPr>
        <w:jc w:val="both"/>
        <w:ind w:firstLine="517"/>
        <w:spacing w:after="0" w:line="287" w:lineRule="auto"/>
        <w:rPr>
          <w:sz w:val="20"/>
          <w:szCs w:val="20"/>
          <w:color w:val="auto"/>
        </w:rPr>
      </w:pPr>
      <w:r>
        <w:rPr>
          <w:rFonts w:ascii="Arial" w:cs="Arial" w:eastAsia="Arial" w:hAnsi="Arial"/>
          <w:sz w:val="14"/>
          <w:szCs w:val="14"/>
          <w:color w:val="auto"/>
        </w:rPr>
        <w:t>On July 27, 2021, South Plains Financial, Inc. (the “Company”) issued a press release announcing its financial results for the second quarter ended June 30, 2021. A copy of the Company’s press release covering such announcement and certain other matters is furnished as Exhibit 99.1 to this Current Report on Form 8-K.</w:t>
      </w:r>
    </w:p>
    <w:p>
      <w:pPr>
        <w:spacing w:after="0" w:line="127"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b w:val="1"/>
          <w:bCs w:val="1"/>
          <w:color w:val="auto"/>
        </w:rPr>
        <w:t>Item 7.01</w:t>
      </w:r>
      <w:r>
        <w:rPr>
          <w:sz w:val="20"/>
          <w:szCs w:val="20"/>
          <w:color w:val="auto"/>
        </w:rPr>
        <w:tab/>
      </w:r>
      <w:r>
        <w:rPr>
          <w:rFonts w:ascii="Arial" w:cs="Arial" w:eastAsia="Arial" w:hAnsi="Arial"/>
          <w:sz w:val="12"/>
          <w:szCs w:val="12"/>
          <w:b w:val="1"/>
          <w:bCs w:val="1"/>
          <w:color w:val="auto"/>
        </w:rPr>
        <w:t>Regulation FD Disclosure.</w:t>
      </w:r>
    </w:p>
    <w:p>
      <w:pPr>
        <w:spacing w:after="0" w:line="187" w:lineRule="exact"/>
        <w:rPr>
          <w:sz w:val="20"/>
          <w:szCs w:val="20"/>
          <w:color w:val="auto"/>
        </w:rPr>
      </w:pPr>
    </w:p>
    <w:p>
      <w:pPr>
        <w:jc w:val="both"/>
        <w:ind w:firstLine="517"/>
        <w:spacing w:after="0" w:line="272" w:lineRule="auto"/>
        <w:rPr>
          <w:sz w:val="20"/>
          <w:szCs w:val="20"/>
          <w:color w:val="auto"/>
        </w:rPr>
      </w:pPr>
      <w:r>
        <w:rPr>
          <w:rFonts w:ascii="Arial" w:cs="Arial" w:eastAsia="Arial" w:hAnsi="Arial"/>
          <w:sz w:val="14"/>
          <w:szCs w:val="14"/>
          <w:color w:val="auto"/>
        </w:rPr>
        <w:t>On July 27, 2021, officers of the Company will have a conference call with respect to the Company’s financial results for the second quarter ended June 30, 2021. An earnings release slide presentation highlighting the Company’s financial results for the second quarter ended June 30, 2021 is furnished as Exhibit 99.2 to this Current Report on Form 8-K. This earnings release slide presentation will also be available on the Company’s website, www.spfi.bank, under the “News &amp; Events” section.</w:t>
      </w:r>
    </w:p>
    <w:p>
      <w:pPr>
        <w:spacing w:after="0" w:line="141" w:lineRule="exact"/>
        <w:rPr>
          <w:sz w:val="20"/>
          <w:szCs w:val="20"/>
          <w:color w:val="auto"/>
        </w:rPr>
      </w:pPr>
    </w:p>
    <w:p>
      <w:pPr>
        <w:jc w:val="both"/>
        <w:ind w:firstLine="517"/>
        <w:spacing w:after="0" w:line="293" w:lineRule="auto"/>
        <w:rPr>
          <w:sz w:val="20"/>
          <w:szCs w:val="20"/>
          <w:color w:val="auto"/>
        </w:rPr>
      </w:pPr>
      <w:r>
        <w:rPr>
          <w:rFonts w:ascii="Arial" w:cs="Arial" w:eastAsia="Arial" w:hAnsi="Arial"/>
          <w:sz w:val="13"/>
          <w:szCs w:val="13"/>
          <w:color w:val="auto"/>
        </w:rPr>
        <w:t>In accordance with General Instruction B.2 of Form 8-K, the information in Item 2.02 and 7.01 of this Current Report on Form 8-K, including Exhibit 99.1 and Exhibit 99.2 hereto, shall not be deemed “filed” for the purposes of Section 18 of the Securities Exchange Act of 1934, as amended (the “Exchange Act”), or otherwise subject to the liabilities of that section. The information in Item 2.02 and 7.01 of this Current Report on Form 8-K, including Exhibit 99.1 and Exhibit 99.2 hereto, shall not be incorporated by reference into any filing or other document pursuant to the Exchange Act or the Securities Act of 1933, as amended, except as shall be expressly set forth by specific reference in such filing or document.</w:t>
      </w:r>
    </w:p>
    <w:p>
      <w:pPr>
        <w:spacing w:after="0" w:line="127"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b w:val="1"/>
          <w:bCs w:val="1"/>
          <w:color w:val="auto"/>
        </w:rPr>
        <w:t>Item 9.01</w:t>
      </w:r>
      <w:r>
        <w:rPr>
          <w:sz w:val="20"/>
          <w:szCs w:val="20"/>
          <w:color w:val="auto"/>
        </w:rPr>
        <w:tab/>
      </w:r>
      <w:r>
        <w:rPr>
          <w:rFonts w:ascii="Arial" w:cs="Arial" w:eastAsia="Arial" w:hAnsi="Arial"/>
          <w:sz w:val="12"/>
          <w:szCs w:val="12"/>
          <w:b w:val="1"/>
          <w:bCs w:val="1"/>
          <w:color w:val="auto"/>
        </w:rPr>
        <w:t>Financial Statements and Exhibits.</w:t>
      </w:r>
    </w:p>
    <w:p>
      <w:pPr>
        <w:spacing w:after="0" w:line="187" w:lineRule="exact"/>
        <w:rPr>
          <w:sz w:val="20"/>
          <w:szCs w:val="20"/>
          <w:color w:val="auto"/>
        </w:rPr>
      </w:pPr>
    </w:p>
    <w:p>
      <w:pPr>
        <w:ind w:left="1040" w:hanging="517"/>
        <w:spacing w:after="0"/>
        <w:tabs>
          <w:tab w:leader="none" w:pos="1040" w:val="left"/>
        </w:tabs>
        <w:numPr>
          <w:ilvl w:val="0"/>
          <w:numId w:val="2"/>
        </w:numPr>
        <w:rPr>
          <w:rFonts w:ascii="Arial" w:cs="Arial" w:eastAsia="Arial" w:hAnsi="Arial"/>
          <w:sz w:val="14"/>
          <w:szCs w:val="14"/>
          <w:color w:val="auto"/>
        </w:rPr>
      </w:pPr>
      <w:r>
        <w:rPr>
          <w:rFonts w:ascii="Arial" w:cs="Arial" w:eastAsia="Arial" w:hAnsi="Arial"/>
          <w:sz w:val="14"/>
          <w:szCs w:val="14"/>
          <w:color w:val="auto"/>
        </w:rPr>
        <w:t>Exhibits.</w:t>
      </w:r>
    </w:p>
    <w:p>
      <w:pPr>
        <w:spacing w:after="0" w:line="183" w:lineRule="exact"/>
        <w:rPr>
          <w:sz w:val="20"/>
          <w:szCs w:val="20"/>
          <w:color w:val="auto"/>
        </w:rPr>
      </w:pPr>
    </w:p>
    <w:p>
      <w:pPr>
        <w:ind w:left="520"/>
        <w:spacing w:after="0"/>
        <w:tabs>
          <w:tab w:leader="none" w:pos="1020" w:val="left"/>
        </w:tabs>
        <w:rPr>
          <w:rFonts w:ascii="Arial" w:cs="Arial" w:eastAsia="Arial" w:hAnsi="Arial"/>
          <w:sz w:val="14"/>
          <w:szCs w:val="14"/>
          <w:color w:val="0000EE"/>
        </w:rPr>
      </w:pPr>
      <w:hyperlink w:anchor="page4">
        <w:r>
          <w:rPr>
            <w:rFonts w:ascii="Arial" w:cs="Arial" w:eastAsia="Arial" w:hAnsi="Arial"/>
            <w:sz w:val="14"/>
            <w:szCs w:val="14"/>
            <w:u w:val="single" w:color="auto"/>
            <w:color w:val="0000EE"/>
          </w:rPr>
          <w:t>99.1</w:t>
        </w:r>
      </w:hyperlink>
      <w:r>
        <w:rPr>
          <w:rFonts w:ascii="Arial" w:cs="Arial" w:eastAsia="Arial" w:hAnsi="Arial"/>
          <w:sz w:val="14"/>
          <w:szCs w:val="14"/>
          <w:color w:val="0000EE"/>
        </w:rPr>
        <w:tab/>
      </w:r>
      <w:r>
        <w:rPr>
          <w:rFonts w:ascii="Arial" w:cs="Arial" w:eastAsia="Arial" w:hAnsi="Arial"/>
          <w:sz w:val="12"/>
          <w:szCs w:val="12"/>
          <w:color w:val="0000EE"/>
        </w:rPr>
        <w:t>Press release, dated July 27, 2021, announcing second quarter 2021 financial results of South Plains Financial, Inc.</w:t>
      </w:r>
    </w:p>
    <w:p>
      <w:pPr>
        <w:spacing w:after="0" w:line="183" w:lineRule="exact"/>
        <w:rPr>
          <w:sz w:val="20"/>
          <w:szCs w:val="20"/>
          <w:color w:val="auto"/>
        </w:rPr>
      </w:pPr>
    </w:p>
    <w:p>
      <w:pPr>
        <w:ind w:left="520"/>
        <w:spacing w:after="0"/>
        <w:tabs>
          <w:tab w:leader="none" w:pos="1020" w:val="left"/>
        </w:tabs>
        <w:rPr>
          <w:rFonts w:ascii="Arial" w:cs="Arial" w:eastAsia="Arial" w:hAnsi="Arial"/>
          <w:sz w:val="14"/>
          <w:szCs w:val="14"/>
          <w:color w:val="0000EE"/>
        </w:rPr>
      </w:pPr>
      <w:hyperlink w:anchor="page16">
        <w:r>
          <w:rPr>
            <w:rFonts w:ascii="Arial" w:cs="Arial" w:eastAsia="Arial" w:hAnsi="Arial"/>
            <w:sz w:val="14"/>
            <w:szCs w:val="14"/>
            <w:u w:val="single" w:color="auto"/>
            <w:color w:val="0000EE"/>
          </w:rPr>
          <w:t>99.2</w:t>
        </w:r>
      </w:hyperlink>
      <w:r>
        <w:rPr>
          <w:rFonts w:ascii="Arial" w:cs="Arial" w:eastAsia="Arial" w:hAnsi="Arial"/>
          <w:sz w:val="14"/>
          <w:szCs w:val="14"/>
          <w:color w:val="0000EE"/>
        </w:rPr>
        <w:tab/>
      </w:r>
      <w:r>
        <w:rPr>
          <w:rFonts w:ascii="Arial" w:cs="Arial" w:eastAsia="Arial" w:hAnsi="Arial"/>
          <w:sz w:val="12"/>
          <w:szCs w:val="12"/>
          <w:color w:val="0000EE"/>
        </w:rPr>
        <w:t>Earnings release slide presentation, dated July 27, 2021.</w:t>
      </w:r>
    </w:p>
    <w:p>
      <w:pPr>
        <w:spacing w:after="0" w:line="183"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color w:val="auto"/>
        </w:rPr>
        <w:t>104</w:t>
      </w:r>
      <w:r>
        <w:rPr>
          <w:sz w:val="20"/>
          <w:szCs w:val="20"/>
          <w:color w:val="auto"/>
        </w:rPr>
        <w:tab/>
      </w:r>
      <w:r>
        <w:rPr>
          <w:rFonts w:ascii="Arial" w:cs="Arial" w:eastAsia="Arial" w:hAnsi="Arial"/>
          <w:sz w:val="14"/>
          <w:szCs w:val="14"/>
          <w:color w:val="auto"/>
        </w:rPr>
        <w:t>Cover Page Interactive Data File (formatted as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212090</wp:posOffset>
            </wp:positionV>
            <wp:extent cx="7160260" cy="139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 w:name="page3"/>
    <w:bookmarkEnd w:id="2"/>
    <w:p>
      <w:pPr>
        <w:jc w:val="center"/>
        <w:ind w:right="-339"/>
        <w:spacing w:after="0"/>
        <w:rPr>
          <w:sz w:val="20"/>
          <w:szCs w:val="20"/>
          <w:color w:val="auto"/>
        </w:rPr>
      </w:pPr>
      <w:r>
        <w:rPr>
          <w:rFonts w:ascii="Arial" w:cs="Arial" w:eastAsia="Arial" w:hAnsi="Arial"/>
          <w:sz w:val="14"/>
          <w:szCs w:val="14"/>
          <w:b w:val="1"/>
          <w:bCs w:val="1"/>
          <w:color w:val="auto"/>
        </w:rPr>
        <w:t>SIGNATURES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5660"/>
        <w:spacing w:after="0"/>
        <w:rPr>
          <w:sz w:val="20"/>
          <w:szCs w:val="20"/>
          <w:color w:val="auto"/>
        </w:rPr>
      </w:pPr>
      <w:r>
        <w:rPr>
          <w:rFonts w:ascii="Arial" w:cs="Arial" w:eastAsia="Arial" w:hAnsi="Arial"/>
          <w:sz w:val="14"/>
          <w:szCs w:val="14"/>
          <w:b w:val="1"/>
          <w:bCs w:val="1"/>
          <w:color w:val="auto"/>
        </w:rPr>
        <w:t>SOUTH PLAINS FINANCIAL, INC.</w:t>
      </w:r>
    </w:p>
    <w:p>
      <w:pPr>
        <w:spacing w:after="0" w:line="209" w:lineRule="exact"/>
        <w:rPr>
          <w:sz w:val="20"/>
          <w:szCs w:val="20"/>
          <w:color w:val="auto"/>
        </w:rPr>
      </w:pPr>
    </w:p>
    <w:p>
      <w:pPr>
        <w:spacing w:after="0"/>
        <w:tabs>
          <w:tab w:leader="none" w:pos="5640" w:val="left"/>
        </w:tabs>
        <w:rPr>
          <w:sz w:val="20"/>
          <w:szCs w:val="20"/>
          <w:color w:val="auto"/>
        </w:rPr>
      </w:pPr>
      <w:r>
        <w:rPr>
          <w:rFonts w:ascii="Arial" w:cs="Arial" w:eastAsia="Arial" w:hAnsi="Arial"/>
          <w:sz w:val="14"/>
          <w:szCs w:val="14"/>
          <w:color w:val="auto"/>
        </w:rPr>
        <w:t>Dated: July 27, 2021</w:t>
      </w:r>
      <w:r>
        <w:rPr>
          <w:sz w:val="20"/>
          <w:szCs w:val="20"/>
          <w:color w:val="auto"/>
        </w:rPr>
        <w:tab/>
      </w:r>
      <w:r>
        <w:rPr>
          <w:rFonts w:ascii="Arial" w:cs="Arial" w:eastAsia="Arial" w:hAnsi="Arial"/>
          <w:sz w:val="13"/>
          <w:szCs w:val="13"/>
          <w:color w:val="auto"/>
        </w:rPr>
        <w:t>By:  /s/ Steven B.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3789045</wp:posOffset>
            </wp:positionH>
            <wp:positionV relativeFrom="paragraph">
              <wp:posOffset>13970</wp:posOffset>
            </wp:positionV>
            <wp:extent cx="3375025" cy="139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75025" cy="13970"/>
                    </a:xfrm>
                    <a:prstGeom prst="rect">
                      <a:avLst/>
                    </a:prstGeom>
                    <a:noFill/>
                  </pic:spPr>
                </pic:pic>
              </a:graphicData>
            </a:graphic>
          </wp:anchor>
        </w:drawing>
      </w:r>
    </w:p>
    <w:p>
      <w:pPr>
        <w:spacing w:after="0" w:line="13" w:lineRule="exact"/>
        <w:rPr>
          <w:sz w:val="20"/>
          <w:szCs w:val="20"/>
          <w:color w:val="auto"/>
        </w:rPr>
      </w:pPr>
    </w:p>
    <w:p>
      <w:pPr>
        <w:ind w:left="6240"/>
        <w:spacing w:after="0"/>
        <w:rPr>
          <w:sz w:val="20"/>
          <w:szCs w:val="20"/>
          <w:color w:val="auto"/>
        </w:rPr>
      </w:pPr>
      <w:r>
        <w:rPr>
          <w:rFonts w:ascii="Arial" w:cs="Arial" w:eastAsia="Arial" w:hAnsi="Arial"/>
          <w:sz w:val="14"/>
          <w:szCs w:val="14"/>
          <w:color w:val="auto"/>
        </w:rPr>
        <w:t>Steven B. Crockett</w:t>
      </w:r>
    </w:p>
    <w:p>
      <w:pPr>
        <w:spacing w:after="0" w:line="21" w:lineRule="exact"/>
        <w:rPr>
          <w:sz w:val="20"/>
          <w:szCs w:val="20"/>
          <w:color w:val="auto"/>
        </w:rPr>
      </w:pPr>
    </w:p>
    <w:p>
      <w:pPr>
        <w:ind w:left="6240"/>
        <w:spacing w:after="0"/>
        <w:rPr>
          <w:sz w:val="20"/>
          <w:szCs w:val="20"/>
          <w:color w:val="auto"/>
        </w:rPr>
      </w:pPr>
      <w:r>
        <w:rPr>
          <w:rFonts w:ascii="Arial" w:cs="Arial" w:eastAsia="Arial" w:hAnsi="Arial"/>
          <w:sz w:val="14"/>
          <w:szCs w:val="14"/>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274320</wp:posOffset>
            </wp:positionV>
            <wp:extent cx="7160260" cy="139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0960"/>
          </w:cols>
          <w:pgMar w:left="300" w:top="125" w:right="639" w:bottom="1440" w:gutter="0" w:footer="0" w:header="0"/>
        </w:sectPr>
      </w:pPr>
    </w:p>
    <w:bookmarkStart w:id="3" w:name="page4"/>
    <w:bookmarkEnd w:id="3"/>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27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2730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139700</wp:posOffset>
            </wp:positionV>
            <wp:extent cx="2705735" cy="4032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05735"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South Plains Financial, Inc. Reports Second Quarter 2021 Financial Results</w:t>
      </w:r>
    </w:p>
    <w:p>
      <w:pPr>
        <w:spacing w:after="0" w:line="209" w:lineRule="exact"/>
        <w:rPr>
          <w:sz w:val="20"/>
          <w:szCs w:val="20"/>
          <w:color w:val="auto"/>
        </w:rPr>
      </w:pPr>
    </w:p>
    <w:p>
      <w:pPr>
        <w:spacing w:after="0" w:line="287" w:lineRule="auto"/>
        <w:rPr>
          <w:sz w:val="20"/>
          <w:szCs w:val="20"/>
          <w:color w:val="auto"/>
        </w:rPr>
      </w:pPr>
      <w:r>
        <w:rPr>
          <w:rFonts w:ascii="Arial" w:cs="Arial" w:eastAsia="Arial" w:hAnsi="Arial"/>
          <w:sz w:val="14"/>
          <w:szCs w:val="14"/>
          <w:color w:val="auto"/>
        </w:rPr>
        <w:t>LUBBOCK, Texas, July 27, 2021 (GLOBE NEWSWIRE) – South Plains Financial, Inc. (NASDAQ:SPFI) (“South Plains” or the “Company”), the parent company of City Bank (“City Bank” or the “Bank”), today reported its financial results for the quarter ended June 30, 2021.</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Second Quarter 2021 Highlights</w:t>
      </w:r>
    </w:p>
    <w:p>
      <w:pPr>
        <w:spacing w:after="0" w:line="209" w:lineRule="exact"/>
        <w:rPr>
          <w:sz w:val="20"/>
          <w:szCs w:val="20"/>
          <w:color w:val="auto"/>
        </w:rPr>
      </w:pPr>
    </w:p>
    <w:p>
      <w:pPr>
        <w:ind w:left="520" w:hanging="256"/>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Net income for the second quarter of 2021 was $13.7 million, compared to $15.2 million for the first quarter of 2021 and $5.6 million for the second quarter of 2020.</w:t>
      </w:r>
    </w:p>
    <w:p>
      <w:pPr>
        <w:spacing w:after="0" w:line="20" w:lineRule="exact"/>
        <w:rPr>
          <w:rFonts w:ascii="Arial" w:cs="Arial" w:eastAsia="Arial" w:hAnsi="Arial"/>
          <w:sz w:val="14"/>
          <w:szCs w:val="14"/>
          <w:color w:val="auto"/>
        </w:rPr>
      </w:pPr>
    </w:p>
    <w:p>
      <w:pPr>
        <w:ind w:left="520" w:hanging="256"/>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Diluted earnings per share for the second quarter of 2021 was $0.74, compared to $0.82 for the first quarter of 2021 and $0.31 for the second quarter of 2020.</w:t>
      </w:r>
    </w:p>
    <w:p>
      <w:pPr>
        <w:spacing w:after="0" w:line="11" w:lineRule="exact"/>
        <w:rPr>
          <w:rFonts w:ascii="Arial" w:cs="Arial" w:eastAsia="Arial" w:hAnsi="Arial"/>
          <w:sz w:val="14"/>
          <w:szCs w:val="14"/>
          <w:color w:val="auto"/>
        </w:rPr>
      </w:pPr>
    </w:p>
    <w:p>
      <w:pPr>
        <w:ind w:left="520" w:hanging="256"/>
        <w:spacing w:after="0" w:line="256" w:lineRule="auto"/>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Pre-tax, pre-provision income (non-GAAP) for the second quarter of 2021 was $15.1 million, compared to $19.0 million for the first quarter of 2021 and $20.1 million for the second quarter of 2020.</w:t>
      </w:r>
    </w:p>
    <w:p>
      <w:pPr>
        <w:ind w:left="520" w:hanging="256"/>
        <w:spacing w:after="0" w:line="256" w:lineRule="auto"/>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Average cost of deposits for the second quarter of 2021 decreased to 27 basis points, compared to 29 basis points for the first quarter of 2021 and 39 basis points for the second quarter of 2020.</w:t>
      </w:r>
    </w:p>
    <w:p>
      <w:pPr>
        <w:ind w:left="520" w:hanging="256"/>
        <w:spacing w:after="0" w:line="256" w:lineRule="auto"/>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Company had a negative provision for loan losses in the second quarter of 2021 of $2.0 million, compared to provisions for loan losses of $89,000 for the first quarter of 2021 and $13.1 million for the second quarter of 2020.</w:t>
      </w:r>
    </w:p>
    <w:p>
      <w:pPr>
        <w:ind w:left="520" w:hanging="256"/>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Nonperforming assets to total assets were 0.37% at June 30, 2021, compared to 0.42% at March 31, 2021 and 0.33% at June 30, 2020.</w:t>
      </w:r>
    </w:p>
    <w:p>
      <w:pPr>
        <w:spacing w:after="0" w:line="11" w:lineRule="exact"/>
        <w:rPr>
          <w:rFonts w:ascii="Arial" w:cs="Arial" w:eastAsia="Arial" w:hAnsi="Arial"/>
          <w:sz w:val="14"/>
          <w:szCs w:val="14"/>
          <w:color w:val="auto"/>
        </w:rPr>
      </w:pPr>
    </w:p>
    <w:p>
      <w:pPr>
        <w:ind w:left="520" w:hanging="256"/>
        <w:spacing w:after="0" w:line="256" w:lineRule="auto"/>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Return on average assets for the second quarter of 2021 was 1.46% annualized, compared to 1.66% annualized for the first quarter of 2021 and 0.64% annualized for the second quarter of 2020.</w:t>
      </w:r>
    </w:p>
    <w:p>
      <w:pPr>
        <w:ind w:left="520" w:hanging="256"/>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Tangible book value (non-GAAP) per share was $20.43 as of June 30, 2021, compared to $19.28 per share as of March 31, 2021 and $17.06 per share as of June 30, 2020.</w:t>
      </w:r>
    </w:p>
    <w:p>
      <w:pPr>
        <w:spacing w:after="0" w:line="195"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Curtis Griffith, South Plains’ Chairman and Chief Executive Officer, commented, “Economic activity continued to accelerate across Texas through the second quarter of 2021 as can be seen in our improved loan growth of 2.7% as compared to the first quarter of 2021 as well as our loan pipeline which ended the second quarter at a three year high. While demand is improving, we also see an opportunity to expand our loan portfolio and have implemented an initiative to grow our banking team by more than 30% over the next two years with a focus on our major metropolitan markets of Dallas and Houston. We believe we have significant earnings power sitting on our balance sheet given our low cost of funds combined with our excess liquidity as our loan to deposit ratio was 73% at June 30, 2021. As we execute on our plan and redeploy our excess liquidity into attractive, higher yielding loans, we believe our margins will begin to expand and our earnings growth will accelerate. That said, we will not sacrifice credit quality for growth and will maintain our conservative credit culture as we expand our loan portfolio. I am also pleased that the credit quality of our loan portfolio continued to improve through the second quarter of 2021, allowing us to begin to release reserve for loan losses. Given our strong fundamentals, improving loan growth outlook, and strong credit quality of our loan portfolio, we continued repurchasing shares of our common stock in the second quarter of 2021 given the attractive value that we see.”</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 Quarter Ended June 30, 2021</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Interest Income</w:t>
      </w:r>
    </w:p>
    <w:p>
      <w:pPr>
        <w:spacing w:after="0" w:line="20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Net interest income was $29.6 million for the second quarter of 2021, compared to $29.5 million for the first quarter of 2021 and $30.4 million for the second quarter of 2020. Net interest margin was 3.42% for the second quarter of 2021, compared to 3.52% for the first quarter of 2021 and 3.79% for the second quarter of 2020. The average yield on loans was 4.97% for the second quarter of 2021, compared to 5.07% for the first quarter of 2021 and 5.06% for the second quarter of 2020. The average cost of deposits was 27 basis points for the second quarter of 2021, representing a two basis point decrease from the first quarter of 2021 and a 12 basis point decrease from the second quarter of 2020.</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Interest income was $33.0 million for the second quarter of 2021, compared to $33.0 million for the first quarter of 2021 and $34.0 million for the second quarter of 2020. Although interest income was flat in the second quarter of 2021 compared to the first quarter of 2021, there was a change in the mix of loan interest income. In the second quarter of 2021, interest and fees on Small Business Administration (“SBA”) Paycheck Protection Program (“PPP”) loans declined $721 thousand compared to the first quarter of 2021, as the average balance of PPP loans decreased $22.5 million during the second quarter of 2021, offset by an increase in interest income on non-PPP loans of $801 thousand, due to growth of $48.7 million in average non-PPP loans during the second quarter of 2021. Interest income decreased by $1.0 million in the second quarter of 2021 compared to the second quarter of 2020 primarily due to lower interest rates on loans, securities, and other interest-earning assets, partially offset by growth in average securities and other interest-earning assets. During the second quarter of 2021, the Company recognized $1.9 million in PPP-related fees. At June 30, 2021, the Company had $4.6 million of deferred PPP fees that have not been accreted to income, the majority of which are expected to be recognized as PPP loans continue to be forgiven by the SBA over the next several 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203835</wp:posOffset>
            </wp:positionV>
            <wp:extent cx="7160260" cy="139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254" w:right="319" w:bottom="1440" w:gutter="0" w:footer="0" w:header="0"/>
        </w:sectPr>
      </w:pPr>
    </w:p>
    <w:bookmarkStart w:id="4" w:name="page5"/>
    <w:bookmarkEnd w:id="4"/>
    <w:p>
      <w:pPr>
        <w:jc w:val="both"/>
        <w:spacing w:after="0" w:line="266" w:lineRule="auto"/>
        <w:rPr>
          <w:sz w:val="20"/>
          <w:szCs w:val="20"/>
          <w:color w:val="auto"/>
        </w:rPr>
      </w:pPr>
      <w:r>
        <w:rPr>
          <w:rFonts w:ascii="Arial" w:cs="Arial" w:eastAsia="Arial" w:hAnsi="Arial"/>
          <w:sz w:val="14"/>
          <w:szCs w:val="14"/>
          <w:color w:val="auto"/>
        </w:rPr>
        <w:t>Interest expense was $3.4 million for the second quarter of 2021, compared to $3.4 million for the first quarter of 2021 and $3.6 million for the second quarter of 2020. Interest expense and the cost of interest-bearing liabilities were both consistent as compared to the first quarter of 2021. The decrease from the second quarter of 2020 was primarily due to lower interest rates paid on interest-bearing liabilities, partially offset by growth in average interest-bearing liabilities. The increase of $105.2 million in average interest-bearing liabilities was largely due to growth in deposits.</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Noninterest Income and Noninterest Expense</w:t>
      </w:r>
    </w:p>
    <w:p>
      <w:pPr>
        <w:spacing w:after="0" w:line="209" w:lineRule="exact"/>
        <w:rPr>
          <w:sz w:val="20"/>
          <w:szCs w:val="20"/>
          <w:color w:val="auto"/>
        </w:rPr>
      </w:pPr>
    </w:p>
    <w:p>
      <w:pPr>
        <w:jc w:val="both"/>
        <w:spacing w:after="0" w:line="289" w:lineRule="auto"/>
        <w:rPr>
          <w:sz w:val="20"/>
          <w:szCs w:val="20"/>
          <w:color w:val="auto"/>
        </w:rPr>
      </w:pPr>
      <w:r>
        <w:rPr>
          <w:rFonts w:ascii="Arial" w:cs="Arial" w:eastAsia="Arial" w:hAnsi="Arial"/>
          <w:sz w:val="13"/>
          <w:szCs w:val="13"/>
          <w:color w:val="auto"/>
        </w:rPr>
        <w:t>Noninterest income was $22.3 million for the second quarter of 2021, compared to $26.5 million for the first quarter of 2021 and $24.9 million for the second quarter of 2020. The decrease from the first quarter of 2021 was primarily due to a decline of $5.1 million in mortgage banking activities revenue. This is reflective of a decrease of $56.9 million in mortgage loan originations and a decrease of $1.6 million in the fair value adjustment to the Company’s mortgage servicing rights. The decrease in noninterest income for the second quarter of 2021 as compared to the second quarter of 2020 was primarily due to a decline of $4.2 million in mortgage banking activities revenue as a result of $61 million less in interest rate lock commitments and a decline in gain on sale margins. This decrease was partially offset by growth in bank card services and interchange revenue and other noninterest income items.</w:t>
      </w:r>
    </w:p>
    <w:p>
      <w:pPr>
        <w:spacing w:after="0" w:line="154" w:lineRule="exact"/>
        <w:rPr>
          <w:sz w:val="20"/>
          <w:szCs w:val="20"/>
          <w:color w:val="auto"/>
        </w:rPr>
      </w:pPr>
    </w:p>
    <w:p>
      <w:pPr>
        <w:jc w:val="both"/>
        <w:spacing w:after="0" w:line="289" w:lineRule="auto"/>
        <w:rPr>
          <w:sz w:val="20"/>
          <w:szCs w:val="20"/>
          <w:color w:val="auto"/>
        </w:rPr>
      </w:pPr>
      <w:r>
        <w:rPr>
          <w:rFonts w:ascii="Arial" w:cs="Arial" w:eastAsia="Arial" w:hAnsi="Arial"/>
          <w:sz w:val="13"/>
          <w:szCs w:val="13"/>
          <w:color w:val="auto"/>
        </w:rPr>
        <w:t>Noninterest expense was $36.8 million for the second quarter of 2021, compared to $37.1 million for the first quarter of 2021 and $35.2 million for the second quarter of 2020. The decrease from the first quarter of 2021 was primarily the result of a decrease of $940 thousand in personnel expense related to a decline in mortgage production and lower health insurance costs, after having been elevated in the first quarter of 2021. This decrease was partially offset by increases in marketing and business development expenses, bank card expenses, and other noninterest expenses. The increase in noninterest expense for the second quarter of 2021 as compared to the second quarter of 2020 was primarily driven by a $1.8 million increase in personnel expense. This increase was predominantly related to $1.4 million in higher commissions paid on mortgage loan originations and a rise in salary and other personnel expenses to support mortgage activities.</w:t>
      </w:r>
    </w:p>
    <w:p>
      <w:pPr>
        <w:spacing w:after="0" w:line="154"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As part of the Bank’s information technology roadmap, management is implementing a process to begin transitioning the Company’s computing and data storage to the cloud. This is expected to deliver increased security, more seamless maintenance, and lower costs. The Bank is also refocusing its advertising to digital media to improve new customer lead generation. The Bank’s technology initiatives are expected to modestly add to noninterest expense starting in the second half of 2021.</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Loan Portfolio and Composition</w:t>
      </w:r>
    </w:p>
    <w:p>
      <w:pPr>
        <w:spacing w:after="0" w:line="209"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Loans held for investment were $2.30 billion as of June 30, 2021, compared to $2.24 billion as of March 31, 2021 and $2.33 billion as of June 30, 2020. The $60.8 million, or 2.7%, increase during the second quarter of 2021 as compared to the first quarter of 2021 was primarily the result of organic net loan growth of $120.1 million, partially offset by a net decrease of $59.3 million in</w:t>
      </w:r>
    </w:p>
    <w:p>
      <w:pPr>
        <w:jc w:val="both"/>
        <w:ind w:firstLine="6"/>
        <w:spacing w:after="0" w:line="288" w:lineRule="auto"/>
        <w:tabs>
          <w:tab w:leader="none" w:pos="275" w:val="left"/>
        </w:tabs>
        <w:numPr>
          <w:ilvl w:val="0"/>
          <w:numId w:val="4"/>
        </w:numPr>
        <w:rPr>
          <w:rFonts w:ascii="Arial" w:cs="Arial" w:eastAsia="Arial" w:hAnsi="Arial"/>
          <w:sz w:val="13"/>
          <w:szCs w:val="13"/>
          <w:color w:val="auto"/>
        </w:rPr>
      </w:pPr>
      <w:r>
        <w:rPr>
          <w:rFonts w:ascii="Arial" w:cs="Arial" w:eastAsia="Arial" w:hAnsi="Arial"/>
          <w:sz w:val="13"/>
          <w:szCs w:val="13"/>
          <w:color w:val="auto"/>
        </w:rPr>
        <w:t>loans as the Company funded $13.9 million in new PPP loans and received repayments of $73.1 million on PPP loans, during the second quarter of 2021. The organic loan growth occurred in a majority of loan segments, with the largest volume growth in residential construction, multifamily properties, and agricultural production loans. As of June 30, 2021, loans held for investment decreased $28.3 million from June 30, 2020, largely attributable to net payments on PPP loans of $99.7 million as of June 30, 2021, partially offset by organic loan growth experienced in the first and second quarters of 2021 after slower loan demand and accelerated repayments by customers on non-PPP loans noted in 2020.</w:t>
      </w:r>
    </w:p>
    <w:p>
      <w:pPr>
        <w:spacing w:after="0" w:line="155" w:lineRule="exact"/>
        <w:rPr>
          <w:sz w:val="20"/>
          <w:szCs w:val="20"/>
          <w:color w:val="auto"/>
        </w:rPr>
      </w:pPr>
    </w:p>
    <w:p>
      <w:pPr>
        <w:jc w:val="both"/>
        <w:spacing w:after="0" w:line="328" w:lineRule="auto"/>
        <w:rPr>
          <w:sz w:val="20"/>
          <w:szCs w:val="20"/>
          <w:color w:val="auto"/>
        </w:rPr>
      </w:pPr>
      <w:r>
        <w:rPr>
          <w:rFonts w:ascii="Arial" w:cs="Arial" w:eastAsia="Arial" w:hAnsi="Arial"/>
          <w:sz w:val="13"/>
          <w:szCs w:val="13"/>
          <w:color w:val="auto"/>
        </w:rPr>
        <w:t>Agricultural production loans were $96.2 million as of June 30, 2021, compared to $80.5 million as of March 31, 2021 and $131.5 million as of June 30, 2020. The increase from the first quarter of 2021 is due to typical seasonal funding on these agricultural production loans. The decrease from the second quarter of 2020 is primarily due to the loss of several large customers.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Deposits and Borrowings</w:t>
      </w:r>
    </w:p>
    <w:p>
      <w:pPr>
        <w:spacing w:after="0" w:line="209"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Deposits totaled $3.16 billion as of June 30, 2021, compared to $3.16 billion as of March 31, 2021 and $2.95 billion as of June 30, 2020. Deposits slightly increased by $2.9 million, or 0.1%, in the second quarter of 2021 from March 31, 2021. As of June 30, 2021, deposits increased $277.5 million, or 10.3%, from June 30, 2020. The increase in deposits since June 30, 2020 is primarily a result of organic growth as well as existing customers depositing funds received from PPP loan advances, stimulus checks, and generally maintaining higher liquidity in response to the ongoing COVID-19 pandemic. This growth was partially offset by a decrease of $15.9 million in downstream correspondent bank deposits during the second quarter of 2021. This decrease is a result of City Bank no longer offering cash letter and courier services to these banks.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203200</wp:posOffset>
            </wp:positionV>
            <wp:extent cx="7160260" cy="139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 w:name="page6"/>
    <w:bookmarkEnd w:id="5"/>
    <w:p>
      <w:pPr>
        <w:jc w:val="both"/>
        <w:spacing w:after="0" w:line="266" w:lineRule="auto"/>
        <w:rPr>
          <w:sz w:val="20"/>
          <w:szCs w:val="20"/>
          <w:color w:val="auto"/>
        </w:rPr>
      </w:pPr>
      <w:r>
        <w:rPr>
          <w:rFonts w:ascii="Arial" w:cs="Arial" w:eastAsia="Arial" w:hAnsi="Arial"/>
          <w:sz w:val="14"/>
          <w:szCs w:val="14"/>
          <w:color w:val="auto"/>
        </w:rPr>
        <w:t>Noninterest-bearing deposits were $998.9 million as of June 30, 2021, compared to $962.2 million as of March 31, 2021 and $940.9 million as of June 30, 2020. Noninterest-bearing deposits represented 31.6% of total deposits as of June 30, 2021. The change in noninterest-bearing deposit balances at June 30, 2021 compared to March 31, 2021 was an increase of $36.7 million, or 3.8%. The change in noninterest-bearing deposit balances at June 30, 2021 compared to June 30, 2020 was an increase of $58.1 million, or 6.2%. The changes from both compared periods is primarily a result of organic growth as well as existing customers increasing their balances.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City Bank prepaid $50.0 million and $25.0 million of advances from the Federal Home Loan Bank of Dallas in March 2021 and April 2021, respectively, with no related prepayment fee.</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Additionally, fed funds purchased from downstream correspondent banks decreased $13.6 million during the second quarter of 2021.</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Asset Quality</w:t>
      </w:r>
    </w:p>
    <w:p>
      <w:pPr>
        <w:spacing w:after="0" w:line="209"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As part of the Bank’s efforts to support its customers and protect the Bank as a result of the COVID-19 pandemic, the Bank has provided borrowers impacted by the COVID-19 pandemic with relief by offering varying forms of loan modifications including 90-day payment deferrals, 6-month interest only terms, or in certain select cases periods of longer than 6 months of interest only. As of June 30, 2021, total active loan modifications attributed to COVID-19 were $36.6 million, or 1.6% of the Company’s loan portfolio, down from $46.9 million, or 2.1% of the Company’s loan portfolio, at March 31, 2021. Approximately 96% of these active modified loans at June 30, 2021 are in the hotel portfolio. We expect that these remaining loans on deferral will return to full payment status at the end of their respective deferral period.</w:t>
      </w:r>
    </w:p>
    <w:p>
      <w:pPr>
        <w:spacing w:after="0" w:line="169" w:lineRule="exact"/>
        <w:rPr>
          <w:sz w:val="20"/>
          <w:szCs w:val="20"/>
          <w:color w:val="auto"/>
        </w:rPr>
      </w:pPr>
    </w:p>
    <w:p>
      <w:pPr>
        <w:jc w:val="both"/>
        <w:spacing w:after="0" w:line="293" w:lineRule="auto"/>
        <w:rPr>
          <w:sz w:val="20"/>
          <w:szCs w:val="20"/>
          <w:color w:val="auto"/>
        </w:rPr>
      </w:pPr>
      <w:r>
        <w:rPr>
          <w:rFonts w:ascii="Arial" w:cs="Arial" w:eastAsia="Arial" w:hAnsi="Arial"/>
          <w:sz w:val="13"/>
          <w:szCs w:val="13"/>
          <w:color w:val="auto"/>
        </w:rPr>
        <w:t>The Company recorded a negative provision for loan losses in the second quarter of 2021 of $2.0 million compared to provisions for loan losses of $89 thousand for the first quarter of 2021 and $13.1 million for the second quarter of 2020. The reversal of provision in the second quarter of 2021 is primarily due to the general improvement in the economy, a decline in the amount of loans that are actively under a modification, and a decrease in nonperforming loans. There is continued uncertainty from the ongoing COVID-19 pandemic and the full extent of the impact on the economy and the Bank’s customers remains unknown at this time. Accordingly, additional provisions for loan losses may be necessary in future periods.</w:t>
      </w:r>
    </w:p>
    <w:p>
      <w:pPr>
        <w:spacing w:after="0" w:line="152" w:lineRule="exact"/>
        <w:rPr>
          <w:sz w:val="20"/>
          <w:szCs w:val="20"/>
          <w:color w:val="auto"/>
        </w:rPr>
      </w:pPr>
    </w:p>
    <w:p>
      <w:pPr>
        <w:jc w:val="both"/>
        <w:spacing w:after="0" w:line="287" w:lineRule="auto"/>
        <w:rPr>
          <w:sz w:val="20"/>
          <w:szCs w:val="20"/>
          <w:color w:val="auto"/>
        </w:rPr>
      </w:pPr>
      <w:r>
        <w:rPr>
          <w:rFonts w:ascii="Arial" w:cs="Arial" w:eastAsia="Arial" w:hAnsi="Arial"/>
          <w:sz w:val="14"/>
          <w:szCs w:val="14"/>
          <w:color w:val="auto"/>
        </w:rPr>
        <w:t>The allowance for loan losses to loans held for investment was 1.87% as of June 30, 2021, compared to 2.01% as of March 31, 2021 and 1.74% as of June 30, 2020. The allowance for loan losses to non-PPP loans held for investment was 1.96% as of June 30, 2021.</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4"/>
          <w:szCs w:val="14"/>
          <w:color w:val="auto"/>
        </w:rPr>
        <w:t>The nonperforming assets to total assets ratio as of June 30, 2021 was 0.37%, compared to 0.42% as of March 31, 2021 and 0.33% at June 30, 2020. Annualized net charge-offs were 0.01% for the second quarter of 2021, compared to 0.11% for the first quarter of 2021 and 0.27% for the second quarter of 2020.</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Conference Call</w:t>
      </w:r>
    </w:p>
    <w:p>
      <w:pPr>
        <w:spacing w:after="0" w:line="209"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 xml:space="preserve">South Plains will host a conference call to discuss its second quarter 2021 financial results today, July 27, 2021 at 5:00 p.m., Eastern Time. Investors and analysts interested in participating in the call are invited to dial 1-877-407-9716 (international callers please dial 1-201-493-6779) approximately 10 minutes prior to the start of the call. A live audio webcast of the conference call and conference materials will be available on the Company’s website at </w:t>
      </w:r>
      <w:r>
        <w:rPr>
          <w:rFonts w:ascii="Arial" w:cs="Arial" w:eastAsia="Arial" w:hAnsi="Arial"/>
          <w:sz w:val="14"/>
          <w:szCs w:val="14"/>
          <w:u w:val="single" w:color="auto"/>
          <w:color w:val="auto"/>
        </w:rPr>
        <w:t>https://www.spfi.bank/news-events/events</w:t>
      </w:r>
      <w:r>
        <w:rPr>
          <w:rFonts w:ascii="Arial" w:cs="Arial" w:eastAsia="Arial" w:hAnsi="Arial"/>
          <w:sz w:val="14"/>
          <w:szCs w:val="14"/>
          <w:color w:val="auto"/>
        </w:rPr>
        <w:t>.</w:t>
      </w:r>
    </w:p>
    <w:p>
      <w:pPr>
        <w:spacing w:after="0" w:line="163" w:lineRule="exact"/>
        <w:rPr>
          <w:sz w:val="20"/>
          <w:szCs w:val="20"/>
          <w:color w:val="auto"/>
        </w:rPr>
      </w:pPr>
    </w:p>
    <w:p>
      <w:pPr>
        <w:jc w:val="both"/>
        <w:spacing w:after="0" w:line="287" w:lineRule="auto"/>
        <w:rPr>
          <w:sz w:val="20"/>
          <w:szCs w:val="20"/>
          <w:color w:val="auto"/>
        </w:rPr>
      </w:pPr>
      <w:r>
        <w:rPr>
          <w:rFonts w:ascii="Arial" w:cs="Arial" w:eastAsia="Arial" w:hAnsi="Arial"/>
          <w:sz w:val="14"/>
          <w:szCs w:val="14"/>
          <w:color w:val="auto"/>
        </w:rPr>
        <w:t>A replay of the conference call will be available within two hours of the conclusion of the call and can be accessed on the investor section of the Company’s website as well as by dialing 1-844-512-2921 (international callers please dial 1-412-317-6671). The pin to access the telephone replay is 13720800. The replay will be available until August 10, 2021.</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South Plains Financial, Inc.</w:t>
      </w:r>
    </w:p>
    <w:p>
      <w:pPr>
        <w:spacing w:after="0" w:line="20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 xml:space="preserve">South Plains is the bank holding company for City Bank, a Texas state-chartered bank headquartered in Lubbock, Texas. City Bank is one of the largest independent banks in West Texas and has additional banking operations in the Dallas, El Paso, Greater Houston, the Permian Basin, and College Station, Texas markets, and the Ruidoso, New Mexico market. South Plains provides a wide range of commercial and consumer financial services to small and medium-sized businesses and individuals in its market areas. Its principal business activities include commercial and retail banking, along with insurance, investment, trust and mortgage services. Please visit </w:t>
      </w:r>
      <w:r>
        <w:rPr>
          <w:rFonts w:ascii="Arial" w:cs="Arial" w:eastAsia="Arial" w:hAnsi="Arial"/>
          <w:sz w:val="14"/>
          <w:szCs w:val="14"/>
          <w:u w:val="single" w:color="auto"/>
          <w:color w:val="auto"/>
        </w:rPr>
        <w:t>https://www.spfi.bank</w:t>
      </w:r>
      <w:r>
        <w:rPr>
          <w:rFonts w:ascii="Arial" w:cs="Arial" w:eastAsia="Arial" w:hAnsi="Arial"/>
          <w:sz w:val="14"/>
          <w:szCs w:val="14"/>
          <w:color w:val="auto"/>
        </w:rPr>
        <w:t xml:space="preserve"> for more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Non-GAAP Financial Measures</w:t>
      </w:r>
    </w:p>
    <w:p>
      <w:pPr>
        <w:spacing w:after="0" w:line="209" w:lineRule="exact"/>
        <w:rPr>
          <w:sz w:val="20"/>
          <w:szCs w:val="20"/>
          <w:color w:val="auto"/>
        </w:rPr>
      </w:pPr>
    </w:p>
    <w:p>
      <w:pPr>
        <w:jc w:val="both"/>
        <w:spacing w:after="0" w:line="293" w:lineRule="auto"/>
        <w:rPr>
          <w:sz w:val="20"/>
          <w:szCs w:val="20"/>
          <w:color w:val="auto"/>
        </w:rPr>
      </w:pPr>
      <w:r>
        <w:rPr>
          <w:rFonts w:ascii="Arial" w:cs="Arial" w:eastAsia="Arial" w:hAnsi="Arial"/>
          <w:sz w:val="13"/>
          <w:szCs w:val="13"/>
          <w:color w:val="auto"/>
        </w:rPr>
        <w:t>Some of the financial measures included in this press release are not measures of financial performance recognized in accordance with generally accepted accounting principles in the United States (“GAAP”). These non-GAAP financial measures include Tangible Book Value Per Common Share, Tangible Common Equity to Tangible Assets, Adjusted Efficiency Ratio, and Pre-Tax, Pre-Provision Income. The Company believes these non-GAAP financial measures provide both management and investors a more complete understanding of the Company’s financial position and performance. These non-GAAP financial measures are supplemental and are not a substitute for any analysis based on 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192405</wp:posOffset>
            </wp:positionV>
            <wp:extent cx="7160260" cy="139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 w:name="page7"/>
    <w:bookmarkEnd w:id="6"/>
    <w:p>
      <w:pPr>
        <w:jc w:val="both"/>
        <w:spacing w:after="0" w:line="266" w:lineRule="auto"/>
        <w:rPr>
          <w:sz w:val="20"/>
          <w:szCs w:val="20"/>
          <w:color w:val="auto"/>
        </w:rPr>
      </w:pPr>
      <w:r>
        <w:rPr>
          <w:rFonts w:ascii="Arial" w:cs="Arial" w:eastAsia="Arial" w:hAnsi="Arial"/>
          <w:sz w:val="14"/>
          <w:szCs w:val="14"/>
          <w:color w:val="auto"/>
        </w:rPr>
        <w:t>We classify a financial measure as being a non-GAAP financial measure if that financial measure excludes or includes amounts, or is subject to adjustments that have the effect of excluding or including amounts, that are included or excluded, as the case may be, in the most directly comparable measure calculated and presented in accordance with GAAP as in effect from time to time in the United States in our statements of income, balance sheets or statements of cash flows. Not all companies use the same calculation of these measures; therefore, this presentation may not be comparable to other similarly titled measures as presented by other companies.</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A reconciliation of non-GAAP financial measures to GAAP financial measures is provided at the end of this press release.</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Available Information</w:t>
      </w:r>
    </w:p>
    <w:p>
      <w:pPr>
        <w:spacing w:after="0" w:line="20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 xml:space="preserve">The Company routinely posts important information for investors on its web site (under </w:t>
      </w:r>
      <w:r>
        <w:rPr>
          <w:rFonts w:ascii="Arial" w:cs="Arial" w:eastAsia="Arial" w:hAnsi="Arial"/>
          <w:sz w:val="14"/>
          <w:szCs w:val="14"/>
          <w:u w:val="single" w:color="auto"/>
          <w:color w:val="auto"/>
        </w:rPr>
        <w:t>www.spfi.bank</w:t>
      </w:r>
      <w:r>
        <w:rPr>
          <w:rFonts w:ascii="Arial" w:cs="Arial" w:eastAsia="Arial" w:hAnsi="Arial"/>
          <w:sz w:val="14"/>
          <w:szCs w:val="14"/>
          <w:color w:val="auto"/>
        </w:rPr>
        <w:t xml:space="preserve"> and, more specifically, under the News &amp; Events tab at </w:t>
      </w:r>
      <w:r>
        <w:rPr>
          <w:rFonts w:ascii="Arial" w:cs="Arial" w:eastAsia="Arial" w:hAnsi="Arial"/>
          <w:sz w:val="14"/>
          <w:szCs w:val="14"/>
          <w:u w:val="single" w:color="auto"/>
          <w:color w:val="auto"/>
        </w:rPr>
        <w:t>www.spfi.bank/news-events/press-releases</w:t>
      </w:r>
      <w:r>
        <w:rPr>
          <w:rFonts w:ascii="Arial" w:cs="Arial" w:eastAsia="Arial" w:hAnsi="Arial"/>
          <w:sz w:val="14"/>
          <w:szCs w:val="14"/>
          <w:color w:val="auto"/>
        </w:rPr>
        <w:t>). The Company intends to use its web site as a means of disclosing material non-public information and for complying with its disclosure obligations under Regulation FD (Fair Disclosure) promulgated by the U.S. Securities and Exchange Commission (the “SEC”). Accordingly, investors should monitor the Company’s web site, in addition to following the Company’s press releases, SEC filings, public conference calls, presentations and webcasts.</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The information contained on, or that may be accessed through, the Company’s web site is not incorporated by reference into, and is not a part of, this document.</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 Looking Statements</w:t>
      </w:r>
    </w:p>
    <w:p>
      <w:pPr>
        <w:spacing w:after="0" w:line="209"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This press release contains forward-looking statements within the meaning of the Private Securities Litigation Reform Act of 1995. These forward-looking statements reflect South Plains’ current views with respect to, among other things, the ongoing COVID-19 pandemic and other future events. Any statements about South Plains’ expectations, beliefs, plans, predictions, forecasts, objectives, assumptions or future events or performance are not historical facts and may be forward-looking. These statements are often, but not always, made through the use of words or phrases such as “anticipate,” “believes,” “can,” “could,” “may,” “predicts,” “potential,” “should,” “will,” “estimate,” “plans,” “projects,” “continuing,” “ongoing,” “expects,” “intends” and similar words or phrases. South Plains cautions that the forward-looking statements in this press release are based largely on South Plains’ expectations and are subject to a number of known and unknown risks and uncertainties that are subject to change based on factors which are, in many instances, beyond South Plains’ control. Factors that could cause such changes include, but are not limited to, general economic conditions, the extent of the impact of the COVID-19 pandemic on our customers, changes in interest rates, regulatory considerations, competition and market expansion opportunities, changes in non-interest expenditures or in the anticipated benefits of such expenditures, and changes in applicable laws and regulations. Additional information regarding these risks and uncertainties to which South Plains’ business and future financial performance are subject is contained in South Plains’ most recent Annual Report on Form 10-K on file with the SEC, and other documents South Plains files with the SEC from time to time. South Plains urges readers of this press release to review the “</w:t>
      </w:r>
      <w:r>
        <w:rPr>
          <w:rFonts w:ascii="Arial" w:cs="Arial" w:eastAsia="Arial" w:hAnsi="Arial"/>
          <w:sz w:val="13"/>
          <w:szCs w:val="13"/>
          <w:i w:val="1"/>
          <w:iCs w:val="1"/>
          <w:color w:val="auto"/>
        </w:rPr>
        <w:t>Risk Factors”</w:t>
      </w:r>
      <w:r>
        <w:rPr>
          <w:rFonts w:ascii="Arial" w:cs="Arial" w:eastAsia="Arial" w:hAnsi="Arial"/>
          <w:sz w:val="13"/>
          <w:szCs w:val="13"/>
          <w:color w:val="auto"/>
        </w:rPr>
        <w:t xml:space="preserve"> section of our most recent Annual Report on Form 10-K, as well as the “</w:t>
      </w:r>
      <w:r>
        <w:rPr>
          <w:rFonts w:ascii="Arial" w:cs="Arial" w:eastAsia="Arial" w:hAnsi="Arial"/>
          <w:sz w:val="13"/>
          <w:szCs w:val="13"/>
          <w:i w:val="1"/>
          <w:iCs w:val="1"/>
          <w:color w:val="auto"/>
        </w:rPr>
        <w:t>Risk Factors</w:t>
      </w:r>
      <w:r>
        <w:rPr>
          <w:rFonts w:ascii="Arial" w:cs="Arial" w:eastAsia="Arial" w:hAnsi="Arial"/>
          <w:sz w:val="13"/>
          <w:szCs w:val="13"/>
          <w:color w:val="auto"/>
        </w:rPr>
        <w:t xml:space="preserve">” section of other documents South Plains files or furnishes with the SEC from time to time, which are available on the SEC’s website, </w:t>
      </w:r>
      <w:r>
        <w:rPr>
          <w:rFonts w:ascii="Arial" w:cs="Arial" w:eastAsia="Arial" w:hAnsi="Arial"/>
          <w:sz w:val="13"/>
          <w:szCs w:val="13"/>
          <w:u w:val="single" w:color="auto"/>
          <w:color w:val="auto"/>
        </w:rPr>
        <w:t>www.sec.gov</w:t>
      </w:r>
      <w:r>
        <w:rPr>
          <w:rFonts w:ascii="Arial" w:cs="Arial" w:eastAsia="Arial" w:hAnsi="Arial"/>
          <w:sz w:val="13"/>
          <w:szCs w:val="13"/>
          <w:color w:val="auto"/>
        </w:rPr>
        <w:t>. Actual results, performance or achievements could differ materially from those contemplated, expressed, or implied by the forward-looking statements due to additional risks and uncertainties of which South Plains is not currently aware or which it does not currently view as, but in the future may become, material to its business or operating results. Due to these and other possible uncertainties and risks, readers are cautioned not to place undue reliance on the forward-looking statements contained in this press release. Any forward-looking statements presented herein are made only as of the date of this press release, and South Plains does not undertake any obligation to update or revise any forward-looking statements to reflect changes in assumptions, new information, the occurrence of unanticipated events, or otherwise, except as required by law. All forward-looking statements, express or implied, included in the press release are qualified in their entirety by this cautionary statement.</w:t>
      </w:r>
    </w:p>
    <w:p>
      <w:pPr>
        <w:spacing w:after="0" w:line="166" w:lineRule="exact"/>
        <w:rPr>
          <w:sz w:val="20"/>
          <w:szCs w:val="20"/>
          <w:color w:val="auto"/>
        </w:rPr>
      </w:pPr>
    </w:p>
    <w:p>
      <w:pPr>
        <w:spacing w:after="0"/>
        <w:tabs>
          <w:tab w:leader="none" w:pos="1680" w:val="left"/>
        </w:tabs>
        <w:rPr>
          <w:sz w:val="20"/>
          <w:szCs w:val="20"/>
          <w:color w:val="auto"/>
        </w:rPr>
      </w:pPr>
      <w:r>
        <w:rPr>
          <w:rFonts w:ascii="Arial" w:cs="Arial" w:eastAsia="Arial" w:hAnsi="Arial"/>
          <w:sz w:val="14"/>
          <w:szCs w:val="14"/>
          <w:color w:val="auto"/>
        </w:rPr>
        <w:t>Contact:</w:t>
      </w:r>
      <w:r>
        <w:rPr>
          <w:sz w:val="20"/>
          <w:szCs w:val="20"/>
          <w:color w:val="auto"/>
        </w:rPr>
        <w:tab/>
      </w:r>
      <w:r>
        <w:rPr>
          <w:rFonts w:ascii="Arial" w:cs="Arial" w:eastAsia="Arial" w:hAnsi="Arial"/>
          <w:sz w:val="14"/>
          <w:szCs w:val="14"/>
          <w:color w:val="auto"/>
        </w:rPr>
        <w:t>Mikella Newsom, Chief Risk Officer and Secretary</w:t>
      </w:r>
    </w:p>
    <w:p>
      <w:pPr>
        <w:spacing w:after="0" w:line="21" w:lineRule="exact"/>
        <w:rPr>
          <w:sz w:val="20"/>
          <w:szCs w:val="20"/>
          <w:color w:val="auto"/>
        </w:rPr>
      </w:pPr>
    </w:p>
    <w:p>
      <w:pPr>
        <w:ind w:left="1700" w:right="8400" w:firstLine="6"/>
        <w:spacing w:after="0" w:line="312" w:lineRule="auto"/>
        <w:tabs>
          <w:tab w:leader="none" w:pos="2047" w:val="left"/>
        </w:tabs>
        <w:numPr>
          <w:ilvl w:val="0"/>
          <w:numId w:val="5"/>
        </w:numPr>
        <w:rPr>
          <w:rFonts w:ascii="Arial" w:cs="Arial" w:eastAsia="Arial" w:hAnsi="Arial"/>
          <w:sz w:val="13"/>
          <w:szCs w:val="13"/>
          <w:color w:val="auto"/>
        </w:rPr>
      </w:pPr>
      <w:r>
        <w:rPr>
          <w:rFonts w:ascii="Arial" w:cs="Arial" w:eastAsia="Arial" w:hAnsi="Arial"/>
          <w:sz w:val="13"/>
          <w:szCs w:val="13"/>
          <w:color w:val="auto"/>
        </w:rPr>
        <w:t xml:space="preserve">771-3347 </w:t>
      </w:r>
      <w:r>
        <w:rPr>
          <w:rFonts w:ascii="Arial" w:cs="Arial" w:eastAsia="Arial" w:hAnsi="Arial"/>
          <w:sz w:val="13"/>
          <w:szCs w:val="13"/>
          <w:u w:val="single" w:color="auto"/>
          <w:color w:val="auto"/>
        </w:rPr>
        <w:t>investors@city.bank</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Source: South Plains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225425</wp:posOffset>
            </wp:positionV>
            <wp:extent cx="7160260" cy="139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color w:val="auto"/>
        </w:rPr>
        <w:t>South Plains Financial, Inc.</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Financial Highlights - (Unaudited)</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(Dollars in thousands, except share data)</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60" w:type="dxa"/>
            <w:vAlign w:val="bottom"/>
            <w:gridSpan w:val="9"/>
          </w:tcPr>
          <w:p>
            <w:pPr>
              <w:jc w:val="center"/>
              <w:ind w:right="340"/>
              <w:spacing w:after="0"/>
              <w:rPr>
                <w:sz w:val="20"/>
                <w:szCs w:val="20"/>
                <w:color w:val="auto"/>
              </w:rPr>
            </w:pPr>
            <w:r>
              <w:rPr>
                <w:rFonts w:ascii="Arial" w:cs="Arial" w:eastAsia="Arial" w:hAnsi="Arial"/>
                <w:sz w:val="14"/>
                <w:szCs w:val="14"/>
                <w:b w:val="1"/>
                <w:bCs w:val="1"/>
                <w:color w:val="auto"/>
                <w:w w:val="92"/>
              </w:rPr>
              <w:t>As of and for the quarter ended</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2"/>
        </w:trPr>
        <w:tc>
          <w:tcPr>
            <w:tcW w:w="4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March 31,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1"/>
              </w:rPr>
              <w:t>September 30,</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June 30,</w:t>
            </w:r>
          </w:p>
        </w:tc>
      </w:tr>
      <w:tr>
        <w:trPr>
          <w:trHeight w:val="188"/>
        </w:trPr>
        <w:tc>
          <w:tcPr>
            <w:tcW w:w="4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r>
      <w:tr>
        <w:trPr>
          <w:trHeight w:val="171"/>
        </w:trPr>
        <w:tc>
          <w:tcPr>
            <w:tcW w:w="4020" w:type="dxa"/>
            <w:vAlign w:val="bottom"/>
          </w:tcPr>
          <w:p>
            <w:pPr>
              <w:spacing w:after="0"/>
              <w:rPr>
                <w:sz w:val="20"/>
                <w:szCs w:val="20"/>
                <w:color w:val="auto"/>
              </w:rPr>
            </w:pPr>
            <w:r>
              <w:rPr>
                <w:rFonts w:ascii="Arial" w:cs="Arial" w:eastAsia="Arial" w:hAnsi="Arial"/>
                <w:sz w:val="14"/>
                <w:szCs w:val="14"/>
                <w:b w:val="1"/>
                <w:bCs w:val="1"/>
                <w:color w:val="auto"/>
              </w:rPr>
              <w:t>Selected Income Statement Data:</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3"/>
        </w:trPr>
        <w:tc>
          <w:tcPr>
            <w:tcW w:w="4020" w:type="dxa"/>
            <w:vAlign w:val="bottom"/>
            <w:shd w:val="clear" w:color="auto" w:fill="CCEEFF"/>
          </w:tcPr>
          <w:p>
            <w:pPr>
              <w:spacing w:after="0"/>
              <w:rPr>
                <w:sz w:val="20"/>
                <w:szCs w:val="20"/>
                <w:color w:val="auto"/>
              </w:rPr>
            </w:pPr>
            <w:r>
              <w:rPr>
                <w:rFonts w:ascii="Arial" w:cs="Arial" w:eastAsia="Arial" w:hAnsi="Arial"/>
                <w:sz w:val="14"/>
                <w:szCs w:val="14"/>
                <w:color w:val="auto"/>
              </w:rPr>
              <w:t>Interest income</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33,016</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32,982</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33,984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34,503</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34,007</w:t>
            </w:r>
          </w:p>
        </w:tc>
      </w:tr>
      <w:tr>
        <w:trPr>
          <w:trHeight w:val="172"/>
        </w:trPr>
        <w:tc>
          <w:tcPr>
            <w:tcW w:w="4020" w:type="dxa"/>
            <w:vAlign w:val="bottom"/>
          </w:tcPr>
          <w:p>
            <w:pPr>
              <w:spacing w:after="0"/>
              <w:rPr>
                <w:sz w:val="20"/>
                <w:szCs w:val="20"/>
                <w:color w:val="auto"/>
              </w:rPr>
            </w:pPr>
            <w:r>
              <w:rPr>
                <w:rFonts w:ascii="Arial" w:cs="Arial" w:eastAsia="Arial" w:hAnsi="Arial"/>
                <w:sz w:val="14"/>
                <w:szCs w:val="14"/>
                <w:color w:val="auto"/>
              </w:rPr>
              <w:t>Interest expense</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3,423</w:t>
            </w:r>
          </w:p>
        </w:tc>
        <w:tc>
          <w:tcPr>
            <w:tcW w:w="16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3,438</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3,619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3,230</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3,559</w:t>
            </w:r>
          </w:p>
        </w:tc>
        <w:tc>
          <w:tcPr>
            <w:tcW w:w="120" w:type="dxa"/>
            <w:vAlign w:val="bottom"/>
          </w:tcPr>
          <w:p>
            <w:pPr>
              <w:spacing w:after="0"/>
              <w:rPr>
                <w:sz w:val="14"/>
                <w:szCs w:val="14"/>
                <w:color w:val="auto"/>
              </w:rPr>
            </w:pPr>
          </w:p>
        </w:tc>
      </w:tr>
      <w:tr>
        <w:trPr>
          <w:trHeight w:val="172"/>
        </w:trPr>
        <w:tc>
          <w:tcPr>
            <w:tcW w:w="4020" w:type="dxa"/>
            <w:vAlign w:val="bottom"/>
            <w:shd w:val="clear" w:color="auto" w:fill="CCEEFF"/>
          </w:tcPr>
          <w:p>
            <w:pPr>
              <w:spacing w:after="0"/>
              <w:rPr>
                <w:sz w:val="20"/>
                <w:szCs w:val="20"/>
                <w:color w:val="auto"/>
              </w:rPr>
            </w:pPr>
            <w:r>
              <w:rPr>
                <w:rFonts w:ascii="Arial" w:cs="Arial" w:eastAsia="Arial" w:hAnsi="Arial"/>
                <w:sz w:val="14"/>
                <w:szCs w:val="14"/>
                <w:color w:val="auto"/>
              </w:rPr>
              <w:t>Net interest income</w:t>
            </w: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29,593</w:t>
            </w: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29,544</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30,365</w:t>
            </w: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31,273</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30,448</w:t>
            </w:r>
          </w:p>
        </w:tc>
      </w:tr>
      <w:tr>
        <w:trPr>
          <w:trHeight w:val="172"/>
        </w:trPr>
        <w:tc>
          <w:tcPr>
            <w:tcW w:w="4020" w:type="dxa"/>
            <w:vAlign w:val="bottom"/>
          </w:tcPr>
          <w:p>
            <w:pPr>
              <w:spacing w:after="0"/>
              <w:rPr>
                <w:sz w:val="20"/>
                <w:szCs w:val="20"/>
                <w:color w:val="auto"/>
              </w:rPr>
            </w:pPr>
            <w:r>
              <w:rPr>
                <w:rFonts w:ascii="Arial" w:cs="Arial" w:eastAsia="Arial" w:hAnsi="Arial"/>
                <w:sz w:val="14"/>
                <w:szCs w:val="14"/>
                <w:color w:val="auto"/>
              </w:rPr>
              <w:t>Provision for loan losses</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(2,007)</w:t>
            </w:r>
          </w:p>
        </w:tc>
        <w:tc>
          <w:tcPr>
            <w:tcW w:w="16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89</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141</w:t>
            </w:r>
          </w:p>
        </w:tc>
        <w:tc>
          <w:tcPr>
            <w:tcW w:w="10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6,062</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13,133</w:t>
            </w:r>
          </w:p>
        </w:tc>
      </w:tr>
      <w:tr>
        <w:trPr>
          <w:trHeight w:val="172"/>
        </w:trPr>
        <w:tc>
          <w:tcPr>
            <w:tcW w:w="4020" w:type="dxa"/>
            <w:vAlign w:val="bottom"/>
            <w:shd w:val="clear" w:color="auto" w:fill="CCEEFF"/>
          </w:tcPr>
          <w:p>
            <w:pPr>
              <w:spacing w:after="0"/>
              <w:rPr>
                <w:sz w:val="20"/>
                <w:szCs w:val="20"/>
                <w:color w:val="auto"/>
              </w:rPr>
            </w:pPr>
            <w:r>
              <w:rPr>
                <w:rFonts w:ascii="Arial" w:cs="Arial" w:eastAsia="Arial" w:hAnsi="Arial"/>
                <w:sz w:val="14"/>
                <w:szCs w:val="14"/>
                <w:color w:val="auto"/>
              </w:rPr>
              <w:t>Noninterest income</w:t>
            </w: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22,250</w:t>
            </w: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26,500</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26,172</w:t>
            </w: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31,660</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24,896</w:t>
            </w:r>
          </w:p>
        </w:tc>
      </w:tr>
      <w:tr>
        <w:trPr>
          <w:trHeight w:val="172"/>
        </w:trPr>
        <w:tc>
          <w:tcPr>
            <w:tcW w:w="4020" w:type="dxa"/>
            <w:vAlign w:val="bottom"/>
          </w:tcPr>
          <w:p>
            <w:pPr>
              <w:spacing w:after="0"/>
              <w:rPr>
                <w:sz w:val="20"/>
                <w:szCs w:val="20"/>
                <w:color w:val="auto"/>
              </w:rPr>
            </w:pPr>
            <w:r>
              <w:rPr>
                <w:rFonts w:ascii="Arial" w:cs="Arial" w:eastAsia="Arial" w:hAnsi="Arial"/>
                <w:sz w:val="14"/>
                <w:szCs w:val="14"/>
                <w:color w:val="auto"/>
              </w:rPr>
              <w:t>Noninterest expense</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36,778</w:t>
            </w:r>
          </w:p>
        </w:tc>
        <w:tc>
          <w:tcPr>
            <w:tcW w:w="16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37,057</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36,504</w:t>
            </w:r>
          </w:p>
        </w:tc>
        <w:tc>
          <w:tcPr>
            <w:tcW w:w="10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35,993</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35,207</w:t>
            </w:r>
          </w:p>
        </w:tc>
      </w:tr>
      <w:tr>
        <w:trPr>
          <w:trHeight w:val="172"/>
        </w:trPr>
        <w:tc>
          <w:tcPr>
            <w:tcW w:w="4020" w:type="dxa"/>
            <w:vAlign w:val="bottom"/>
            <w:shd w:val="clear" w:color="auto" w:fill="CCEEFF"/>
          </w:tcPr>
          <w:p>
            <w:pPr>
              <w:spacing w:after="0"/>
              <w:rPr>
                <w:sz w:val="20"/>
                <w:szCs w:val="20"/>
                <w:color w:val="auto"/>
              </w:rPr>
            </w:pPr>
            <w:r>
              <w:rPr>
                <w:rFonts w:ascii="Arial" w:cs="Arial" w:eastAsia="Arial" w:hAnsi="Arial"/>
                <w:sz w:val="14"/>
                <w:szCs w:val="14"/>
                <w:color w:val="auto"/>
              </w:rPr>
              <w:t>Income tax expense</w:t>
            </w: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3,422</w:t>
            </w: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3,738</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3,968</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4,147</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1,389</w:t>
            </w:r>
          </w:p>
        </w:tc>
        <w:tc>
          <w:tcPr>
            <w:tcW w:w="120" w:type="dxa"/>
            <w:vAlign w:val="bottom"/>
            <w:shd w:val="clear" w:color="auto" w:fill="CCEEFF"/>
          </w:tcPr>
          <w:p>
            <w:pPr>
              <w:spacing w:after="0"/>
              <w:rPr>
                <w:sz w:val="14"/>
                <w:szCs w:val="14"/>
                <w:color w:val="auto"/>
              </w:rPr>
            </w:pPr>
          </w:p>
        </w:tc>
      </w:tr>
      <w:tr>
        <w:trPr>
          <w:trHeight w:val="172"/>
        </w:trPr>
        <w:tc>
          <w:tcPr>
            <w:tcW w:w="4020" w:type="dxa"/>
            <w:vAlign w:val="bottom"/>
          </w:tcPr>
          <w:p>
            <w:pPr>
              <w:spacing w:after="0"/>
              <w:rPr>
                <w:sz w:val="20"/>
                <w:szCs w:val="20"/>
                <w:color w:val="auto"/>
              </w:rPr>
            </w:pPr>
            <w:r>
              <w:rPr>
                <w:rFonts w:ascii="Arial" w:cs="Arial" w:eastAsia="Arial" w:hAnsi="Arial"/>
                <w:sz w:val="14"/>
                <w:szCs w:val="14"/>
                <w:color w:val="auto"/>
              </w:rPr>
              <w:t>Net income</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13,650</w:t>
            </w:r>
          </w:p>
        </w:tc>
        <w:tc>
          <w:tcPr>
            <w:tcW w:w="16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15,160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15,924</w:t>
            </w:r>
          </w:p>
        </w:tc>
        <w:tc>
          <w:tcPr>
            <w:tcW w:w="10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16,731</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5,615</w:t>
            </w:r>
          </w:p>
        </w:tc>
        <w:tc>
          <w:tcPr>
            <w:tcW w:w="120" w:type="dxa"/>
            <w:vAlign w:val="bottom"/>
          </w:tcPr>
          <w:p>
            <w:pPr>
              <w:spacing w:after="0"/>
              <w:rPr>
                <w:sz w:val="14"/>
                <w:szCs w:val="14"/>
                <w:color w:val="auto"/>
              </w:rPr>
            </w:pPr>
          </w:p>
        </w:tc>
      </w:tr>
      <w:tr>
        <w:trPr>
          <w:trHeight w:val="172"/>
        </w:trPr>
        <w:tc>
          <w:tcPr>
            <w:tcW w:w="40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Per Share Data (Common Stock):</w:t>
            </w: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72"/>
        </w:trPr>
        <w:tc>
          <w:tcPr>
            <w:tcW w:w="4020" w:type="dxa"/>
            <w:vAlign w:val="bottom"/>
          </w:tcPr>
          <w:p>
            <w:pPr>
              <w:spacing w:after="0"/>
              <w:rPr>
                <w:sz w:val="20"/>
                <w:szCs w:val="20"/>
                <w:color w:val="auto"/>
              </w:rPr>
            </w:pPr>
            <w:r>
              <w:rPr>
                <w:rFonts w:ascii="Arial" w:cs="Arial" w:eastAsia="Arial" w:hAnsi="Arial"/>
                <w:sz w:val="14"/>
                <w:szCs w:val="14"/>
                <w:color w:val="auto"/>
              </w:rPr>
              <w:t>Net earnings, basic</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0.76</w:t>
            </w:r>
          </w:p>
        </w:tc>
        <w:tc>
          <w:tcPr>
            <w:tcW w:w="16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0.84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0.88</w:t>
            </w:r>
          </w:p>
        </w:tc>
        <w:tc>
          <w:tcPr>
            <w:tcW w:w="10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0.93</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0.31</w:t>
            </w:r>
          </w:p>
        </w:tc>
      </w:tr>
      <w:tr>
        <w:trPr>
          <w:trHeight w:val="172"/>
        </w:trPr>
        <w:tc>
          <w:tcPr>
            <w:tcW w:w="4020" w:type="dxa"/>
            <w:vAlign w:val="bottom"/>
            <w:shd w:val="clear" w:color="auto" w:fill="CCEEFF"/>
          </w:tcPr>
          <w:p>
            <w:pPr>
              <w:spacing w:after="0"/>
              <w:rPr>
                <w:sz w:val="20"/>
                <w:szCs w:val="20"/>
                <w:color w:val="auto"/>
              </w:rPr>
            </w:pPr>
            <w:r>
              <w:rPr>
                <w:rFonts w:ascii="Arial" w:cs="Arial" w:eastAsia="Arial" w:hAnsi="Arial"/>
                <w:sz w:val="14"/>
                <w:szCs w:val="14"/>
                <w:color w:val="auto"/>
              </w:rPr>
              <w:t>Net earnings, diluted</w:t>
            </w: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0.74</w:t>
            </w: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0.82</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0.87</w:t>
            </w: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0.92</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0.31</w:t>
            </w:r>
          </w:p>
        </w:tc>
      </w:tr>
      <w:tr>
        <w:trPr>
          <w:trHeight w:val="172"/>
        </w:trPr>
        <w:tc>
          <w:tcPr>
            <w:tcW w:w="4020" w:type="dxa"/>
            <w:vAlign w:val="bottom"/>
          </w:tcPr>
          <w:p>
            <w:pPr>
              <w:spacing w:after="0"/>
              <w:rPr>
                <w:sz w:val="20"/>
                <w:szCs w:val="20"/>
                <w:color w:val="auto"/>
              </w:rPr>
            </w:pPr>
            <w:r>
              <w:rPr>
                <w:rFonts w:ascii="Arial" w:cs="Arial" w:eastAsia="Arial" w:hAnsi="Arial"/>
                <w:sz w:val="14"/>
                <w:szCs w:val="14"/>
                <w:color w:val="auto"/>
              </w:rPr>
              <w:t>Cash dividends declared and paid</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0.07</w:t>
            </w:r>
          </w:p>
        </w:tc>
        <w:tc>
          <w:tcPr>
            <w:tcW w:w="16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0.05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0.05</w:t>
            </w:r>
          </w:p>
        </w:tc>
        <w:tc>
          <w:tcPr>
            <w:tcW w:w="10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0.03</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0.03</w:t>
            </w:r>
          </w:p>
        </w:tc>
      </w:tr>
      <w:tr>
        <w:trPr>
          <w:trHeight w:val="172"/>
        </w:trPr>
        <w:tc>
          <w:tcPr>
            <w:tcW w:w="4020" w:type="dxa"/>
            <w:vAlign w:val="bottom"/>
            <w:shd w:val="clear" w:color="auto" w:fill="CCEEFF"/>
          </w:tcPr>
          <w:p>
            <w:pPr>
              <w:spacing w:after="0"/>
              <w:rPr>
                <w:sz w:val="20"/>
                <w:szCs w:val="20"/>
                <w:color w:val="auto"/>
              </w:rPr>
            </w:pPr>
            <w:r>
              <w:rPr>
                <w:rFonts w:ascii="Arial" w:cs="Arial" w:eastAsia="Arial" w:hAnsi="Arial"/>
                <w:sz w:val="14"/>
                <w:szCs w:val="14"/>
                <w:color w:val="auto"/>
              </w:rPr>
              <w:t>Book value</w:t>
            </w: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21.89</w:t>
            </w: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20.75</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20.47</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19.52</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18.64</w:t>
            </w:r>
          </w:p>
        </w:tc>
        <w:tc>
          <w:tcPr>
            <w:tcW w:w="120" w:type="dxa"/>
            <w:vAlign w:val="bottom"/>
            <w:shd w:val="clear" w:color="auto" w:fill="CCEEFF"/>
          </w:tcPr>
          <w:p>
            <w:pPr>
              <w:spacing w:after="0"/>
              <w:rPr>
                <w:sz w:val="14"/>
                <w:szCs w:val="14"/>
                <w:color w:val="auto"/>
              </w:rPr>
            </w:pPr>
          </w:p>
        </w:tc>
      </w:tr>
      <w:tr>
        <w:trPr>
          <w:trHeight w:val="172"/>
        </w:trPr>
        <w:tc>
          <w:tcPr>
            <w:tcW w:w="4020" w:type="dxa"/>
            <w:vAlign w:val="bottom"/>
          </w:tcPr>
          <w:p>
            <w:pPr>
              <w:spacing w:after="0"/>
              <w:rPr>
                <w:sz w:val="20"/>
                <w:szCs w:val="20"/>
                <w:color w:val="auto"/>
              </w:rPr>
            </w:pPr>
            <w:r>
              <w:rPr>
                <w:rFonts w:ascii="Arial" w:cs="Arial" w:eastAsia="Arial" w:hAnsi="Arial"/>
                <w:sz w:val="14"/>
                <w:szCs w:val="14"/>
                <w:color w:val="auto"/>
              </w:rPr>
              <w:t>Tangible book value</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20.43</w:t>
            </w:r>
          </w:p>
        </w:tc>
        <w:tc>
          <w:tcPr>
            <w:tcW w:w="16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19.28</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18.97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18.00</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17.06</w:t>
            </w:r>
          </w:p>
        </w:tc>
        <w:tc>
          <w:tcPr>
            <w:tcW w:w="120" w:type="dxa"/>
            <w:vAlign w:val="bottom"/>
          </w:tcPr>
          <w:p>
            <w:pPr>
              <w:spacing w:after="0"/>
              <w:rPr>
                <w:sz w:val="14"/>
                <w:szCs w:val="14"/>
                <w:color w:val="auto"/>
              </w:rPr>
            </w:pPr>
          </w:p>
        </w:tc>
      </w:tr>
      <w:tr>
        <w:trPr>
          <w:trHeight w:val="172"/>
        </w:trPr>
        <w:tc>
          <w:tcPr>
            <w:tcW w:w="4020" w:type="dxa"/>
            <w:vAlign w:val="bottom"/>
            <w:shd w:val="clear" w:color="auto" w:fill="CCEEFF"/>
          </w:tcPr>
          <w:p>
            <w:pPr>
              <w:spacing w:after="0"/>
              <w:rPr>
                <w:sz w:val="20"/>
                <w:szCs w:val="20"/>
                <w:color w:val="auto"/>
              </w:rPr>
            </w:pPr>
            <w:r>
              <w:rPr>
                <w:rFonts w:ascii="Arial" w:cs="Arial" w:eastAsia="Arial" w:hAnsi="Arial"/>
                <w:sz w:val="14"/>
                <w:szCs w:val="14"/>
                <w:color w:val="auto"/>
              </w:rPr>
              <w:t>Weighted average shares outstanding, basic</w:t>
            </w: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18,039,553</w:t>
            </w: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18,069,186</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18,053,467</w:t>
            </w: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18,059,174</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18,061,705</w:t>
            </w:r>
          </w:p>
        </w:tc>
      </w:tr>
      <w:tr>
        <w:trPr>
          <w:trHeight w:val="172"/>
        </w:trPr>
        <w:tc>
          <w:tcPr>
            <w:tcW w:w="4020" w:type="dxa"/>
            <w:vAlign w:val="bottom"/>
          </w:tcPr>
          <w:p>
            <w:pPr>
              <w:spacing w:after="0"/>
              <w:rPr>
                <w:sz w:val="20"/>
                <w:szCs w:val="20"/>
                <w:color w:val="auto"/>
              </w:rPr>
            </w:pPr>
            <w:r>
              <w:rPr>
                <w:rFonts w:ascii="Arial" w:cs="Arial" w:eastAsia="Arial" w:hAnsi="Arial"/>
                <w:sz w:val="14"/>
                <w:szCs w:val="14"/>
                <w:color w:val="auto"/>
              </w:rPr>
              <w:t>Weighted average shares outstanding, dilutive</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18,553,050</w:t>
            </w:r>
          </w:p>
        </w:tc>
        <w:tc>
          <w:tcPr>
            <w:tcW w:w="16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18,511,120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18,366,129</w:t>
            </w:r>
          </w:p>
        </w:tc>
        <w:tc>
          <w:tcPr>
            <w:tcW w:w="10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18,256,161</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18,224,630</w:t>
            </w:r>
          </w:p>
        </w:tc>
      </w:tr>
      <w:tr>
        <w:trPr>
          <w:trHeight w:val="172"/>
        </w:trPr>
        <w:tc>
          <w:tcPr>
            <w:tcW w:w="4020" w:type="dxa"/>
            <w:vAlign w:val="bottom"/>
            <w:shd w:val="clear" w:color="auto" w:fill="CCEEFF"/>
          </w:tcPr>
          <w:p>
            <w:pPr>
              <w:spacing w:after="0"/>
              <w:rPr>
                <w:sz w:val="20"/>
                <w:szCs w:val="20"/>
                <w:color w:val="auto"/>
              </w:rPr>
            </w:pPr>
            <w:r>
              <w:rPr>
                <w:rFonts w:ascii="Arial" w:cs="Arial" w:eastAsia="Arial" w:hAnsi="Arial"/>
                <w:sz w:val="14"/>
                <w:szCs w:val="14"/>
                <w:color w:val="auto"/>
              </w:rPr>
              <w:t>Shares outstanding at end of period</w:t>
            </w: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18,014,398</w:t>
            </w: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18,053,229</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18,076,364</w:t>
            </w: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18,059,174</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18,059,174</w:t>
            </w:r>
          </w:p>
        </w:tc>
      </w:tr>
      <w:tr>
        <w:trPr>
          <w:trHeight w:val="172"/>
        </w:trPr>
        <w:tc>
          <w:tcPr>
            <w:tcW w:w="4020" w:type="dxa"/>
            <w:vAlign w:val="bottom"/>
          </w:tcPr>
          <w:p>
            <w:pPr>
              <w:spacing w:after="0"/>
              <w:rPr>
                <w:sz w:val="20"/>
                <w:szCs w:val="20"/>
                <w:color w:val="auto"/>
              </w:rPr>
            </w:pPr>
            <w:r>
              <w:rPr>
                <w:rFonts w:ascii="Arial" w:cs="Arial" w:eastAsia="Arial" w:hAnsi="Arial"/>
                <w:sz w:val="14"/>
                <w:szCs w:val="14"/>
                <w:b w:val="1"/>
                <w:bCs w:val="1"/>
                <w:color w:val="auto"/>
              </w:rPr>
              <w:t>Selected Period End Balance Sheet Data:</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2"/>
        </w:trPr>
        <w:tc>
          <w:tcPr>
            <w:tcW w:w="4020" w:type="dxa"/>
            <w:vAlign w:val="bottom"/>
            <w:shd w:val="clear" w:color="auto" w:fill="CCEEFF"/>
          </w:tcPr>
          <w:p>
            <w:pPr>
              <w:spacing w:after="0"/>
              <w:rPr>
                <w:sz w:val="20"/>
                <w:szCs w:val="20"/>
                <w:color w:val="auto"/>
              </w:rPr>
            </w:pPr>
            <w:r>
              <w:rPr>
                <w:rFonts w:ascii="Arial" w:cs="Arial" w:eastAsia="Arial" w:hAnsi="Arial"/>
                <w:sz w:val="14"/>
                <w:szCs w:val="14"/>
                <w:color w:val="auto"/>
              </w:rPr>
              <w:t>Cash and cash equivalents</w:t>
            </w: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383,949</w:t>
            </w: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413,406</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300,307</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290,885</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256,101</w:t>
            </w:r>
          </w:p>
        </w:tc>
        <w:tc>
          <w:tcPr>
            <w:tcW w:w="120" w:type="dxa"/>
            <w:vAlign w:val="bottom"/>
            <w:shd w:val="clear" w:color="auto" w:fill="CCEEFF"/>
          </w:tcPr>
          <w:p>
            <w:pPr>
              <w:spacing w:after="0"/>
              <w:rPr>
                <w:sz w:val="14"/>
                <w:szCs w:val="14"/>
                <w:color w:val="auto"/>
              </w:rPr>
            </w:pPr>
          </w:p>
        </w:tc>
      </w:tr>
      <w:tr>
        <w:trPr>
          <w:trHeight w:val="172"/>
        </w:trPr>
        <w:tc>
          <w:tcPr>
            <w:tcW w:w="4020" w:type="dxa"/>
            <w:vAlign w:val="bottom"/>
          </w:tcPr>
          <w:p>
            <w:pPr>
              <w:spacing w:after="0"/>
              <w:rPr>
                <w:sz w:val="20"/>
                <w:szCs w:val="20"/>
                <w:color w:val="auto"/>
              </w:rPr>
            </w:pPr>
            <w:r>
              <w:rPr>
                <w:rFonts w:ascii="Arial" w:cs="Arial" w:eastAsia="Arial" w:hAnsi="Arial"/>
                <w:sz w:val="14"/>
                <w:szCs w:val="14"/>
                <w:color w:val="auto"/>
              </w:rPr>
              <w:t>Investment securities</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777,613</w:t>
            </w:r>
          </w:p>
        </w:tc>
        <w:tc>
          <w:tcPr>
            <w:tcW w:w="16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777,208</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803,087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726,329</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730,674</w:t>
            </w:r>
          </w:p>
        </w:tc>
        <w:tc>
          <w:tcPr>
            <w:tcW w:w="120" w:type="dxa"/>
            <w:vAlign w:val="bottom"/>
          </w:tcPr>
          <w:p>
            <w:pPr>
              <w:spacing w:after="0"/>
              <w:rPr>
                <w:sz w:val="14"/>
                <w:szCs w:val="14"/>
                <w:color w:val="auto"/>
              </w:rPr>
            </w:pPr>
          </w:p>
        </w:tc>
      </w:tr>
      <w:tr>
        <w:trPr>
          <w:trHeight w:val="172"/>
        </w:trPr>
        <w:tc>
          <w:tcPr>
            <w:tcW w:w="4020" w:type="dxa"/>
            <w:vAlign w:val="bottom"/>
            <w:shd w:val="clear" w:color="auto" w:fill="CCEEFF"/>
          </w:tcPr>
          <w:p>
            <w:pPr>
              <w:spacing w:after="0"/>
              <w:rPr>
                <w:sz w:val="20"/>
                <w:szCs w:val="20"/>
                <w:color w:val="auto"/>
              </w:rPr>
            </w:pPr>
            <w:r>
              <w:rPr>
                <w:rFonts w:ascii="Arial" w:cs="Arial" w:eastAsia="Arial" w:hAnsi="Arial"/>
                <w:sz w:val="14"/>
                <w:szCs w:val="14"/>
                <w:color w:val="auto"/>
              </w:rPr>
              <w:t>Total loans held for investment</w:t>
            </w: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2,303,462</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2,242,676</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2,221,583</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2,288,234</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2,331,716</w:t>
            </w:r>
          </w:p>
        </w:tc>
        <w:tc>
          <w:tcPr>
            <w:tcW w:w="120" w:type="dxa"/>
            <w:vAlign w:val="bottom"/>
            <w:shd w:val="clear" w:color="auto" w:fill="CCEEFF"/>
          </w:tcPr>
          <w:p>
            <w:pPr>
              <w:spacing w:after="0"/>
              <w:rPr>
                <w:sz w:val="14"/>
                <w:szCs w:val="14"/>
                <w:color w:val="auto"/>
              </w:rPr>
            </w:pPr>
          </w:p>
        </w:tc>
      </w:tr>
      <w:tr>
        <w:trPr>
          <w:trHeight w:val="172"/>
        </w:trPr>
        <w:tc>
          <w:tcPr>
            <w:tcW w:w="4020" w:type="dxa"/>
            <w:vAlign w:val="bottom"/>
          </w:tcPr>
          <w:p>
            <w:pPr>
              <w:spacing w:after="0"/>
              <w:rPr>
                <w:sz w:val="20"/>
                <w:szCs w:val="20"/>
                <w:color w:val="auto"/>
              </w:rPr>
            </w:pPr>
            <w:r>
              <w:rPr>
                <w:rFonts w:ascii="Arial" w:cs="Arial" w:eastAsia="Arial" w:hAnsi="Arial"/>
                <w:sz w:val="14"/>
                <w:szCs w:val="14"/>
                <w:color w:val="auto"/>
              </w:rPr>
              <w:t>Allowance for loan losses</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42,963</w:t>
            </w:r>
          </w:p>
        </w:tc>
        <w:tc>
          <w:tcPr>
            <w:tcW w:w="16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45,019</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45,553</w:t>
            </w:r>
          </w:p>
        </w:tc>
        <w:tc>
          <w:tcPr>
            <w:tcW w:w="10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46,076</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40,635</w:t>
            </w:r>
          </w:p>
        </w:tc>
      </w:tr>
      <w:tr>
        <w:trPr>
          <w:trHeight w:val="172"/>
        </w:trPr>
        <w:tc>
          <w:tcPr>
            <w:tcW w:w="4020" w:type="dxa"/>
            <w:vAlign w:val="bottom"/>
            <w:shd w:val="clear" w:color="auto" w:fill="CCEEFF"/>
          </w:tcPr>
          <w:p>
            <w:pPr>
              <w:spacing w:after="0"/>
              <w:rPr>
                <w:sz w:val="20"/>
                <w:szCs w:val="20"/>
                <w:color w:val="auto"/>
              </w:rPr>
            </w:pPr>
            <w:r>
              <w:rPr>
                <w:rFonts w:ascii="Arial" w:cs="Arial" w:eastAsia="Arial" w:hAnsi="Arial"/>
                <w:sz w:val="14"/>
                <w:szCs w:val="14"/>
                <w:color w:val="auto"/>
              </w:rPr>
              <w:t>Total assets</w:t>
            </w: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3,714,354</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3,732,894</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3,599,160</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3,542,666</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3,584,532</w:t>
            </w:r>
          </w:p>
        </w:tc>
        <w:tc>
          <w:tcPr>
            <w:tcW w:w="120" w:type="dxa"/>
            <w:vAlign w:val="bottom"/>
            <w:shd w:val="clear" w:color="auto" w:fill="CCEEFF"/>
          </w:tcPr>
          <w:p>
            <w:pPr>
              <w:spacing w:after="0"/>
              <w:rPr>
                <w:sz w:val="14"/>
                <w:szCs w:val="14"/>
                <w:color w:val="auto"/>
              </w:rPr>
            </w:pPr>
          </w:p>
        </w:tc>
      </w:tr>
      <w:tr>
        <w:trPr>
          <w:trHeight w:val="172"/>
        </w:trPr>
        <w:tc>
          <w:tcPr>
            <w:tcW w:w="4020" w:type="dxa"/>
            <w:vAlign w:val="bottom"/>
          </w:tcPr>
          <w:p>
            <w:pPr>
              <w:spacing w:after="0"/>
              <w:rPr>
                <w:sz w:val="20"/>
                <w:szCs w:val="20"/>
                <w:color w:val="auto"/>
              </w:rPr>
            </w:pPr>
            <w:r>
              <w:rPr>
                <w:rFonts w:ascii="Arial" w:cs="Arial" w:eastAsia="Arial" w:hAnsi="Arial"/>
                <w:sz w:val="14"/>
                <w:szCs w:val="14"/>
                <w:color w:val="auto"/>
              </w:rPr>
              <w:t>Interest-bearing deposits</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2,159,554</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2,193,427</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2,057,029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2,037,743</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2,006,984</w:t>
            </w:r>
          </w:p>
        </w:tc>
        <w:tc>
          <w:tcPr>
            <w:tcW w:w="120" w:type="dxa"/>
            <w:vAlign w:val="bottom"/>
          </w:tcPr>
          <w:p>
            <w:pPr>
              <w:spacing w:after="0"/>
              <w:rPr>
                <w:sz w:val="14"/>
                <w:szCs w:val="14"/>
                <w:color w:val="auto"/>
              </w:rPr>
            </w:pPr>
          </w:p>
        </w:tc>
      </w:tr>
      <w:tr>
        <w:trPr>
          <w:trHeight w:val="172"/>
        </w:trPr>
        <w:tc>
          <w:tcPr>
            <w:tcW w:w="4020" w:type="dxa"/>
            <w:vAlign w:val="bottom"/>
            <w:shd w:val="clear" w:color="auto" w:fill="CCEEFF"/>
          </w:tcPr>
          <w:p>
            <w:pPr>
              <w:spacing w:after="0"/>
              <w:rPr>
                <w:sz w:val="20"/>
                <w:szCs w:val="20"/>
                <w:color w:val="auto"/>
              </w:rPr>
            </w:pPr>
            <w:r>
              <w:rPr>
                <w:rFonts w:ascii="Arial" w:cs="Arial" w:eastAsia="Arial" w:hAnsi="Arial"/>
                <w:sz w:val="14"/>
                <w:szCs w:val="14"/>
                <w:color w:val="auto"/>
              </w:rPr>
              <w:t>Noninterest-bearing deposits</w:t>
            </w: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998,941</w:t>
            </w: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962,205</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917,322</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906,059</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940,853</w:t>
            </w:r>
          </w:p>
        </w:tc>
        <w:tc>
          <w:tcPr>
            <w:tcW w:w="120" w:type="dxa"/>
            <w:vAlign w:val="bottom"/>
            <w:shd w:val="clear" w:color="auto" w:fill="CCEEFF"/>
          </w:tcPr>
          <w:p>
            <w:pPr>
              <w:spacing w:after="0"/>
              <w:rPr>
                <w:sz w:val="14"/>
                <w:szCs w:val="14"/>
                <w:color w:val="auto"/>
              </w:rPr>
            </w:pPr>
          </w:p>
        </w:tc>
      </w:tr>
      <w:tr>
        <w:trPr>
          <w:trHeight w:val="172"/>
        </w:trPr>
        <w:tc>
          <w:tcPr>
            <w:tcW w:w="4020" w:type="dxa"/>
            <w:vAlign w:val="bottom"/>
          </w:tcPr>
          <w:p>
            <w:pPr>
              <w:spacing w:after="0"/>
              <w:rPr>
                <w:sz w:val="20"/>
                <w:szCs w:val="20"/>
                <w:color w:val="auto"/>
              </w:rPr>
            </w:pPr>
            <w:r>
              <w:rPr>
                <w:rFonts w:ascii="Arial" w:cs="Arial" w:eastAsia="Arial" w:hAnsi="Arial"/>
                <w:sz w:val="14"/>
                <w:szCs w:val="14"/>
                <w:color w:val="auto"/>
              </w:rPr>
              <w:t>Total deposits</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3,158,495</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3,155,632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2,974,351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2,943,802</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2,947,837</w:t>
            </w:r>
          </w:p>
        </w:tc>
        <w:tc>
          <w:tcPr>
            <w:tcW w:w="120" w:type="dxa"/>
            <w:vAlign w:val="bottom"/>
          </w:tcPr>
          <w:p>
            <w:pPr>
              <w:spacing w:after="0"/>
              <w:rPr>
                <w:sz w:val="14"/>
                <w:szCs w:val="14"/>
                <w:color w:val="auto"/>
              </w:rPr>
            </w:pPr>
          </w:p>
        </w:tc>
      </w:tr>
      <w:tr>
        <w:trPr>
          <w:trHeight w:val="172"/>
        </w:trPr>
        <w:tc>
          <w:tcPr>
            <w:tcW w:w="4020" w:type="dxa"/>
            <w:vAlign w:val="bottom"/>
            <w:shd w:val="clear" w:color="auto" w:fill="CCEEFF"/>
          </w:tcPr>
          <w:p>
            <w:pPr>
              <w:spacing w:after="0"/>
              <w:rPr>
                <w:sz w:val="20"/>
                <w:szCs w:val="20"/>
                <w:color w:val="auto"/>
              </w:rPr>
            </w:pPr>
            <w:r>
              <w:rPr>
                <w:rFonts w:ascii="Arial" w:cs="Arial" w:eastAsia="Arial" w:hAnsi="Arial"/>
                <w:sz w:val="14"/>
                <w:szCs w:val="14"/>
                <w:color w:val="auto"/>
              </w:rPr>
              <w:t>Borrowings</w:t>
            </w: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125,965</w:t>
            </w: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164,553</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223,532</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204,704</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252,430</w:t>
            </w:r>
          </w:p>
        </w:tc>
        <w:tc>
          <w:tcPr>
            <w:tcW w:w="120" w:type="dxa"/>
            <w:vAlign w:val="bottom"/>
            <w:shd w:val="clear" w:color="auto" w:fill="CCEEFF"/>
          </w:tcPr>
          <w:p>
            <w:pPr>
              <w:spacing w:after="0"/>
              <w:rPr>
                <w:sz w:val="14"/>
                <w:szCs w:val="14"/>
                <w:color w:val="auto"/>
              </w:rPr>
            </w:pPr>
          </w:p>
        </w:tc>
      </w:tr>
      <w:tr>
        <w:trPr>
          <w:trHeight w:val="172"/>
        </w:trPr>
        <w:tc>
          <w:tcPr>
            <w:tcW w:w="4020" w:type="dxa"/>
            <w:vAlign w:val="bottom"/>
          </w:tcPr>
          <w:p>
            <w:pPr>
              <w:spacing w:after="0"/>
              <w:rPr>
                <w:sz w:val="20"/>
                <w:szCs w:val="20"/>
                <w:color w:val="auto"/>
              </w:rPr>
            </w:pPr>
            <w:r>
              <w:rPr>
                <w:rFonts w:ascii="Arial" w:cs="Arial" w:eastAsia="Arial" w:hAnsi="Arial"/>
                <w:sz w:val="14"/>
                <w:szCs w:val="14"/>
                <w:color w:val="auto"/>
              </w:rPr>
              <w:t>Total stockholders’ equity</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394,254</w:t>
            </w:r>
          </w:p>
        </w:tc>
        <w:tc>
          <w:tcPr>
            <w:tcW w:w="16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374,671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370,048</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352,568</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336,534</w:t>
            </w:r>
          </w:p>
        </w:tc>
        <w:tc>
          <w:tcPr>
            <w:tcW w:w="120" w:type="dxa"/>
            <w:vAlign w:val="bottom"/>
          </w:tcPr>
          <w:p>
            <w:pPr>
              <w:spacing w:after="0"/>
              <w:rPr>
                <w:sz w:val="14"/>
                <w:szCs w:val="14"/>
                <w:color w:val="auto"/>
              </w:rPr>
            </w:pPr>
          </w:p>
        </w:tc>
      </w:tr>
      <w:tr>
        <w:trPr>
          <w:trHeight w:val="172"/>
        </w:trPr>
        <w:tc>
          <w:tcPr>
            <w:tcW w:w="40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Summary Performance Ratios:</w:t>
            </w: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72"/>
        </w:trPr>
        <w:tc>
          <w:tcPr>
            <w:tcW w:w="4020" w:type="dxa"/>
            <w:vAlign w:val="bottom"/>
          </w:tcPr>
          <w:p>
            <w:pPr>
              <w:spacing w:after="0"/>
              <w:rPr>
                <w:sz w:val="20"/>
                <w:szCs w:val="20"/>
                <w:color w:val="auto"/>
              </w:rPr>
            </w:pPr>
            <w:r>
              <w:rPr>
                <w:rFonts w:ascii="Arial" w:cs="Arial" w:eastAsia="Arial" w:hAnsi="Arial"/>
                <w:sz w:val="14"/>
                <w:szCs w:val="14"/>
                <w:color w:val="auto"/>
              </w:rPr>
              <w:t>Return on average assets</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1.46%</w:t>
            </w:r>
          </w:p>
        </w:tc>
        <w:tc>
          <w:tcPr>
            <w:tcW w:w="16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1.66%</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1.76%</w:t>
            </w:r>
          </w:p>
        </w:tc>
        <w:tc>
          <w:tcPr>
            <w:tcW w:w="100" w:type="dxa"/>
            <w:vAlign w:val="bottom"/>
          </w:tcPr>
          <w:p>
            <w:pPr>
              <w:spacing w:after="0"/>
              <w:rPr>
                <w:sz w:val="14"/>
                <w:szCs w:val="14"/>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4"/>
                <w:szCs w:val="14"/>
                <w:color w:val="auto"/>
              </w:rPr>
              <w:t>1.88%</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0.64%</w:t>
            </w:r>
          </w:p>
        </w:tc>
      </w:tr>
      <w:tr>
        <w:trPr>
          <w:trHeight w:val="172"/>
        </w:trPr>
        <w:tc>
          <w:tcPr>
            <w:tcW w:w="4020" w:type="dxa"/>
            <w:vAlign w:val="bottom"/>
            <w:shd w:val="clear" w:color="auto" w:fill="CCEEFF"/>
          </w:tcPr>
          <w:p>
            <w:pPr>
              <w:spacing w:after="0"/>
              <w:rPr>
                <w:sz w:val="20"/>
                <w:szCs w:val="20"/>
                <w:color w:val="auto"/>
              </w:rPr>
            </w:pPr>
            <w:r>
              <w:rPr>
                <w:rFonts w:ascii="Arial" w:cs="Arial" w:eastAsia="Arial" w:hAnsi="Arial"/>
                <w:sz w:val="14"/>
                <w:szCs w:val="14"/>
                <w:color w:val="auto"/>
              </w:rPr>
              <w:t>Return on average equity</w:t>
            </w: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14.23%</w:t>
            </w: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16.51%</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17.53%</w:t>
            </w: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19.32%</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6.81%</w:t>
            </w:r>
          </w:p>
        </w:tc>
      </w:tr>
      <w:tr>
        <w:trPr>
          <w:trHeight w:val="172"/>
        </w:trPr>
        <w:tc>
          <w:tcPr>
            <w:tcW w:w="4020" w:type="dxa"/>
            <w:vAlign w:val="bottom"/>
          </w:tcPr>
          <w:p>
            <w:pPr>
              <w:spacing w:after="0" w:line="173" w:lineRule="exact"/>
              <w:rPr>
                <w:sz w:val="20"/>
                <w:szCs w:val="20"/>
                <w:color w:val="auto"/>
              </w:rPr>
            </w:pPr>
            <w:r>
              <w:rPr>
                <w:rFonts w:ascii="Arial" w:cs="Arial" w:eastAsia="Arial" w:hAnsi="Arial"/>
                <w:sz w:val="12"/>
                <w:szCs w:val="12"/>
                <w:color w:val="auto"/>
              </w:rPr>
              <w:t xml:space="preserve">Net interest margin </w:t>
            </w:r>
            <w:r>
              <w:rPr>
                <w:rFonts w:ascii="Arial" w:cs="Arial" w:eastAsia="Arial" w:hAnsi="Arial"/>
                <w:sz w:val="19"/>
                <w:szCs w:val="19"/>
                <w:color w:val="auto"/>
                <w:vertAlign w:val="superscript"/>
              </w:rPr>
              <w:t>(1)</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3.42%</w:t>
            </w:r>
          </w:p>
        </w:tc>
        <w:tc>
          <w:tcPr>
            <w:tcW w:w="16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3.52%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3.64%</w:t>
            </w:r>
          </w:p>
        </w:tc>
        <w:tc>
          <w:tcPr>
            <w:tcW w:w="100" w:type="dxa"/>
            <w:vAlign w:val="bottom"/>
          </w:tcPr>
          <w:p>
            <w:pPr>
              <w:spacing w:after="0"/>
              <w:rPr>
                <w:sz w:val="14"/>
                <w:szCs w:val="14"/>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4"/>
                <w:szCs w:val="14"/>
                <w:color w:val="auto"/>
              </w:rPr>
              <w:t>3.82%</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3.79%</w:t>
            </w:r>
          </w:p>
        </w:tc>
      </w:tr>
      <w:tr>
        <w:trPr>
          <w:trHeight w:val="172"/>
        </w:trPr>
        <w:tc>
          <w:tcPr>
            <w:tcW w:w="4020" w:type="dxa"/>
            <w:vAlign w:val="bottom"/>
            <w:shd w:val="clear" w:color="auto" w:fill="CCEEFF"/>
          </w:tcPr>
          <w:p>
            <w:pPr>
              <w:spacing w:after="0"/>
              <w:rPr>
                <w:sz w:val="20"/>
                <w:szCs w:val="20"/>
                <w:color w:val="auto"/>
              </w:rPr>
            </w:pPr>
            <w:r>
              <w:rPr>
                <w:rFonts w:ascii="Arial" w:cs="Arial" w:eastAsia="Arial" w:hAnsi="Arial"/>
                <w:sz w:val="14"/>
                <w:szCs w:val="14"/>
                <w:color w:val="auto"/>
              </w:rPr>
              <w:t>Yield on loans</w:t>
            </w: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4.97%</w:t>
            </w: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5.07%</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5.10%</w:t>
            </w: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5.08%</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5.06%</w:t>
            </w:r>
          </w:p>
        </w:tc>
      </w:tr>
      <w:tr>
        <w:trPr>
          <w:trHeight w:val="172"/>
        </w:trPr>
        <w:tc>
          <w:tcPr>
            <w:tcW w:w="4020" w:type="dxa"/>
            <w:vAlign w:val="bottom"/>
          </w:tcPr>
          <w:p>
            <w:pPr>
              <w:spacing w:after="0"/>
              <w:rPr>
                <w:sz w:val="20"/>
                <w:szCs w:val="20"/>
                <w:color w:val="auto"/>
              </w:rPr>
            </w:pPr>
            <w:r>
              <w:rPr>
                <w:rFonts w:ascii="Arial" w:cs="Arial" w:eastAsia="Arial" w:hAnsi="Arial"/>
                <w:sz w:val="14"/>
                <w:szCs w:val="14"/>
                <w:color w:val="auto"/>
              </w:rPr>
              <w:t>Cost of interest-bearing deposits</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0.40%</w:t>
            </w:r>
          </w:p>
        </w:tc>
        <w:tc>
          <w:tcPr>
            <w:tcW w:w="16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0.41%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0.45%</w:t>
            </w:r>
          </w:p>
        </w:tc>
        <w:tc>
          <w:tcPr>
            <w:tcW w:w="100" w:type="dxa"/>
            <w:vAlign w:val="bottom"/>
          </w:tcPr>
          <w:p>
            <w:pPr>
              <w:spacing w:after="0"/>
              <w:rPr>
                <w:sz w:val="14"/>
                <w:szCs w:val="14"/>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4"/>
                <w:szCs w:val="14"/>
                <w:color w:val="auto"/>
              </w:rPr>
              <w:t>0.50%</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0.56%</w:t>
            </w:r>
          </w:p>
        </w:tc>
      </w:tr>
      <w:tr>
        <w:trPr>
          <w:trHeight w:val="172"/>
        </w:trPr>
        <w:tc>
          <w:tcPr>
            <w:tcW w:w="4020" w:type="dxa"/>
            <w:vAlign w:val="bottom"/>
            <w:shd w:val="clear" w:color="auto" w:fill="CCEEFF"/>
          </w:tcPr>
          <w:p>
            <w:pPr>
              <w:spacing w:after="0"/>
              <w:rPr>
                <w:sz w:val="20"/>
                <w:szCs w:val="20"/>
                <w:color w:val="auto"/>
              </w:rPr>
            </w:pPr>
            <w:r>
              <w:rPr>
                <w:rFonts w:ascii="Arial" w:cs="Arial" w:eastAsia="Arial" w:hAnsi="Arial"/>
                <w:sz w:val="14"/>
                <w:szCs w:val="14"/>
                <w:color w:val="auto"/>
              </w:rPr>
              <w:t>Efficiency ratio</w:t>
            </w: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70.52%</w:t>
            </w: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65.76%</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64.19%</w:t>
            </w: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56.90%</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63.28%</w:t>
            </w:r>
          </w:p>
        </w:tc>
      </w:tr>
      <w:tr>
        <w:trPr>
          <w:trHeight w:val="172"/>
        </w:trPr>
        <w:tc>
          <w:tcPr>
            <w:tcW w:w="4020" w:type="dxa"/>
            <w:vAlign w:val="bottom"/>
          </w:tcPr>
          <w:p>
            <w:pPr>
              <w:spacing w:after="0"/>
              <w:rPr>
                <w:sz w:val="20"/>
                <w:szCs w:val="20"/>
                <w:color w:val="auto"/>
              </w:rPr>
            </w:pPr>
            <w:r>
              <w:rPr>
                <w:rFonts w:ascii="Arial" w:cs="Arial" w:eastAsia="Arial" w:hAnsi="Arial"/>
                <w:sz w:val="14"/>
                <w:szCs w:val="14"/>
                <w:b w:val="1"/>
                <w:bCs w:val="1"/>
                <w:color w:val="auto"/>
              </w:rPr>
              <w:t>Summary Credit Quality Data:</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2"/>
        </w:trPr>
        <w:tc>
          <w:tcPr>
            <w:tcW w:w="4020" w:type="dxa"/>
            <w:vAlign w:val="bottom"/>
            <w:shd w:val="clear" w:color="auto" w:fill="CCEEFF"/>
          </w:tcPr>
          <w:p>
            <w:pPr>
              <w:spacing w:after="0"/>
              <w:rPr>
                <w:sz w:val="20"/>
                <w:szCs w:val="20"/>
                <w:color w:val="auto"/>
              </w:rPr>
            </w:pPr>
            <w:r>
              <w:rPr>
                <w:rFonts w:ascii="Arial" w:cs="Arial" w:eastAsia="Arial" w:hAnsi="Arial"/>
                <w:sz w:val="14"/>
                <w:szCs w:val="14"/>
                <w:color w:val="auto"/>
              </w:rPr>
              <w:t>Nonperforming loans</w:t>
            </w: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12,538</w:t>
            </w: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14,316</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14,964</w:t>
            </w: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15,006</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10,472</w:t>
            </w:r>
          </w:p>
        </w:tc>
      </w:tr>
      <w:tr>
        <w:trPr>
          <w:trHeight w:val="172"/>
        </w:trPr>
        <w:tc>
          <w:tcPr>
            <w:tcW w:w="4020" w:type="dxa"/>
            <w:vAlign w:val="bottom"/>
          </w:tcPr>
          <w:p>
            <w:pPr>
              <w:spacing w:after="0"/>
              <w:rPr>
                <w:sz w:val="20"/>
                <w:szCs w:val="20"/>
                <w:color w:val="auto"/>
              </w:rPr>
            </w:pPr>
            <w:r>
              <w:rPr>
                <w:rFonts w:ascii="Arial" w:cs="Arial" w:eastAsia="Arial" w:hAnsi="Arial"/>
                <w:sz w:val="14"/>
                <w:szCs w:val="14"/>
                <w:color w:val="auto"/>
              </w:rPr>
              <w:t>Nonperforming loans to total loans held for investment</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0.54%</w:t>
            </w:r>
          </w:p>
        </w:tc>
        <w:tc>
          <w:tcPr>
            <w:tcW w:w="16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0.64%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0.67%</w:t>
            </w:r>
          </w:p>
        </w:tc>
        <w:tc>
          <w:tcPr>
            <w:tcW w:w="100" w:type="dxa"/>
            <w:vAlign w:val="bottom"/>
          </w:tcPr>
          <w:p>
            <w:pPr>
              <w:spacing w:after="0"/>
              <w:rPr>
                <w:sz w:val="14"/>
                <w:szCs w:val="14"/>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4"/>
                <w:szCs w:val="14"/>
                <w:color w:val="auto"/>
              </w:rPr>
              <w:t>0.66%</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0.45%</w:t>
            </w:r>
          </w:p>
        </w:tc>
      </w:tr>
      <w:tr>
        <w:trPr>
          <w:trHeight w:val="172"/>
        </w:trPr>
        <w:tc>
          <w:tcPr>
            <w:tcW w:w="4020" w:type="dxa"/>
            <w:vAlign w:val="bottom"/>
            <w:shd w:val="clear" w:color="auto" w:fill="CCEEFF"/>
          </w:tcPr>
          <w:p>
            <w:pPr>
              <w:spacing w:after="0"/>
              <w:rPr>
                <w:sz w:val="20"/>
                <w:szCs w:val="20"/>
                <w:color w:val="auto"/>
              </w:rPr>
            </w:pPr>
            <w:r>
              <w:rPr>
                <w:rFonts w:ascii="Arial" w:cs="Arial" w:eastAsia="Arial" w:hAnsi="Arial"/>
                <w:sz w:val="14"/>
                <w:szCs w:val="14"/>
                <w:color w:val="auto"/>
              </w:rPr>
              <w:t>Other real estate owned</w:t>
            </w: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1,146</w:t>
            </w: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1,377</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1,353</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1,336</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1,335</w:t>
            </w:r>
          </w:p>
        </w:tc>
        <w:tc>
          <w:tcPr>
            <w:tcW w:w="120" w:type="dxa"/>
            <w:vAlign w:val="bottom"/>
            <w:shd w:val="clear" w:color="auto" w:fill="CCEEFF"/>
          </w:tcPr>
          <w:p>
            <w:pPr>
              <w:spacing w:after="0"/>
              <w:rPr>
                <w:sz w:val="14"/>
                <w:szCs w:val="14"/>
                <w:color w:val="auto"/>
              </w:rPr>
            </w:pPr>
          </w:p>
        </w:tc>
      </w:tr>
      <w:tr>
        <w:trPr>
          <w:trHeight w:val="172"/>
        </w:trPr>
        <w:tc>
          <w:tcPr>
            <w:tcW w:w="4020" w:type="dxa"/>
            <w:vAlign w:val="bottom"/>
          </w:tcPr>
          <w:p>
            <w:pPr>
              <w:spacing w:after="0"/>
              <w:rPr>
                <w:sz w:val="20"/>
                <w:szCs w:val="20"/>
                <w:color w:val="auto"/>
              </w:rPr>
            </w:pPr>
            <w:r>
              <w:rPr>
                <w:rFonts w:ascii="Arial" w:cs="Arial" w:eastAsia="Arial" w:hAnsi="Arial"/>
                <w:sz w:val="14"/>
                <w:szCs w:val="14"/>
                <w:color w:val="auto"/>
              </w:rPr>
              <w:t>Nonperforming assets to total assets</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0.37%</w:t>
            </w:r>
          </w:p>
        </w:tc>
        <w:tc>
          <w:tcPr>
            <w:tcW w:w="16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0.42%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0.45%</w:t>
            </w:r>
          </w:p>
        </w:tc>
        <w:tc>
          <w:tcPr>
            <w:tcW w:w="100" w:type="dxa"/>
            <w:vAlign w:val="bottom"/>
          </w:tcPr>
          <w:p>
            <w:pPr>
              <w:spacing w:after="0"/>
              <w:rPr>
                <w:sz w:val="14"/>
                <w:szCs w:val="14"/>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4"/>
                <w:szCs w:val="14"/>
                <w:color w:val="auto"/>
              </w:rPr>
              <w:t>0.46%</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0.33%</w:t>
            </w:r>
          </w:p>
        </w:tc>
      </w:tr>
      <w:tr>
        <w:trPr>
          <w:trHeight w:val="172"/>
        </w:trPr>
        <w:tc>
          <w:tcPr>
            <w:tcW w:w="4020" w:type="dxa"/>
            <w:vAlign w:val="bottom"/>
            <w:shd w:val="clear" w:color="auto" w:fill="CCEEFF"/>
          </w:tcPr>
          <w:p>
            <w:pPr>
              <w:spacing w:after="0"/>
              <w:rPr>
                <w:sz w:val="20"/>
                <w:szCs w:val="20"/>
                <w:color w:val="auto"/>
              </w:rPr>
            </w:pPr>
            <w:r>
              <w:rPr>
                <w:rFonts w:ascii="Arial" w:cs="Arial" w:eastAsia="Arial" w:hAnsi="Arial"/>
                <w:sz w:val="14"/>
                <w:szCs w:val="14"/>
                <w:color w:val="auto"/>
              </w:rPr>
              <w:t>Allowance for loan losses to total loans held for investment</w:t>
            </w: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1.87%</w:t>
            </w: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2.01%</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2.05%</w:t>
            </w: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2.01%</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1.74%</w:t>
            </w:r>
          </w:p>
        </w:tc>
      </w:tr>
      <w:tr>
        <w:trPr>
          <w:trHeight w:val="182"/>
        </w:trPr>
        <w:tc>
          <w:tcPr>
            <w:tcW w:w="4020" w:type="dxa"/>
            <w:vAlign w:val="bottom"/>
          </w:tcPr>
          <w:p>
            <w:pPr>
              <w:spacing w:after="0"/>
              <w:rPr>
                <w:sz w:val="20"/>
                <w:szCs w:val="20"/>
                <w:color w:val="auto"/>
              </w:rPr>
            </w:pPr>
            <w:r>
              <w:rPr>
                <w:rFonts w:ascii="Arial" w:cs="Arial" w:eastAsia="Arial" w:hAnsi="Arial"/>
                <w:sz w:val="14"/>
                <w:szCs w:val="14"/>
                <w:color w:val="auto"/>
              </w:rPr>
              <w:t>Net charge-offs to average loans outstanding (annualized)</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0.01%</w:t>
            </w:r>
          </w:p>
        </w:tc>
        <w:tc>
          <w:tcPr>
            <w:tcW w:w="16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0.11%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0.11%</w:t>
            </w:r>
          </w:p>
        </w:tc>
        <w:tc>
          <w:tcPr>
            <w:tcW w:w="100" w:type="dxa"/>
            <w:vAlign w:val="bottom"/>
          </w:tcPr>
          <w:p>
            <w:pPr>
              <w:spacing w:after="0"/>
              <w:rPr>
                <w:sz w:val="15"/>
                <w:szCs w:val="15"/>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4"/>
                <w:szCs w:val="14"/>
                <w:color w:val="auto"/>
              </w:rPr>
              <w:t>0.10%</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0.27%</w:t>
            </w:r>
          </w:p>
        </w:tc>
      </w:tr>
      <w:tr>
        <w:trPr>
          <w:trHeight w:val="325"/>
        </w:trPr>
        <w:tc>
          <w:tcPr>
            <w:tcW w:w="40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125" w:right="31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8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2"/>
              </w:rPr>
              <w:t>As of and for the quarter ended</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2"/>
        </w:trPr>
        <w:tc>
          <w:tcPr>
            <w:tcW w:w="4620" w:type="dxa"/>
            <w:vAlign w:val="bottom"/>
          </w:tcPr>
          <w:p>
            <w:pPr>
              <w:spacing w:after="0"/>
              <w:rPr>
                <w:sz w:val="14"/>
                <w:szCs w:val="14"/>
                <w:color w:val="auto"/>
              </w:rPr>
            </w:pPr>
          </w:p>
        </w:tc>
        <w:tc>
          <w:tcPr>
            <w:tcW w:w="780" w:type="dxa"/>
            <w:vAlign w:val="bottom"/>
          </w:tcPr>
          <w:p>
            <w:pPr>
              <w:ind w:left="320"/>
              <w:spacing w:after="0"/>
              <w:rPr>
                <w:sz w:val="20"/>
                <w:szCs w:val="20"/>
                <w:color w:val="auto"/>
              </w:rPr>
            </w:pPr>
            <w:r>
              <w:rPr>
                <w:rFonts w:ascii="Arial" w:cs="Arial" w:eastAsia="Arial" w:hAnsi="Arial"/>
                <w:sz w:val="14"/>
                <w:szCs w:val="14"/>
                <w:b w:val="1"/>
                <w:bCs w:val="1"/>
                <w:color w:val="auto"/>
                <w:w w:val="84"/>
              </w:rPr>
              <w:t>June 30</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March 31,</w:t>
            </w: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December 31,</w:t>
            </w: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June 30,</w:t>
            </w:r>
          </w:p>
        </w:tc>
      </w:tr>
      <w:tr>
        <w:trPr>
          <w:trHeight w:val="188"/>
        </w:trPr>
        <w:tc>
          <w:tcPr>
            <w:tcW w:w="5400" w:type="dxa"/>
            <w:vAlign w:val="bottom"/>
            <w:gridSpan w:val="2"/>
          </w:tcPr>
          <w:p>
            <w:pPr>
              <w:ind w:left="5020"/>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Pr>
          <w:p>
            <w:pPr>
              <w:spacing w:after="0"/>
              <w:rPr>
                <w:sz w:val="16"/>
                <w:szCs w:val="16"/>
                <w:color w:val="auto"/>
              </w:rPr>
            </w:pPr>
          </w:p>
        </w:tc>
        <w:tc>
          <w:tcPr>
            <w:tcW w:w="1120" w:type="dxa"/>
            <w:vAlign w:val="bottom"/>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6"/>
                <w:szCs w:val="16"/>
                <w:color w:val="auto"/>
              </w:rPr>
            </w:pPr>
          </w:p>
        </w:tc>
        <w:tc>
          <w:tcPr>
            <w:tcW w:w="1120" w:type="dxa"/>
            <w:vAlign w:val="bottom"/>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r>
      <w:tr>
        <w:trPr>
          <w:trHeight w:val="171"/>
        </w:trPr>
        <w:tc>
          <w:tcPr>
            <w:tcW w:w="4620" w:type="dxa"/>
            <w:vAlign w:val="bottom"/>
          </w:tcPr>
          <w:p>
            <w:pPr>
              <w:spacing w:after="0"/>
              <w:rPr>
                <w:sz w:val="20"/>
                <w:szCs w:val="20"/>
                <w:color w:val="auto"/>
              </w:rPr>
            </w:pPr>
            <w:r>
              <w:rPr>
                <w:rFonts w:ascii="Arial" w:cs="Arial" w:eastAsia="Arial" w:hAnsi="Arial"/>
                <w:sz w:val="14"/>
                <w:szCs w:val="14"/>
                <w:b w:val="1"/>
                <w:bCs w:val="1"/>
                <w:color w:val="auto"/>
              </w:rPr>
              <w:t>Capital Ratios:</w:t>
            </w:r>
          </w:p>
        </w:tc>
        <w:tc>
          <w:tcPr>
            <w:tcW w:w="78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73"/>
        </w:trPr>
        <w:tc>
          <w:tcPr>
            <w:tcW w:w="5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stockholders’ equity to total assets</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88"/>
              </w:rPr>
              <w:t>10.61%</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10.04%</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10.28%</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9.95%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9.39%</w:t>
            </w:r>
          </w:p>
        </w:tc>
      </w:tr>
      <w:tr>
        <w:trPr>
          <w:trHeight w:val="172"/>
        </w:trPr>
        <w:tc>
          <w:tcPr>
            <w:tcW w:w="5400" w:type="dxa"/>
            <w:vAlign w:val="bottom"/>
            <w:gridSpan w:val="2"/>
          </w:tcPr>
          <w:p>
            <w:pPr>
              <w:spacing w:after="0"/>
              <w:rPr>
                <w:sz w:val="20"/>
                <w:szCs w:val="20"/>
                <w:color w:val="auto"/>
              </w:rPr>
            </w:pPr>
            <w:r>
              <w:rPr>
                <w:rFonts w:ascii="Arial" w:cs="Arial" w:eastAsia="Arial" w:hAnsi="Arial"/>
                <w:sz w:val="14"/>
                <w:szCs w:val="14"/>
                <w:color w:val="auto"/>
              </w:rPr>
              <w:t>Tangible common equity to tangible assets</w:t>
            </w: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9.98%</w:t>
            </w:r>
          </w:p>
        </w:tc>
        <w:tc>
          <w:tcPr>
            <w:tcW w:w="1360" w:type="dxa"/>
            <w:vAlign w:val="bottom"/>
            <w:gridSpan w:val="2"/>
          </w:tcPr>
          <w:p>
            <w:pPr>
              <w:jc w:val="right"/>
              <w:ind w:right="120"/>
              <w:spacing w:after="0"/>
              <w:rPr>
                <w:sz w:val="20"/>
                <w:szCs w:val="20"/>
                <w:color w:val="auto"/>
              </w:rPr>
            </w:pPr>
            <w:r>
              <w:rPr>
                <w:rFonts w:ascii="Arial" w:cs="Arial" w:eastAsia="Arial" w:hAnsi="Arial"/>
                <w:sz w:val="14"/>
                <w:szCs w:val="14"/>
                <w:color w:val="auto"/>
              </w:rPr>
              <w:t>9.39%</w:t>
            </w:r>
          </w:p>
        </w:tc>
        <w:tc>
          <w:tcPr>
            <w:tcW w:w="1360" w:type="dxa"/>
            <w:vAlign w:val="bottom"/>
            <w:gridSpan w:val="2"/>
          </w:tcPr>
          <w:p>
            <w:pPr>
              <w:jc w:val="right"/>
              <w:ind w:right="120"/>
              <w:spacing w:after="0"/>
              <w:rPr>
                <w:sz w:val="20"/>
                <w:szCs w:val="20"/>
                <w:color w:val="auto"/>
              </w:rPr>
            </w:pPr>
            <w:r>
              <w:rPr>
                <w:rFonts w:ascii="Arial" w:cs="Arial" w:eastAsia="Arial" w:hAnsi="Arial"/>
                <w:sz w:val="14"/>
                <w:szCs w:val="14"/>
                <w:color w:val="auto"/>
              </w:rPr>
              <w:t>9.60%</w:t>
            </w:r>
          </w:p>
        </w:tc>
        <w:tc>
          <w:tcPr>
            <w:tcW w:w="1360" w:type="dxa"/>
            <w:vAlign w:val="bottom"/>
            <w:gridSpan w:val="2"/>
          </w:tcPr>
          <w:p>
            <w:pPr>
              <w:jc w:val="right"/>
              <w:ind w:right="120"/>
              <w:spacing w:after="0"/>
              <w:rPr>
                <w:sz w:val="20"/>
                <w:szCs w:val="20"/>
                <w:color w:val="auto"/>
              </w:rPr>
            </w:pPr>
            <w:r>
              <w:rPr>
                <w:rFonts w:ascii="Arial" w:cs="Arial" w:eastAsia="Arial" w:hAnsi="Arial"/>
                <w:sz w:val="14"/>
                <w:szCs w:val="14"/>
                <w:color w:val="auto"/>
              </w:rPr>
              <w:t>9.25%</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8.66%</w:t>
            </w:r>
          </w:p>
        </w:tc>
      </w:tr>
      <w:tr>
        <w:trPr>
          <w:trHeight w:val="172"/>
        </w:trPr>
        <w:tc>
          <w:tcPr>
            <w:tcW w:w="5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Common equity tier 1 to risk-weighted assets</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88"/>
              </w:rPr>
              <w:t>13.12%</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13.23%</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12.96%</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12.49%</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10.47%</w:t>
            </w:r>
          </w:p>
        </w:tc>
      </w:tr>
      <w:tr>
        <w:trPr>
          <w:trHeight w:val="172"/>
        </w:trPr>
        <w:tc>
          <w:tcPr>
            <w:tcW w:w="5400" w:type="dxa"/>
            <w:vAlign w:val="bottom"/>
            <w:gridSpan w:val="2"/>
          </w:tcPr>
          <w:p>
            <w:pPr>
              <w:spacing w:after="0"/>
              <w:rPr>
                <w:sz w:val="20"/>
                <w:szCs w:val="20"/>
                <w:color w:val="auto"/>
              </w:rPr>
            </w:pPr>
            <w:r>
              <w:rPr>
                <w:rFonts w:ascii="Arial" w:cs="Arial" w:eastAsia="Arial" w:hAnsi="Arial"/>
                <w:sz w:val="14"/>
                <w:szCs w:val="14"/>
                <w:color w:val="auto"/>
              </w:rPr>
              <w:t>Tier 1 capital to average assets</w:t>
            </w: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w w:val="88"/>
              </w:rPr>
              <w:t>10.54%</w:t>
            </w:r>
          </w:p>
        </w:tc>
        <w:tc>
          <w:tcPr>
            <w:tcW w:w="1360" w:type="dxa"/>
            <w:vAlign w:val="bottom"/>
            <w:gridSpan w:val="2"/>
          </w:tcPr>
          <w:p>
            <w:pPr>
              <w:jc w:val="right"/>
              <w:ind w:right="120"/>
              <w:spacing w:after="0"/>
              <w:rPr>
                <w:sz w:val="20"/>
                <w:szCs w:val="20"/>
                <w:color w:val="auto"/>
              </w:rPr>
            </w:pPr>
            <w:r>
              <w:rPr>
                <w:rFonts w:ascii="Arial" w:cs="Arial" w:eastAsia="Arial" w:hAnsi="Arial"/>
                <w:sz w:val="14"/>
                <w:szCs w:val="14"/>
                <w:color w:val="auto"/>
              </w:rPr>
              <w:t>10.35%</w:t>
            </w:r>
          </w:p>
        </w:tc>
        <w:tc>
          <w:tcPr>
            <w:tcW w:w="1360" w:type="dxa"/>
            <w:vAlign w:val="bottom"/>
            <w:gridSpan w:val="2"/>
          </w:tcPr>
          <w:p>
            <w:pPr>
              <w:jc w:val="right"/>
              <w:ind w:right="120"/>
              <w:spacing w:after="0"/>
              <w:rPr>
                <w:sz w:val="20"/>
                <w:szCs w:val="20"/>
                <w:color w:val="auto"/>
              </w:rPr>
            </w:pPr>
            <w:r>
              <w:rPr>
                <w:rFonts w:ascii="Arial" w:cs="Arial" w:eastAsia="Arial" w:hAnsi="Arial"/>
                <w:sz w:val="14"/>
                <w:szCs w:val="14"/>
                <w:color w:val="auto"/>
              </w:rPr>
              <w:t>10.24%</w:t>
            </w:r>
          </w:p>
        </w:tc>
        <w:tc>
          <w:tcPr>
            <w:tcW w:w="1360" w:type="dxa"/>
            <w:vAlign w:val="bottom"/>
            <w:gridSpan w:val="2"/>
          </w:tcPr>
          <w:p>
            <w:pPr>
              <w:jc w:val="right"/>
              <w:ind w:right="120"/>
              <w:spacing w:after="0"/>
              <w:rPr>
                <w:sz w:val="20"/>
                <w:szCs w:val="20"/>
                <w:color w:val="auto"/>
              </w:rPr>
            </w:pPr>
            <w:r>
              <w:rPr>
                <w:rFonts w:ascii="Arial" w:cs="Arial" w:eastAsia="Arial" w:hAnsi="Arial"/>
                <w:sz w:val="14"/>
                <w:szCs w:val="14"/>
                <w:color w:val="auto"/>
              </w:rPr>
              <w:t>10.01%</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9.60%</w:t>
            </w:r>
          </w:p>
        </w:tc>
      </w:tr>
      <w:tr>
        <w:trPr>
          <w:trHeight w:val="172"/>
        </w:trPr>
        <w:tc>
          <w:tcPr>
            <w:tcW w:w="5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capital to risk-weighted assets</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88"/>
              </w:rPr>
              <w:t>18.92%</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19.24%</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19.08%</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18.67%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14.32%</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(1) Net interest margin is calculated as the annual net interest income, on a fully tax-equivalent basis, divided by average interest-earning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225425</wp:posOffset>
            </wp:positionV>
            <wp:extent cx="7160260" cy="139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color w:val="auto"/>
        </w:rPr>
        <w:t>South Plains Financial, Inc.</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Average Balances and Yields - (Unaudited)</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(Dollars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June 30, 2021</w:t>
            </w:r>
          </w:p>
        </w:tc>
        <w:tc>
          <w:tcPr>
            <w:tcW w:w="11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June 30, 2020</w:t>
            </w:r>
          </w:p>
        </w:tc>
        <w:tc>
          <w:tcPr>
            <w:tcW w:w="1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ind w:left="240"/>
              <w:spacing w:after="0"/>
              <w:rPr>
                <w:sz w:val="20"/>
                <w:szCs w:val="20"/>
                <w:color w:val="auto"/>
              </w:rPr>
            </w:pPr>
            <w:r>
              <w:rPr>
                <w:rFonts w:ascii="Arial" w:cs="Arial" w:eastAsia="Arial" w:hAnsi="Arial"/>
                <w:sz w:val="14"/>
                <w:szCs w:val="14"/>
                <w:b w:val="1"/>
                <w:bCs w:val="1"/>
                <w:color w:val="auto"/>
              </w:rPr>
              <w:t>Interest</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Interest</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ind w:left="240"/>
              <w:spacing w:after="0"/>
              <w:rPr>
                <w:sz w:val="20"/>
                <w:szCs w:val="20"/>
                <w:color w:val="auto"/>
              </w:rPr>
            </w:pPr>
            <w:r>
              <w:rPr>
                <w:rFonts w:ascii="Arial" w:cs="Arial" w:eastAsia="Arial" w:hAnsi="Arial"/>
                <w:sz w:val="14"/>
                <w:szCs w:val="14"/>
                <w:b w:val="1"/>
                <w:bCs w:val="1"/>
                <w:color w:val="auto"/>
              </w:rPr>
              <w:t>Income</w:t>
            </w: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Income</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Balance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ind w:left="220"/>
              <w:spacing w:after="0"/>
              <w:rPr>
                <w:sz w:val="20"/>
                <w:szCs w:val="20"/>
                <w:color w:val="auto"/>
              </w:rPr>
            </w:pPr>
            <w:r>
              <w:rPr>
                <w:rFonts w:ascii="Arial" w:cs="Arial" w:eastAsia="Arial" w:hAnsi="Arial"/>
                <w:sz w:val="14"/>
                <w:szCs w:val="14"/>
                <w:b w:val="1"/>
                <w:bCs w:val="1"/>
                <w:color w:val="auto"/>
              </w:rPr>
              <w:t>Expense</w:t>
            </w:r>
          </w:p>
        </w:tc>
        <w:tc>
          <w:tcPr>
            <w:tcW w:w="13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Yield</w:t>
            </w:r>
          </w:p>
        </w:tc>
        <w:tc>
          <w:tcPr>
            <w:tcW w:w="200" w:type="dxa"/>
            <w:vAlign w:val="bottom"/>
          </w:tcPr>
          <w:p>
            <w:pPr>
              <w:spacing w:after="0"/>
              <w:rPr>
                <w:sz w:val="16"/>
                <w:szCs w:val="16"/>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Expense</w:t>
            </w:r>
          </w:p>
        </w:tc>
        <w:tc>
          <w:tcPr>
            <w:tcW w:w="12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Yield</w:t>
            </w:r>
          </w:p>
        </w:tc>
        <w:tc>
          <w:tcPr>
            <w:tcW w:w="0" w:type="dxa"/>
            <w:vAlign w:val="bottom"/>
          </w:tcPr>
          <w:p>
            <w:pPr>
              <w:spacing w:after="0"/>
              <w:rPr>
                <w:sz w:val="1"/>
                <w:szCs w:val="1"/>
                <w:color w:val="auto"/>
              </w:rPr>
            </w:pPr>
          </w:p>
        </w:tc>
      </w:tr>
      <w:tr>
        <w:trPr>
          <w:trHeight w:val="171"/>
        </w:trPr>
        <w:tc>
          <w:tcPr>
            <w:tcW w:w="3080" w:type="dxa"/>
            <w:vAlign w:val="bottom"/>
            <w:gridSpan w:val="2"/>
          </w:tcPr>
          <w:p>
            <w:pPr>
              <w:spacing w:after="0"/>
              <w:rPr>
                <w:sz w:val="20"/>
                <w:szCs w:val="20"/>
                <w:color w:val="auto"/>
              </w:rPr>
            </w:pPr>
            <w:r>
              <w:rPr>
                <w:rFonts w:ascii="Arial" w:cs="Arial" w:eastAsia="Arial" w:hAnsi="Arial"/>
                <w:sz w:val="14"/>
                <w:szCs w:val="14"/>
                <w:b w:val="1"/>
                <w:bCs w:val="1"/>
                <w:color w:val="auto"/>
              </w:rPr>
              <w:t>Assets</w:t>
            </w:r>
          </w:p>
        </w:tc>
        <w:tc>
          <w:tcPr>
            <w:tcW w:w="2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60" w:type="dxa"/>
            <w:vAlign w:val="bottom"/>
            <w:shd w:val="clear" w:color="auto" w:fill="CCEEFF"/>
          </w:tcPr>
          <w:p>
            <w:pPr>
              <w:spacing w:after="0" w:line="173" w:lineRule="exact"/>
              <w:rPr>
                <w:sz w:val="20"/>
                <w:szCs w:val="20"/>
                <w:color w:val="auto"/>
              </w:rPr>
            </w:pPr>
            <w:r>
              <w:rPr>
                <w:rFonts w:ascii="Arial" w:cs="Arial" w:eastAsia="Arial" w:hAnsi="Arial"/>
                <w:sz w:val="13"/>
                <w:szCs w:val="13"/>
                <w:color w:val="auto"/>
              </w:rPr>
              <w:t xml:space="preserve">Loans, excluding PPP </w:t>
            </w:r>
            <w:r>
              <w:rPr>
                <w:rFonts w:ascii="Arial" w:cs="Arial" w:eastAsia="Arial" w:hAnsi="Arial"/>
                <w:sz w:val="20"/>
                <w:szCs w:val="20"/>
                <w:color w:val="auto"/>
                <w:vertAlign w:val="superscript"/>
              </w:rPr>
              <w:t>(1)</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2,211,825</w:t>
            </w:r>
          </w:p>
        </w:tc>
        <w:tc>
          <w:tcPr>
            <w:tcW w:w="12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27,084</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4.91%</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2,204,441</w:t>
            </w:r>
          </w:p>
        </w:tc>
        <w:tc>
          <w:tcPr>
            <w:tcW w:w="12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28,825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5.26%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Arial" w:cs="Arial" w:eastAsia="Arial" w:hAnsi="Arial"/>
                <w:sz w:val="14"/>
                <w:szCs w:val="14"/>
                <w:color w:val="auto"/>
              </w:rPr>
              <w:t>Loans - PPP</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156,977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2,277</w:t>
            </w:r>
          </w:p>
        </w:tc>
        <w:tc>
          <w:tcPr>
            <w:tcW w:w="200" w:type="dxa"/>
            <w:vAlign w:val="bottom"/>
          </w:tcPr>
          <w:p>
            <w:pPr>
              <w:spacing w:after="0"/>
              <w:rPr>
                <w:sz w:val="14"/>
                <w:szCs w:val="14"/>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4"/>
                <w:szCs w:val="14"/>
                <w:color w:val="auto"/>
              </w:rPr>
              <w:t>5.82%</w:t>
            </w: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171,304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1,076</w:t>
            </w:r>
          </w:p>
        </w:tc>
        <w:tc>
          <w:tcPr>
            <w:tcW w:w="2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4"/>
                <w:szCs w:val="14"/>
                <w:color w:val="auto"/>
              </w:rPr>
              <w:t>Debt securities - taxable</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543,527</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2,377</w:t>
            </w: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1.75%</w:t>
            </w: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547,971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3,080</w:t>
            </w: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Arial" w:cs="Arial" w:eastAsia="Arial" w:hAnsi="Arial"/>
                <w:sz w:val="14"/>
                <w:szCs w:val="14"/>
                <w:color w:val="auto"/>
              </w:rPr>
              <w:t>Debt securities - nontaxable</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220,006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1,465</w:t>
            </w:r>
          </w:p>
        </w:tc>
        <w:tc>
          <w:tcPr>
            <w:tcW w:w="200" w:type="dxa"/>
            <w:vAlign w:val="bottom"/>
          </w:tcPr>
          <w:p>
            <w:pPr>
              <w:spacing w:after="0"/>
              <w:rPr>
                <w:sz w:val="14"/>
                <w:szCs w:val="14"/>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4"/>
                <w:szCs w:val="14"/>
                <w:color w:val="auto"/>
              </w:rPr>
              <w:t>2.67%</w:t>
            </w: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160,142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1,192</w:t>
            </w:r>
          </w:p>
        </w:tc>
        <w:tc>
          <w:tcPr>
            <w:tcW w:w="2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2.99%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4"/>
                <w:szCs w:val="14"/>
                <w:color w:val="auto"/>
              </w:rPr>
              <w:t>Other interest-bearing assets</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370,634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20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0.13%</w:t>
            </w:r>
          </w:p>
        </w:tc>
        <w:tc>
          <w:tcPr>
            <w:tcW w:w="2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174,753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0.29%</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gridSpan w:val="2"/>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240" w:type="dxa"/>
            <w:vAlign w:val="bottom"/>
            <w:tcBorders>
              <w:top w:val="single" w:sz="8" w:color="CCEEFF"/>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interest-earning assets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3,502,969</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33,325</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3.82%</w:t>
            </w: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3,258,611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34,297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4.23%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tcPr>
          <w:p>
            <w:pPr>
              <w:spacing w:after="0"/>
              <w:rPr>
                <w:sz w:val="20"/>
                <w:szCs w:val="20"/>
                <w:color w:val="auto"/>
              </w:rPr>
            </w:pPr>
            <w:r>
              <w:rPr>
                <w:rFonts w:ascii="Arial" w:cs="Arial" w:eastAsia="Arial" w:hAnsi="Arial"/>
                <w:sz w:val="14"/>
                <w:szCs w:val="14"/>
                <w:color w:val="auto"/>
              </w:rPr>
              <w:t>Noninterest-earning assets</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255,093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247,571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3,758,062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3,506,182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restart"/>
          </w:tcPr>
          <w:p>
            <w:pPr>
              <w:spacing w:after="0"/>
              <w:rPr>
                <w:sz w:val="13"/>
                <w:szCs w:val="13"/>
                <w:color w:val="auto"/>
              </w:rPr>
            </w:pPr>
          </w:p>
        </w:tc>
        <w:tc>
          <w:tcPr>
            <w:tcW w:w="30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tcPr>
          <w:p>
            <w:pPr>
              <w:spacing w:after="0"/>
              <w:rPr>
                <w:sz w:val="20"/>
                <w:szCs w:val="20"/>
                <w:color w:val="auto"/>
              </w:rPr>
            </w:pPr>
            <w:r>
              <w:rPr>
                <w:rFonts w:ascii="Arial" w:cs="Arial" w:eastAsia="Arial" w:hAnsi="Arial"/>
                <w:sz w:val="14"/>
                <w:szCs w:val="14"/>
                <w:b w:val="1"/>
                <w:bCs w:val="1"/>
                <w:color w:val="auto"/>
              </w:rPr>
              <w:t>Liabilities &amp; stockholders’ equity</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4"/>
                <w:szCs w:val="14"/>
                <w:color w:val="auto"/>
              </w:rPr>
              <w:t>NOW, Savings, MMA’s</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1,873,699</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1,150</w:t>
            </w: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0.25%</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1,650,159</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1,330</w:t>
            </w: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0.32%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Arial" w:cs="Arial" w:eastAsia="Arial" w:hAnsi="Arial"/>
                <w:sz w:val="14"/>
                <w:szCs w:val="14"/>
                <w:color w:val="auto"/>
              </w:rPr>
              <w:t>Time deposits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326,043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1,036</w:t>
            </w:r>
          </w:p>
        </w:tc>
        <w:tc>
          <w:tcPr>
            <w:tcW w:w="200" w:type="dxa"/>
            <w:vAlign w:val="bottom"/>
          </w:tcPr>
          <w:p>
            <w:pPr>
              <w:spacing w:after="0"/>
              <w:rPr>
                <w:sz w:val="14"/>
                <w:szCs w:val="14"/>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4"/>
                <w:szCs w:val="14"/>
                <w:color w:val="auto"/>
              </w:rPr>
              <w:t>1.27%</w:t>
            </w: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326,561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1,430</w:t>
            </w:r>
          </w:p>
        </w:tc>
        <w:tc>
          <w:tcPr>
            <w:tcW w:w="2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4"/>
                <w:szCs w:val="14"/>
                <w:color w:val="auto"/>
              </w:rPr>
              <w:t>Short-term borrowings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6,429</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0.06%</w:t>
            </w: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16,449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Arial" w:cs="Arial" w:eastAsia="Arial" w:hAnsi="Arial"/>
                <w:sz w:val="14"/>
                <w:szCs w:val="14"/>
                <w:color w:val="auto"/>
              </w:rPr>
              <w:t>Notes payable &amp; other long-term borrowings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4,121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3</w:t>
            </w:r>
          </w:p>
        </w:tc>
        <w:tc>
          <w:tcPr>
            <w:tcW w:w="1360" w:type="dxa"/>
            <w:vAlign w:val="bottom"/>
            <w:gridSpan w:val="2"/>
          </w:tcPr>
          <w:p>
            <w:pPr>
              <w:jc w:val="right"/>
              <w:ind w:right="120"/>
              <w:spacing w:after="0"/>
              <w:rPr>
                <w:sz w:val="20"/>
                <w:szCs w:val="20"/>
                <w:color w:val="auto"/>
              </w:rPr>
            </w:pPr>
            <w:r>
              <w:rPr>
                <w:rFonts w:ascii="Arial" w:cs="Arial" w:eastAsia="Arial" w:hAnsi="Arial"/>
                <w:sz w:val="14"/>
                <w:szCs w:val="14"/>
                <w:color w:val="auto"/>
              </w:rPr>
              <w:t>0.29%</w:t>
            </w: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161,099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96</w:t>
            </w:r>
          </w:p>
        </w:tc>
        <w:tc>
          <w:tcPr>
            <w:tcW w:w="2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0.24%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4"/>
                <w:szCs w:val="14"/>
                <w:color w:val="auto"/>
              </w:rPr>
              <w:t>Subordinated debt securities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75,682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1,012</w:t>
            </w: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5.36%</w:t>
            </w: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26,472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403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6.12%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tcPr>
          <w:p>
            <w:pPr>
              <w:spacing w:after="0"/>
              <w:rPr>
                <w:sz w:val="20"/>
                <w:szCs w:val="20"/>
                <w:color w:val="auto"/>
              </w:rPr>
            </w:pPr>
            <w:r>
              <w:rPr>
                <w:rFonts w:ascii="Arial" w:cs="Arial" w:eastAsia="Arial" w:hAnsi="Arial"/>
                <w:sz w:val="14"/>
                <w:szCs w:val="14"/>
                <w:color w:val="auto"/>
                <w:w w:val="96"/>
              </w:rPr>
              <w:t>Junior subordinated deferrable interest debentures</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46,393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221</w:t>
            </w:r>
          </w:p>
        </w:tc>
        <w:tc>
          <w:tcPr>
            <w:tcW w:w="1360" w:type="dxa"/>
            <w:vAlign w:val="bottom"/>
            <w:gridSpan w:val="2"/>
          </w:tcPr>
          <w:p>
            <w:pPr>
              <w:jc w:val="right"/>
              <w:ind w:right="120"/>
              <w:spacing w:after="0"/>
              <w:rPr>
                <w:sz w:val="20"/>
                <w:szCs w:val="20"/>
                <w:color w:val="auto"/>
              </w:rPr>
            </w:pPr>
            <w:r>
              <w:rPr>
                <w:rFonts w:ascii="Arial" w:cs="Arial" w:eastAsia="Arial" w:hAnsi="Arial"/>
                <w:sz w:val="14"/>
                <w:szCs w:val="14"/>
                <w:color w:val="auto"/>
              </w:rPr>
              <w:t>1.91%</w:t>
            </w:r>
          </w:p>
        </w:tc>
        <w:tc>
          <w:tcPr>
            <w:tcW w:w="20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46,393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294</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tcPr>
          <w:p>
            <w:pPr>
              <w:spacing w:after="0"/>
              <w:rPr>
                <w:sz w:val="20"/>
                <w:szCs w:val="20"/>
                <w:color w:val="auto"/>
              </w:rPr>
            </w:pPr>
            <w:r>
              <w:rPr>
                <w:rFonts w:ascii="Arial" w:cs="Arial" w:eastAsia="Arial" w:hAnsi="Arial"/>
                <w:sz w:val="14"/>
                <w:szCs w:val="14"/>
                <w:b w:val="1"/>
                <w:bCs w:val="1"/>
                <w:color w:val="auto"/>
              </w:rPr>
              <w:t>Total interest-bearing liabilities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2,332,367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3,423</w:t>
            </w:r>
          </w:p>
        </w:tc>
        <w:tc>
          <w:tcPr>
            <w:tcW w:w="200" w:type="dxa"/>
            <w:vAlign w:val="bottom"/>
          </w:tcPr>
          <w:p>
            <w:pPr>
              <w:spacing w:after="0"/>
              <w:rPr>
                <w:sz w:val="14"/>
                <w:szCs w:val="14"/>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4"/>
                <w:szCs w:val="14"/>
                <w:color w:val="auto"/>
              </w:rPr>
              <w:t>0.59%</w:t>
            </w: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2,227,133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3,559</w:t>
            </w:r>
          </w:p>
        </w:tc>
        <w:tc>
          <w:tcPr>
            <w:tcW w:w="2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0.64%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4"/>
                <w:szCs w:val="14"/>
                <w:color w:val="auto"/>
              </w:rPr>
              <w:t>Demand deposits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1,002,737</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901,761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Arial" w:cs="Arial" w:eastAsia="Arial" w:hAnsi="Arial"/>
                <w:sz w:val="14"/>
                <w:szCs w:val="14"/>
                <w:color w:val="auto"/>
              </w:rPr>
              <w:t>Other liabilities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38,315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45,576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4"/>
                <w:szCs w:val="14"/>
                <w:color w:val="auto"/>
              </w:rPr>
              <w:t>Stockholders’ equity</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384,643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331,712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4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liabilities &amp; stockholders’ equity</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3,758,062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3,506,182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306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gridSpan w:val="2"/>
          </w:tcPr>
          <w:p>
            <w:pPr>
              <w:spacing w:after="0"/>
              <w:rPr>
                <w:sz w:val="13"/>
                <w:szCs w:val="13"/>
                <w:color w:val="auto"/>
              </w:rPr>
            </w:pPr>
          </w:p>
        </w:tc>
        <w:tc>
          <w:tcPr>
            <w:tcW w:w="1240" w:type="dxa"/>
            <w:vAlign w:val="bottom"/>
            <w:tcBorders>
              <w:top w:val="single" w:sz="8" w:color="CCEEFF"/>
            </w:tcBorders>
            <w:gridSpan w:val="2"/>
          </w:tcPr>
          <w:p>
            <w:pPr>
              <w:spacing w:after="0"/>
              <w:rPr>
                <w:sz w:val="13"/>
                <w:szCs w:val="13"/>
                <w:color w:val="auto"/>
              </w:rPr>
            </w:pPr>
          </w:p>
        </w:tc>
        <w:tc>
          <w:tcPr>
            <w:tcW w:w="112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gridSpan w:val="2"/>
          </w:tcPr>
          <w:p>
            <w:pPr>
              <w:spacing w:after="0"/>
              <w:rPr>
                <w:sz w:val="13"/>
                <w:szCs w:val="13"/>
                <w:color w:val="auto"/>
              </w:rPr>
            </w:pPr>
          </w:p>
        </w:tc>
        <w:tc>
          <w:tcPr>
            <w:tcW w:w="1240" w:type="dxa"/>
            <w:vAlign w:val="bottom"/>
            <w:tcBorders>
              <w:top w:val="single" w:sz="8" w:color="CCEEFF"/>
            </w:tcBorders>
            <w:gridSpan w:val="2"/>
          </w:tcPr>
          <w:p>
            <w:pPr>
              <w:spacing w:after="0"/>
              <w:rPr>
                <w:sz w:val="13"/>
                <w:szCs w:val="13"/>
                <w:color w:val="auto"/>
              </w:rPr>
            </w:pPr>
          </w:p>
        </w:tc>
        <w:tc>
          <w:tcPr>
            <w:tcW w:w="11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4"/>
                <w:szCs w:val="14"/>
                <w:color w:val="auto"/>
              </w:rPr>
              <w:t>Net interest income</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29,902</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30,738</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3060" w:type="dxa"/>
            <w:vAlign w:val="bottom"/>
            <w:tcBorders>
              <w:top w:val="single" w:sz="8" w:color="CCEEFF"/>
            </w:tcBorders>
          </w:tcPr>
          <w:p>
            <w:pPr>
              <w:spacing w:after="0"/>
              <w:rPr>
                <w:sz w:val="20"/>
                <w:szCs w:val="20"/>
                <w:color w:val="auto"/>
              </w:rPr>
            </w:pPr>
            <w:r>
              <w:rPr>
                <w:rFonts w:ascii="Arial" w:cs="Arial" w:eastAsia="Arial" w:hAnsi="Arial"/>
                <w:sz w:val="14"/>
                <w:szCs w:val="14"/>
                <w:color w:val="auto"/>
              </w:rPr>
              <w:t xml:space="preserve">Net interest margin </w:t>
            </w:r>
            <w:r>
              <w:rPr>
                <w:rFonts w:ascii="Arial" w:cs="Arial" w:eastAsia="Arial" w:hAnsi="Arial"/>
                <w:sz w:val="23"/>
                <w:szCs w:val="23"/>
                <w:color w:val="auto"/>
                <w:vertAlign w:val="superscript"/>
              </w:rPr>
              <w:t>(2)</w:t>
            </w:r>
          </w:p>
        </w:tc>
        <w:tc>
          <w:tcPr>
            <w:tcW w:w="20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9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36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4"/>
                <w:szCs w:val="14"/>
                <w:color w:val="auto"/>
              </w:rPr>
              <w:t>3.42%</w:t>
            </w:r>
          </w:p>
        </w:tc>
        <w:tc>
          <w:tcPr>
            <w:tcW w:w="200" w:type="dxa"/>
            <w:vAlign w:val="bottom"/>
            <w:tcBorders>
              <w:top w:val="single" w:sz="8" w:color="CCEEFF"/>
            </w:tcBorders>
          </w:tcPr>
          <w:p>
            <w:pPr>
              <w:spacing w:after="0"/>
              <w:rPr>
                <w:sz w:val="24"/>
                <w:szCs w:val="24"/>
                <w:color w:val="auto"/>
              </w:rPr>
            </w:pPr>
          </w:p>
        </w:tc>
        <w:tc>
          <w:tcPr>
            <w:tcW w:w="9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40" w:type="dxa"/>
            <w:vAlign w:val="bottom"/>
            <w:tcBorders>
              <w:top w:val="single" w:sz="8" w:color="CCEEFF"/>
            </w:tcBorders>
            <w:gridSpan w:val="2"/>
          </w:tcPr>
          <w:p>
            <w:pPr>
              <w:jc w:val="right"/>
              <w:spacing w:after="0"/>
              <w:rPr>
                <w:sz w:val="20"/>
                <w:szCs w:val="20"/>
                <w:color w:val="auto"/>
              </w:rPr>
            </w:pPr>
            <w:r>
              <w:rPr>
                <w:rFonts w:ascii="Arial" w:cs="Arial" w:eastAsia="Arial" w:hAnsi="Arial"/>
                <w:sz w:val="14"/>
                <w:szCs w:val="14"/>
                <w:color w:val="auto"/>
              </w:rPr>
              <w:t>3.79%</w:t>
            </w:r>
          </w:p>
        </w:tc>
        <w:tc>
          <w:tcPr>
            <w:tcW w:w="0" w:type="dxa"/>
            <w:vAlign w:val="bottom"/>
          </w:tcPr>
          <w:p>
            <w:pPr>
              <w:spacing w:after="0"/>
              <w:rPr>
                <w:sz w:val="1"/>
                <w:szCs w:val="1"/>
                <w:color w:val="auto"/>
              </w:rPr>
            </w:pPr>
          </w:p>
        </w:tc>
      </w:tr>
    </w:tbl>
    <w:p>
      <w:pPr>
        <w:spacing w:after="0" w:line="43" w:lineRule="exact"/>
        <w:rPr>
          <w:sz w:val="20"/>
          <w:szCs w:val="20"/>
          <w:color w:val="auto"/>
        </w:rPr>
      </w:pPr>
    </w:p>
    <w:p>
      <w:pPr>
        <w:ind w:left="260" w:hanging="254"/>
        <w:spacing w:after="0"/>
        <w:tabs>
          <w:tab w:leader="none" w:pos="260" w:val="left"/>
        </w:tabs>
        <w:numPr>
          <w:ilvl w:val="0"/>
          <w:numId w:val="6"/>
        </w:numPr>
        <w:rPr>
          <w:rFonts w:ascii="Arial" w:cs="Arial" w:eastAsia="Arial" w:hAnsi="Arial"/>
          <w:sz w:val="14"/>
          <w:szCs w:val="14"/>
          <w:color w:val="auto"/>
        </w:rPr>
      </w:pPr>
      <w:r>
        <w:rPr>
          <w:rFonts w:ascii="Arial" w:cs="Arial" w:eastAsia="Arial" w:hAnsi="Arial"/>
          <w:sz w:val="14"/>
          <w:szCs w:val="14"/>
          <w:color w:val="auto"/>
        </w:rPr>
        <w:t>Average loan balances include nonaccrual loans and loans held for sale.</w:t>
      </w:r>
    </w:p>
    <w:p>
      <w:pPr>
        <w:spacing w:after="0" w:line="20" w:lineRule="exact"/>
        <w:rPr>
          <w:rFonts w:ascii="Arial" w:cs="Arial" w:eastAsia="Arial" w:hAnsi="Arial"/>
          <w:sz w:val="14"/>
          <w:szCs w:val="14"/>
          <w:color w:val="auto"/>
        </w:rPr>
      </w:pPr>
    </w:p>
    <w:p>
      <w:pPr>
        <w:ind w:left="260" w:hanging="254"/>
        <w:spacing w:after="0"/>
        <w:tabs>
          <w:tab w:leader="none" w:pos="260" w:val="left"/>
        </w:tabs>
        <w:numPr>
          <w:ilvl w:val="0"/>
          <w:numId w:val="6"/>
        </w:numPr>
        <w:rPr>
          <w:rFonts w:ascii="Arial" w:cs="Arial" w:eastAsia="Arial" w:hAnsi="Arial"/>
          <w:sz w:val="14"/>
          <w:szCs w:val="14"/>
          <w:color w:val="auto"/>
        </w:rPr>
      </w:pPr>
      <w:r>
        <w:rPr>
          <w:rFonts w:ascii="Arial" w:cs="Arial" w:eastAsia="Arial" w:hAnsi="Arial"/>
          <w:sz w:val="14"/>
          <w:szCs w:val="14"/>
          <w:color w:val="auto"/>
        </w:rPr>
        <w:t>Net interest margin is calculated as the annualized net income, on a fully tax-equivalent basis, divided by average interest-earning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219710</wp:posOffset>
            </wp:positionV>
            <wp:extent cx="7160260" cy="139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color w:val="auto"/>
        </w:rPr>
        <w:t>South Plains Financial, Inc.</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Average Balances and Yields - (Unaudited)</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(Dollars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For the Six Months Ended</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June 30, 2021</w:t>
            </w:r>
          </w:p>
        </w:tc>
        <w:tc>
          <w:tcPr>
            <w:tcW w:w="11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June 30, 2020</w:t>
            </w:r>
          </w:p>
        </w:tc>
        <w:tc>
          <w:tcPr>
            <w:tcW w:w="1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ind w:left="240"/>
              <w:spacing w:after="0"/>
              <w:rPr>
                <w:sz w:val="20"/>
                <w:szCs w:val="20"/>
                <w:color w:val="auto"/>
              </w:rPr>
            </w:pPr>
            <w:r>
              <w:rPr>
                <w:rFonts w:ascii="Arial" w:cs="Arial" w:eastAsia="Arial" w:hAnsi="Arial"/>
                <w:sz w:val="14"/>
                <w:szCs w:val="14"/>
                <w:b w:val="1"/>
                <w:bCs w:val="1"/>
                <w:color w:val="auto"/>
              </w:rPr>
              <w:t>Interest</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Interest</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ind w:left="240"/>
              <w:spacing w:after="0"/>
              <w:rPr>
                <w:sz w:val="20"/>
                <w:szCs w:val="20"/>
                <w:color w:val="auto"/>
              </w:rPr>
            </w:pPr>
            <w:r>
              <w:rPr>
                <w:rFonts w:ascii="Arial" w:cs="Arial" w:eastAsia="Arial" w:hAnsi="Arial"/>
                <w:sz w:val="14"/>
                <w:szCs w:val="14"/>
                <w:b w:val="1"/>
                <w:bCs w:val="1"/>
                <w:color w:val="auto"/>
              </w:rPr>
              <w:t>Income</w:t>
            </w: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Income</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Balance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ind w:left="220"/>
              <w:spacing w:after="0"/>
              <w:rPr>
                <w:sz w:val="20"/>
                <w:szCs w:val="20"/>
                <w:color w:val="auto"/>
              </w:rPr>
            </w:pPr>
            <w:r>
              <w:rPr>
                <w:rFonts w:ascii="Arial" w:cs="Arial" w:eastAsia="Arial" w:hAnsi="Arial"/>
                <w:sz w:val="14"/>
                <w:szCs w:val="14"/>
                <w:b w:val="1"/>
                <w:bCs w:val="1"/>
                <w:color w:val="auto"/>
              </w:rPr>
              <w:t>Expense</w:t>
            </w:r>
          </w:p>
        </w:tc>
        <w:tc>
          <w:tcPr>
            <w:tcW w:w="1360" w:type="dxa"/>
            <w:vAlign w:val="bottom"/>
            <w:gridSpan w:val="2"/>
          </w:tcPr>
          <w:p>
            <w:pPr>
              <w:ind w:left="400"/>
              <w:spacing w:after="0"/>
              <w:rPr>
                <w:sz w:val="20"/>
                <w:szCs w:val="20"/>
                <w:color w:val="auto"/>
              </w:rPr>
            </w:pPr>
            <w:r>
              <w:rPr>
                <w:rFonts w:ascii="Arial" w:cs="Arial" w:eastAsia="Arial" w:hAnsi="Arial"/>
                <w:sz w:val="14"/>
                <w:szCs w:val="14"/>
                <w:b w:val="1"/>
                <w:bCs w:val="1"/>
                <w:color w:val="auto"/>
              </w:rPr>
              <w:t>Yield</w:t>
            </w:r>
          </w:p>
        </w:tc>
        <w:tc>
          <w:tcPr>
            <w:tcW w:w="200" w:type="dxa"/>
            <w:vAlign w:val="bottom"/>
          </w:tcPr>
          <w:p>
            <w:pPr>
              <w:spacing w:after="0"/>
              <w:rPr>
                <w:sz w:val="16"/>
                <w:szCs w:val="16"/>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Expense</w:t>
            </w:r>
          </w:p>
        </w:tc>
        <w:tc>
          <w:tcPr>
            <w:tcW w:w="12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Yield</w:t>
            </w:r>
          </w:p>
        </w:tc>
        <w:tc>
          <w:tcPr>
            <w:tcW w:w="0" w:type="dxa"/>
            <w:vAlign w:val="bottom"/>
          </w:tcPr>
          <w:p>
            <w:pPr>
              <w:spacing w:after="0"/>
              <w:rPr>
                <w:sz w:val="1"/>
                <w:szCs w:val="1"/>
                <w:color w:val="auto"/>
              </w:rPr>
            </w:pPr>
          </w:p>
        </w:tc>
      </w:tr>
      <w:tr>
        <w:trPr>
          <w:trHeight w:val="171"/>
        </w:trPr>
        <w:tc>
          <w:tcPr>
            <w:tcW w:w="3080" w:type="dxa"/>
            <w:vAlign w:val="bottom"/>
            <w:gridSpan w:val="2"/>
          </w:tcPr>
          <w:p>
            <w:pPr>
              <w:spacing w:after="0"/>
              <w:rPr>
                <w:sz w:val="20"/>
                <w:szCs w:val="20"/>
                <w:color w:val="auto"/>
              </w:rPr>
            </w:pPr>
            <w:r>
              <w:rPr>
                <w:rFonts w:ascii="Arial" w:cs="Arial" w:eastAsia="Arial" w:hAnsi="Arial"/>
                <w:sz w:val="14"/>
                <w:szCs w:val="14"/>
                <w:b w:val="1"/>
                <w:bCs w:val="1"/>
                <w:color w:val="auto"/>
              </w:rPr>
              <w:t>Assets</w:t>
            </w:r>
          </w:p>
        </w:tc>
        <w:tc>
          <w:tcPr>
            <w:tcW w:w="2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60" w:type="dxa"/>
            <w:vAlign w:val="bottom"/>
            <w:shd w:val="clear" w:color="auto" w:fill="CCEEFF"/>
          </w:tcPr>
          <w:p>
            <w:pPr>
              <w:spacing w:after="0" w:line="173" w:lineRule="exact"/>
              <w:rPr>
                <w:sz w:val="20"/>
                <w:szCs w:val="20"/>
                <w:color w:val="auto"/>
              </w:rPr>
            </w:pPr>
            <w:r>
              <w:rPr>
                <w:rFonts w:ascii="Arial" w:cs="Arial" w:eastAsia="Arial" w:hAnsi="Arial"/>
                <w:sz w:val="13"/>
                <w:szCs w:val="13"/>
                <w:color w:val="auto"/>
              </w:rPr>
              <w:t xml:space="preserve">Loans, excluding PPP </w:t>
            </w:r>
            <w:r>
              <w:rPr>
                <w:rFonts w:ascii="Arial" w:cs="Arial" w:eastAsia="Arial" w:hAnsi="Arial"/>
                <w:sz w:val="20"/>
                <w:szCs w:val="20"/>
                <w:color w:val="auto"/>
                <w:vertAlign w:val="superscript"/>
              </w:rPr>
              <w:t>(1)</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2,187,470</w:t>
            </w:r>
          </w:p>
        </w:tc>
        <w:tc>
          <w:tcPr>
            <w:tcW w:w="12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53,367</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4.92%</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2,185,728</w:t>
            </w:r>
          </w:p>
        </w:tc>
        <w:tc>
          <w:tcPr>
            <w:tcW w:w="12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59,879</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5.51%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Arial" w:cs="Arial" w:eastAsia="Arial" w:hAnsi="Arial"/>
                <w:sz w:val="14"/>
                <w:szCs w:val="14"/>
                <w:color w:val="auto"/>
              </w:rPr>
              <w:t>Loans - PPP</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168,238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5,275</w:t>
            </w:r>
          </w:p>
        </w:tc>
        <w:tc>
          <w:tcPr>
            <w:tcW w:w="200" w:type="dxa"/>
            <w:vAlign w:val="bottom"/>
          </w:tcPr>
          <w:p>
            <w:pPr>
              <w:spacing w:after="0"/>
              <w:rPr>
                <w:sz w:val="14"/>
                <w:szCs w:val="14"/>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4"/>
                <w:szCs w:val="14"/>
                <w:color w:val="auto"/>
              </w:rPr>
              <w:t>6.32%</w:t>
            </w: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85,652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1,076</w:t>
            </w:r>
          </w:p>
        </w:tc>
        <w:tc>
          <w:tcPr>
            <w:tcW w:w="2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4"/>
                <w:szCs w:val="14"/>
                <w:color w:val="auto"/>
              </w:rPr>
              <w:t>Debt securities - taxable</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544,761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4,809</w:t>
            </w: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1.78%</w:t>
            </w: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554,324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6,672</w:t>
            </w: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Arial" w:cs="Arial" w:eastAsia="Arial" w:hAnsi="Arial"/>
                <w:sz w:val="14"/>
                <w:szCs w:val="14"/>
                <w:color w:val="auto"/>
              </w:rPr>
              <w:t>Debt securities - nontaxable</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218,351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2,946</w:t>
            </w:r>
          </w:p>
        </w:tc>
        <w:tc>
          <w:tcPr>
            <w:tcW w:w="200" w:type="dxa"/>
            <w:vAlign w:val="bottom"/>
          </w:tcPr>
          <w:p>
            <w:pPr>
              <w:spacing w:after="0"/>
              <w:rPr>
                <w:sz w:val="14"/>
                <w:szCs w:val="14"/>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4"/>
                <w:szCs w:val="14"/>
                <w:color w:val="auto"/>
              </w:rPr>
              <w:t>2.72%</w:t>
            </w: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119,538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1,694</w:t>
            </w:r>
          </w:p>
        </w:tc>
        <w:tc>
          <w:tcPr>
            <w:tcW w:w="2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2.85%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4"/>
                <w:szCs w:val="14"/>
                <w:color w:val="auto"/>
              </w:rPr>
              <w:t>Other interest-bearing assets</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350,434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w:t>
            </w:r>
          </w:p>
        </w:tc>
        <w:tc>
          <w:tcPr>
            <w:tcW w:w="20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0.13%</w:t>
            </w:r>
          </w:p>
        </w:tc>
        <w:tc>
          <w:tcPr>
            <w:tcW w:w="2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162,944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858</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gridSpan w:val="2"/>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240" w:type="dxa"/>
            <w:vAlign w:val="bottom"/>
            <w:tcBorders>
              <w:top w:val="single" w:sz="8" w:color="CCEEFF"/>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interest-earning assets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3,469,253</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66,619</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3.87%</w:t>
            </w: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3,108,186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70,179</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4.54%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tcPr>
          <w:p>
            <w:pPr>
              <w:spacing w:after="0"/>
              <w:rPr>
                <w:sz w:val="20"/>
                <w:szCs w:val="20"/>
                <w:color w:val="auto"/>
              </w:rPr>
            </w:pPr>
            <w:r>
              <w:rPr>
                <w:rFonts w:ascii="Arial" w:cs="Arial" w:eastAsia="Arial" w:hAnsi="Arial"/>
                <w:sz w:val="14"/>
                <w:szCs w:val="14"/>
                <w:color w:val="auto"/>
              </w:rPr>
              <w:t>Noninterest-earning assets</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262,351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249,114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3,731,604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3,357,300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restart"/>
          </w:tcPr>
          <w:p>
            <w:pPr>
              <w:spacing w:after="0"/>
              <w:rPr>
                <w:sz w:val="13"/>
                <w:szCs w:val="13"/>
                <w:color w:val="auto"/>
              </w:rPr>
            </w:pPr>
          </w:p>
        </w:tc>
        <w:tc>
          <w:tcPr>
            <w:tcW w:w="30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tcPr>
          <w:p>
            <w:pPr>
              <w:spacing w:after="0"/>
              <w:rPr>
                <w:sz w:val="20"/>
                <w:szCs w:val="20"/>
                <w:color w:val="auto"/>
              </w:rPr>
            </w:pPr>
            <w:r>
              <w:rPr>
                <w:rFonts w:ascii="Arial" w:cs="Arial" w:eastAsia="Arial" w:hAnsi="Arial"/>
                <w:sz w:val="14"/>
                <w:szCs w:val="14"/>
                <w:b w:val="1"/>
                <w:bCs w:val="1"/>
                <w:color w:val="auto"/>
              </w:rPr>
              <w:t>Liabilities &amp; stockholders’ equity</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4"/>
                <w:szCs w:val="14"/>
                <w:color w:val="auto"/>
              </w:rPr>
              <w:t>NOW, Savings, MMA’s</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1,840,831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2,254</w:t>
            </w: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0.25%</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1,598,048</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3,986</w:t>
            </w: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0.50%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Arial" w:cs="Arial" w:eastAsia="Arial" w:hAnsi="Arial"/>
                <w:sz w:val="14"/>
                <w:szCs w:val="14"/>
                <w:color w:val="auto"/>
              </w:rPr>
              <w:t>Time deposits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325,213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2,089</w:t>
            </w:r>
          </w:p>
        </w:tc>
        <w:tc>
          <w:tcPr>
            <w:tcW w:w="200" w:type="dxa"/>
            <w:vAlign w:val="bottom"/>
          </w:tcPr>
          <w:p>
            <w:pPr>
              <w:spacing w:after="0"/>
              <w:rPr>
                <w:sz w:val="14"/>
                <w:szCs w:val="14"/>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4"/>
                <w:szCs w:val="14"/>
                <w:color w:val="auto"/>
              </w:rPr>
              <w:t>1.30%</w:t>
            </w: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340,016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3,057</w:t>
            </w:r>
          </w:p>
        </w:tc>
        <w:tc>
          <w:tcPr>
            <w:tcW w:w="2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4"/>
                <w:szCs w:val="14"/>
                <w:color w:val="auto"/>
              </w:rPr>
              <w:t>Short-term borrowings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15,726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0.06%</w:t>
            </w: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23,597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0.84%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Arial" w:cs="Arial" w:eastAsia="Arial" w:hAnsi="Arial"/>
                <w:sz w:val="14"/>
                <w:szCs w:val="14"/>
                <w:color w:val="auto"/>
              </w:rPr>
              <w:t>Notes payable &amp; other long-term borrowings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39,283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38</w:t>
            </w:r>
          </w:p>
        </w:tc>
        <w:tc>
          <w:tcPr>
            <w:tcW w:w="200" w:type="dxa"/>
            <w:vAlign w:val="bottom"/>
          </w:tcPr>
          <w:p>
            <w:pPr>
              <w:spacing w:after="0"/>
              <w:rPr>
                <w:sz w:val="14"/>
                <w:szCs w:val="14"/>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4"/>
                <w:szCs w:val="14"/>
                <w:color w:val="auto"/>
              </w:rPr>
              <w:t>0.20%</w:t>
            </w: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128,654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453</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0.71%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4"/>
                <w:szCs w:val="14"/>
                <w:color w:val="auto"/>
              </w:rPr>
              <w:t>Subordinated debt securities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75,659</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2,031</w:t>
            </w: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5.41%</w:t>
            </w: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26,472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807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6.13%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tcPr>
          <w:p>
            <w:pPr>
              <w:spacing w:after="0"/>
              <w:rPr>
                <w:sz w:val="20"/>
                <w:szCs w:val="20"/>
                <w:color w:val="auto"/>
              </w:rPr>
            </w:pPr>
            <w:r>
              <w:rPr>
                <w:rFonts w:ascii="Arial" w:cs="Arial" w:eastAsia="Arial" w:hAnsi="Arial"/>
                <w:sz w:val="14"/>
                <w:szCs w:val="14"/>
                <w:color w:val="auto"/>
                <w:w w:val="96"/>
              </w:rPr>
              <w:t>Junior subordinated deferrable interest debentures</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46,393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444</w:t>
            </w:r>
          </w:p>
        </w:tc>
        <w:tc>
          <w:tcPr>
            <w:tcW w:w="1360" w:type="dxa"/>
            <w:vAlign w:val="bottom"/>
            <w:gridSpan w:val="2"/>
          </w:tcPr>
          <w:p>
            <w:pPr>
              <w:jc w:val="right"/>
              <w:ind w:right="120"/>
              <w:spacing w:after="0"/>
              <w:rPr>
                <w:sz w:val="20"/>
                <w:szCs w:val="20"/>
                <w:color w:val="auto"/>
              </w:rPr>
            </w:pPr>
            <w:r>
              <w:rPr>
                <w:rFonts w:ascii="Arial" w:cs="Arial" w:eastAsia="Arial" w:hAnsi="Arial"/>
                <w:sz w:val="14"/>
                <w:szCs w:val="14"/>
                <w:color w:val="auto"/>
              </w:rPr>
              <w:t>1.93%</w:t>
            </w:r>
          </w:p>
        </w:tc>
        <w:tc>
          <w:tcPr>
            <w:tcW w:w="20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46,393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695</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3.01%</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tcPr>
          <w:p>
            <w:pPr>
              <w:spacing w:after="0"/>
              <w:rPr>
                <w:sz w:val="20"/>
                <w:szCs w:val="20"/>
                <w:color w:val="auto"/>
              </w:rPr>
            </w:pPr>
            <w:r>
              <w:rPr>
                <w:rFonts w:ascii="Arial" w:cs="Arial" w:eastAsia="Arial" w:hAnsi="Arial"/>
                <w:sz w:val="14"/>
                <w:szCs w:val="14"/>
                <w:b w:val="1"/>
                <w:bCs w:val="1"/>
                <w:color w:val="auto"/>
              </w:rPr>
              <w:t>Total interest-bearing liabilities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2,343,105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6,861</w:t>
            </w:r>
          </w:p>
        </w:tc>
        <w:tc>
          <w:tcPr>
            <w:tcW w:w="200" w:type="dxa"/>
            <w:vAlign w:val="bottom"/>
          </w:tcPr>
          <w:p>
            <w:pPr>
              <w:spacing w:after="0"/>
              <w:rPr>
                <w:sz w:val="14"/>
                <w:szCs w:val="14"/>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4"/>
                <w:szCs w:val="14"/>
                <w:color w:val="auto"/>
              </w:rPr>
              <w:t>0.59%</w:t>
            </w: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2,163,180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9,097</w:t>
            </w:r>
          </w:p>
        </w:tc>
        <w:tc>
          <w:tcPr>
            <w:tcW w:w="2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0.85%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4"/>
                <w:szCs w:val="14"/>
                <w:color w:val="auto"/>
              </w:rPr>
              <w:t>Demand deposits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969,040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833,699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Arial" w:cs="Arial" w:eastAsia="Arial" w:hAnsi="Arial"/>
                <w:sz w:val="14"/>
                <w:szCs w:val="14"/>
                <w:color w:val="auto"/>
              </w:rPr>
              <w:t>Other liabilities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40,958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36,364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4"/>
                <w:szCs w:val="14"/>
                <w:color w:val="auto"/>
              </w:rPr>
              <w:t>Stockholders’ equity</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378,501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324,057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4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liabilities &amp; stockholders’ equity</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3,731,604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3,357,300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306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gridSpan w:val="2"/>
          </w:tcPr>
          <w:p>
            <w:pPr>
              <w:spacing w:after="0"/>
              <w:rPr>
                <w:sz w:val="13"/>
                <w:szCs w:val="13"/>
                <w:color w:val="auto"/>
              </w:rPr>
            </w:pPr>
          </w:p>
        </w:tc>
        <w:tc>
          <w:tcPr>
            <w:tcW w:w="1240" w:type="dxa"/>
            <w:vAlign w:val="bottom"/>
            <w:tcBorders>
              <w:top w:val="single" w:sz="8" w:color="CCEEFF"/>
            </w:tcBorders>
            <w:gridSpan w:val="2"/>
          </w:tcPr>
          <w:p>
            <w:pPr>
              <w:spacing w:after="0"/>
              <w:rPr>
                <w:sz w:val="13"/>
                <w:szCs w:val="13"/>
                <w:color w:val="auto"/>
              </w:rPr>
            </w:pPr>
          </w:p>
        </w:tc>
        <w:tc>
          <w:tcPr>
            <w:tcW w:w="112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gridSpan w:val="2"/>
          </w:tcPr>
          <w:p>
            <w:pPr>
              <w:spacing w:after="0"/>
              <w:rPr>
                <w:sz w:val="13"/>
                <w:szCs w:val="13"/>
                <w:color w:val="auto"/>
              </w:rPr>
            </w:pPr>
          </w:p>
        </w:tc>
        <w:tc>
          <w:tcPr>
            <w:tcW w:w="1240" w:type="dxa"/>
            <w:vAlign w:val="bottom"/>
            <w:tcBorders>
              <w:top w:val="single" w:sz="8" w:color="CCEEFF"/>
            </w:tcBorders>
            <w:gridSpan w:val="2"/>
          </w:tcPr>
          <w:p>
            <w:pPr>
              <w:spacing w:after="0"/>
              <w:rPr>
                <w:sz w:val="13"/>
                <w:szCs w:val="13"/>
                <w:color w:val="auto"/>
              </w:rPr>
            </w:pPr>
          </w:p>
        </w:tc>
        <w:tc>
          <w:tcPr>
            <w:tcW w:w="11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4"/>
                <w:szCs w:val="14"/>
                <w:color w:val="auto"/>
              </w:rPr>
              <w:t>Net interest income</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59,758</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61,082</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3060" w:type="dxa"/>
            <w:vAlign w:val="bottom"/>
            <w:tcBorders>
              <w:top w:val="single" w:sz="8" w:color="CCEEFF"/>
            </w:tcBorders>
          </w:tcPr>
          <w:p>
            <w:pPr>
              <w:spacing w:after="0"/>
              <w:rPr>
                <w:sz w:val="20"/>
                <w:szCs w:val="20"/>
                <w:color w:val="auto"/>
              </w:rPr>
            </w:pPr>
            <w:r>
              <w:rPr>
                <w:rFonts w:ascii="Arial" w:cs="Arial" w:eastAsia="Arial" w:hAnsi="Arial"/>
                <w:sz w:val="14"/>
                <w:szCs w:val="14"/>
                <w:color w:val="auto"/>
              </w:rPr>
              <w:t xml:space="preserve">Net interest margin </w:t>
            </w:r>
            <w:r>
              <w:rPr>
                <w:rFonts w:ascii="Arial" w:cs="Arial" w:eastAsia="Arial" w:hAnsi="Arial"/>
                <w:sz w:val="23"/>
                <w:szCs w:val="23"/>
                <w:color w:val="auto"/>
                <w:vertAlign w:val="superscript"/>
              </w:rPr>
              <w:t>(2)</w:t>
            </w:r>
          </w:p>
        </w:tc>
        <w:tc>
          <w:tcPr>
            <w:tcW w:w="20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9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36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4"/>
                <w:szCs w:val="14"/>
                <w:color w:val="auto"/>
              </w:rPr>
              <w:t>3.47%</w:t>
            </w:r>
          </w:p>
        </w:tc>
        <w:tc>
          <w:tcPr>
            <w:tcW w:w="200" w:type="dxa"/>
            <w:vAlign w:val="bottom"/>
            <w:tcBorders>
              <w:top w:val="single" w:sz="8" w:color="CCEEFF"/>
            </w:tcBorders>
          </w:tcPr>
          <w:p>
            <w:pPr>
              <w:spacing w:after="0"/>
              <w:rPr>
                <w:sz w:val="24"/>
                <w:szCs w:val="24"/>
                <w:color w:val="auto"/>
              </w:rPr>
            </w:pPr>
          </w:p>
        </w:tc>
        <w:tc>
          <w:tcPr>
            <w:tcW w:w="9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40" w:type="dxa"/>
            <w:vAlign w:val="bottom"/>
            <w:tcBorders>
              <w:top w:val="single" w:sz="8" w:color="CCEEFF"/>
            </w:tcBorders>
            <w:gridSpan w:val="2"/>
          </w:tcPr>
          <w:p>
            <w:pPr>
              <w:jc w:val="right"/>
              <w:spacing w:after="0"/>
              <w:rPr>
                <w:sz w:val="20"/>
                <w:szCs w:val="20"/>
                <w:color w:val="auto"/>
              </w:rPr>
            </w:pPr>
            <w:r>
              <w:rPr>
                <w:rFonts w:ascii="Arial" w:cs="Arial" w:eastAsia="Arial" w:hAnsi="Arial"/>
                <w:sz w:val="14"/>
                <w:szCs w:val="14"/>
                <w:color w:val="auto"/>
              </w:rPr>
              <w:t>3.95%</w:t>
            </w:r>
          </w:p>
        </w:tc>
        <w:tc>
          <w:tcPr>
            <w:tcW w:w="0" w:type="dxa"/>
            <w:vAlign w:val="bottom"/>
          </w:tcPr>
          <w:p>
            <w:pPr>
              <w:spacing w:after="0"/>
              <w:rPr>
                <w:sz w:val="1"/>
                <w:szCs w:val="1"/>
                <w:color w:val="auto"/>
              </w:rPr>
            </w:pPr>
          </w:p>
        </w:tc>
      </w:tr>
    </w:tbl>
    <w:p>
      <w:pPr>
        <w:spacing w:after="0" w:line="43" w:lineRule="exact"/>
        <w:rPr>
          <w:sz w:val="20"/>
          <w:szCs w:val="20"/>
          <w:color w:val="auto"/>
        </w:rPr>
      </w:pPr>
    </w:p>
    <w:p>
      <w:pPr>
        <w:ind w:left="260" w:hanging="254"/>
        <w:spacing w:after="0"/>
        <w:tabs>
          <w:tab w:leader="none" w:pos="260" w:val="left"/>
        </w:tabs>
        <w:numPr>
          <w:ilvl w:val="0"/>
          <w:numId w:val="7"/>
        </w:numPr>
        <w:rPr>
          <w:rFonts w:ascii="Arial" w:cs="Arial" w:eastAsia="Arial" w:hAnsi="Arial"/>
          <w:sz w:val="14"/>
          <w:szCs w:val="14"/>
          <w:color w:val="auto"/>
        </w:rPr>
      </w:pPr>
      <w:r>
        <w:rPr>
          <w:rFonts w:ascii="Arial" w:cs="Arial" w:eastAsia="Arial" w:hAnsi="Arial"/>
          <w:sz w:val="14"/>
          <w:szCs w:val="14"/>
          <w:color w:val="auto"/>
        </w:rPr>
        <w:t>Average loan balances include nonaccrual loans and loans held for sale.</w:t>
      </w:r>
    </w:p>
    <w:p>
      <w:pPr>
        <w:spacing w:after="0" w:line="20" w:lineRule="exact"/>
        <w:rPr>
          <w:rFonts w:ascii="Arial" w:cs="Arial" w:eastAsia="Arial" w:hAnsi="Arial"/>
          <w:sz w:val="14"/>
          <w:szCs w:val="14"/>
          <w:color w:val="auto"/>
        </w:rPr>
      </w:pPr>
    </w:p>
    <w:p>
      <w:pPr>
        <w:ind w:left="260" w:hanging="254"/>
        <w:spacing w:after="0"/>
        <w:tabs>
          <w:tab w:leader="none" w:pos="260" w:val="left"/>
        </w:tabs>
        <w:numPr>
          <w:ilvl w:val="0"/>
          <w:numId w:val="7"/>
        </w:numPr>
        <w:rPr>
          <w:rFonts w:ascii="Arial" w:cs="Arial" w:eastAsia="Arial" w:hAnsi="Arial"/>
          <w:sz w:val="14"/>
          <w:szCs w:val="14"/>
          <w:color w:val="auto"/>
        </w:rPr>
      </w:pPr>
      <w:r>
        <w:rPr>
          <w:rFonts w:ascii="Arial" w:cs="Arial" w:eastAsia="Arial" w:hAnsi="Arial"/>
          <w:sz w:val="14"/>
          <w:szCs w:val="14"/>
          <w:color w:val="auto"/>
        </w:rPr>
        <w:t>Net interest margin is calculated as the annualized net income, on a fully tax-equivalent basis, divided by average interest-earning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219710</wp:posOffset>
            </wp:positionV>
            <wp:extent cx="7160260" cy="139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 w:name="page12"/>
    <w:bookmarkEnd w:id="11"/>
    <w:p>
      <w:pPr>
        <w:spacing w:after="0"/>
        <w:rPr>
          <w:sz w:val="20"/>
          <w:szCs w:val="20"/>
          <w:color w:val="auto"/>
        </w:rPr>
      </w:pPr>
      <w:r>
        <w:rPr>
          <w:rFonts w:ascii="Arial" w:cs="Arial" w:eastAsia="Arial" w:hAnsi="Arial"/>
          <w:sz w:val="14"/>
          <w:szCs w:val="14"/>
          <w:b w:val="1"/>
          <w:bCs w:val="1"/>
          <w:color w:val="auto"/>
        </w:rPr>
        <w:t>South Plains Financial, Inc.</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Balance Sheets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(Unaudited)</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(Dollars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86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9"/>
              <w:spacing w:after="0"/>
              <w:rPr>
                <w:sz w:val="20"/>
                <w:szCs w:val="20"/>
                <w:color w:val="auto"/>
              </w:rPr>
            </w:pPr>
            <w:r>
              <w:rPr>
                <w:rFonts w:ascii="Arial" w:cs="Arial" w:eastAsia="Arial" w:hAnsi="Arial"/>
                <w:sz w:val="14"/>
                <w:szCs w:val="14"/>
                <w:b w:val="1"/>
                <w:bCs w:val="1"/>
                <w:color w:val="auto"/>
              </w:rPr>
              <w:t>As of</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right"/>
              <w:ind w:right="540"/>
              <w:spacing w:after="0" w:line="157"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3"/>
                <w:szCs w:val="13"/>
                <w:color w:val="auto"/>
              </w:rPr>
            </w:pPr>
          </w:p>
        </w:tc>
        <w:tc>
          <w:tcPr>
            <w:tcW w:w="1020" w:type="dxa"/>
            <w:vAlign w:val="bottom"/>
          </w:tcPr>
          <w:p>
            <w:pPr>
              <w:jc w:val="right"/>
              <w:ind w:right="68"/>
              <w:spacing w:after="0" w:line="157" w:lineRule="exact"/>
              <w:rPr>
                <w:sz w:val="20"/>
                <w:szCs w:val="20"/>
                <w:color w:val="auto"/>
              </w:rPr>
            </w:pPr>
            <w:r>
              <w:rPr>
                <w:rFonts w:ascii="Arial" w:cs="Arial" w:eastAsia="Arial" w:hAnsi="Arial"/>
                <w:sz w:val="14"/>
                <w:szCs w:val="14"/>
                <w:b w:val="1"/>
                <w:bCs w:val="1"/>
                <w:color w:val="auto"/>
                <w:w w:val="94"/>
              </w:rPr>
              <w:t>December 31,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3"/>
        </w:trPr>
        <w:tc>
          <w:tcPr>
            <w:tcW w:w="8700" w:type="dxa"/>
            <w:vAlign w:val="bottom"/>
            <w:gridSpan w:val="2"/>
          </w:tcPr>
          <w:p>
            <w:pPr>
              <w:spacing w:after="0"/>
              <w:rPr>
                <w:sz w:val="20"/>
                <w:szCs w:val="20"/>
                <w:color w:val="auto"/>
              </w:rPr>
            </w:pPr>
            <w:r>
              <w:rPr>
                <w:rFonts w:ascii="Arial" w:cs="Arial" w:eastAsia="Arial" w:hAnsi="Arial"/>
                <w:sz w:val="14"/>
                <w:szCs w:val="14"/>
                <w:b w:val="1"/>
                <w:bCs w:val="1"/>
                <w:color w:val="auto"/>
              </w:rPr>
              <w:t>Assets</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4"/>
                <w:szCs w:val="14"/>
                <w:color w:val="auto"/>
              </w:rPr>
              <w:t>Cash and due from banks</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67,915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76,146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80" w:type="dxa"/>
            <w:vAlign w:val="bottom"/>
          </w:tcPr>
          <w:p>
            <w:pPr>
              <w:spacing w:after="0"/>
              <w:rPr>
                <w:sz w:val="20"/>
                <w:szCs w:val="20"/>
                <w:color w:val="auto"/>
              </w:rPr>
            </w:pPr>
            <w:r>
              <w:rPr>
                <w:rFonts w:ascii="Arial" w:cs="Arial" w:eastAsia="Arial" w:hAnsi="Arial"/>
                <w:sz w:val="14"/>
                <w:szCs w:val="14"/>
                <w:color w:val="auto"/>
              </w:rPr>
              <w:t>Interest-bearing deposits in banks</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316,034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224,161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4"/>
                <w:szCs w:val="14"/>
                <w:color w:val="auto"/>
              </w:rPr>
              <w:t>Federal funds sold</w:t>
            </w:r>
          </w:p>
        </w:tc>
        <w:tc>
          <w:tcPr>
            <w:tcW w:w="2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80" w:type="dxa"/>
            <w:vAlign w:val="bottom"/>
          </w:tcPr>
          <w:p>
            <w:pPr>
              <w:spacing w:after="0"/>
              <w:rPr>
                <w:sz w:val="20"/>
                <w:szCs w:val="20"/>
                <w:color w:val="auto"/>
              </w:rPr>
            </w:pPr>
            <w:r>
              <w:rPr>
                <w:rFonts w:ascii="Arial" w:cs="Arial" w:eastAsia="Arial" w:hAnsi="Arial"/>
                <w:sz w:val="14"/>
                <w:szCs w:val="14"/>
                <w:color w:val="auto"/>
              </w:rPr>
              <w:t>Investment securities</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777,613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803,087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4"/>
                <w:szCs w:val="14"/>
                <w:color w:val="auto"/>
              </w:rPr>
              <w:t>Loans held for sale</w:t>
            </w:r>
          </w:p>
        </w:tc>
        <w:tc>
          <w:tcPr>
            <w:tcW w:w="2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79,938</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111,477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80" w:type="dxa"/>
            <w:vAlign w:val="bottom"/>
          </w:tcPr>
          <w:p>
            <w:pPr>
              <w:spacing w:after="0"/>
              <w:rPr>
                <w:sz w:val="20"/>
                <w:szCs w:val="20"/>
                <w:color w:val="auto"/>
              </w:rPr>
            </w:pPr>
            <w:r>
              <w:rPr>
                <w:rFonts w:ascii="Arial" w:cs="Arial" w:eastAsia="Arial" w:hAnsi="Arial"/>
                <w:sz w:val="14"/>
                <w:szCs w:val="14"/>
                <w:color w:val="auto"/>
              </w:rPr>
              <w:t>Loans held for investment</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2,303,462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2,221,583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4"/>
                <w:szCs w:val="14"/>
                <w:color w:val="auto"/>
              </w:rPr>
              <w:t>Less: Allowance for loan losses</w:t>
            </w:r>
          </w:p>
        </w:tc>
        <w:tc>
          <w:tcPr>
            <w:tcW w:w="2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(42,963)</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(45,553)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80" w:type="dxa"/>
            <w:vAlign w:val="bottom"/>
            <w:tcBorders>
              <w:top w:val="single" w:sz="8" w:color="CCEEFF"/>
            </w:tcBorders>
          </w:tcPr>
          <w:p>
            <w:pPr>
              <w:spacing w:after="0"/>
              <w:rPr>
                <w:sz w:val="20"/>
                <w:szCs w:val="20"/>
                <w:color w:val="auto"/>
              </w:rPr>
            </w:pPr>
            <w:r>
              <w:rPr>
                <w:rFonts w:ascii="Arial" w:cs="Arial" w:eastAsia="Arial" w:hAnsi="Arial"/>
                <w:sz w:val="14"/>
                <w:szCs w:val="14"/>
                <w:color w:val="auto"/>
              </w:rPr>
              <w:t>Net loans held for investment</w:t>
            </w: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2,260,499</w:t>
            </w:r>
          </w:p>
        </w:tc>
        <w:tc>
          <w:tcPr>
            <w:tcW w:w="2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2,176,030</w:t>
            </w: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4"/>
                <w:szCs w:val="14"/>
                <w:color w:val="auto"/>
              </w:rPr>
              <w:t>Premises and equipment, net</w:t>
            </w:r>
          </w:p>
        </w:tc>
        <w:tc>
          <w:tcPr>
            <w:tcW w:w="2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59,127</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60,331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80" w:type="dxa"/>
            <w:vAlign w:val="bottom"/>
          </w:tcPr>
          <w:p>
            <w:pPr>
              <w:spacing w:after="0"/>
              <w:rPr>
                <w:sz w:val="20"/>
                <w:szCs w:val="20"/>
                <w:color w:val="auto"/>
              </w:rPr>
            </w:pPr>
            <w:r>
              <w:rPr>
                <w:rFonts w:ascii="Arial" w:cs="Arial" w:eastAsia="Arial" w:hAnsi="Arial"/>
                <w:sz w:val="14"/>
                <w:szCs w:val="14"/>
                <w:color w:val="auto"/>
              </w:rPr>
              <w:t>Goodwill</w:t>
            </w:r>
          </w:p>
        </w:tc>
        <w:tc>
          <w:tcPr>
            <w:tcW w:w="20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19,508</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19,508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4"/>
                <w:szCs w:val="14"/>
                <w:color w:val="auto"/>
              </w:rPr>
              <w:t>Intangible assets</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6,718</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7,562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680" w:type="dxa"/>
            <w:vAlign w:val="bottom"/>
          </w:tcPr>
          <w:p>
            <w:pPr>
              <w:spacing w:after="0"/>
              <w:rPr>
                <w:sz w:val="20"/>
                <w:szCs w:val="20"/>
                <w:color w:val="auto"/>
              </w:rPr>
            </w:pPr>
            <w:r>
              <w:rPr>
                <w:rFonts w:ascii="Arial" w:cs="Arial" w:eastAsia="Arial" w:hAnsi="Arial"/>
                <w:sz w:val="14"/>
                <w:szCs w:val="14"/>
                <w:color w:val="auto"/>
              </w:rPr>
              <w:t>Other assets</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127,002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120,858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assets</w:t>
            </w: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3,714,354</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3,599,160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8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Liabilities and Stockholders’ Equity Liabilities</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80" w:type="dxa"/>
            <w:vAlign w:val="bottom"/>
          </w:tcPr>
          <w:p>
            <w:pPr>
              <w:spacing w:after="0"/>
              <w:rPr>
                <w:sz w:val="20"/>
                <w:szCs w:val="20"/>
                <w:color w:val="auto"/>
              </w:rPr>
            </w:pPr>
            <w:r>
              <w:rPr>
                <w:rFonts w:ascii="Arial" w:cs="Arial" w:eastAsia="Arial" w:hAnsi="Arial"/>
                <w:sz w:val="14"/>
                <w:szCs w:val="14"/>
                <w:color w:val="auto"/>
              </w:rPr>
              <w:t>Noninterest bearing deposits</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998,941</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917,322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Interest-bearing deposits</w:t>
            </w:r>
          </w:p>
        </w:tc>
        <w:tc>
          <w:tcPr>
            <w:tcW w:w="2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2,159,554</w:t>
            </w: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2,057,029</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80" w:type="dxa"/>
            <w:vAlign w:val="bottom"/>
          </w:tcPr>
          <w:p>
            <w:pPr>
              <w:spacing w:after="0"/>
              <w:rPr>
                <w:sz w:val="20"/>
                <w:szCs w:val="20"/>
                <w:color w:val="auto"/>
              </w:rPr>
            </w:pPr>
            <w:r>
              <w:rPr>
                <w:rFonts w:ascii="Arial" w:cs="Arial" w:eastAsia="Arial" w:hAnsi="Arial"/>
                <w:sz w:val="14"/>
                <w:szCs w:val="14"/>
                <w:color w:val="auto"/>
              </w:rPr>
              <w:t>Total deposits</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3,158,495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2,974,351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4"/>
                <w:szCs w:val="14"/>
                <w:color w:val="auto"/>
              </w:rPr>
              <w:t>Other borrowings</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3,890</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101,550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80" w:type="dxa"/>
            <w:vAlign w:val="bottom"/>
          </w:tcPr>
          <w:p>
            <w:pPr>
              <w:spacing w:after="0"/>
              <w:rPr>
                <w:sz w:val="20"/>
                <w:szCs w:val="20"/>
                <w:color w:val="auto"/>
              </w:rPr>
            </w:pPr>
            <w:r>
              <w:rPr>
                <w:rFonts w:ascii="Arial" w:cs="Arial" w:eastAsia="Arial" w:hAnsi="Arial"/>
                <w:sz w:val="14"/>
                <w:szCs w:val="14"/>
                <w:color w:val="auto"/>
              </w:rPr>
              <w:t>Subordinated debt securities</w:t>
            </w:r>
          </w:p>
        </w:tc>
        <w:tc>
          <w:tcPr>
            <w:tcW w:w="20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75,682</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75,589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4"/>
                <w:szCs w:val="14"/>
                <w:color w:val="auto"/>
              </w:rPr>
              <w:t>Trust preferred subordinated debentures</w:t>
            </w:r>
          </w:p>
        </w:tc>
        <w:tc>
          <w:tcPr>
            <w:tcW w:w="2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46,393</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46,393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680" w:type="dxa"/>
            <w:vAlign w:val="bottom"/>
          </w:tcPr>
          <w:p>
            <w:pPr>
              <w:spacing w:after="0"/>
              <w:rPr>
                <w:sz w:val="20"/>
                <w:szCs w:val="20"/>
                <w:color w:val="auto"/>
              </w:rPr>
            </w:pPr>
            <w:r>
              <w:rPr>
                <w:rFonts w:ascii="Arial" w:cs="Arial" w:eastAsia="Arial" w:hAnsi="Arial"/>
                <w:sz w:val="14"/>
                <w:szCs w:val="14"/>
                <w:color w:val="auto"/>
              </w:rPr>
              <w:t>Other liabilities</w:t>
            </w:r>
          </w:p>
        </w:tc>
        <w:tc>
          <w:tcPr>
            <w:tcW w:w="20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35,640</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31,229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4"/>
                <w:szCs w:val="14"/>
                <w:color w:val="auto"/>
              </w:rPr>
              <w:t>Total liabilities</w:t>
            </w: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3,320,100</w:t>
            </w:r>
          </w:p>
        </w:tc>
        <w:tc>
          <w:tcPr>
            <w:tcW w:w="2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3,229,112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80" w:type="dxa"/>
            <w:vAlign w:val="bottom"/>
          </w:tcPr>
          <w:p>
            <w:pPr>
              <w:spacing w:after="0"/>
              <w:rPr>
                <w:sz w:val="20"/>
                <w:szCs w:val="20"/>
                <w:color w:val="auto"/>
              </w:rPr>
            </w:pPr>
            <w:r>
              <w:rPr>
                <w:rFonts w:ascii="Arial" w:cs="Arial" w:eastAsia="Arial" w:hAnsi="Arial"/>
                <w:sz w:val="14"/>
                <w:szCs w:val="14"/>
                <w:b w:val="1"/>
                <w:bCs w:val="1"/>
                <w:color w:val="auto"/>
              </w:rPr>
              <w:t>Stockholders’ Equity</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4"/>
                <w:szCs w:val="14"/>
                <w:color w:val="auto"/>
              </w:rPr>
              <w:t>Common stock</w:t>
            </w:r>
          </w:p>
        </w:tc>
        <w:tc>
          <w:tcPr>
            <w:tcW w:w="2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18,014</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18,076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80" w:type="dxa"/>
            <w:vAlign w:val="bottom"/>
          </w:tcPr>
          <w:p>
            <w:pPr>
              <w:spacing w:after="0"/>
              <w:rPr>
                <w:sz w:val="20"/>
                <w:szCs w:val="20"/>
                <w:color w:val="auto"/>
              </w:rPr>
            </w:pPr>
            <w:r>
              <w:rPr>
                <w:rFonts w:ascii="Arial" w:cs="Arial" w:eastAsia="Arial" w:hAnsi="Arial"/>
                <w:sz w:val="14"/>
                <w:szCs w:val="14"/>
                <w:color w:val="auto"/>
              </w:rPr>
              <w:t>Additional paid-in capital</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140,212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141,112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4"/>
                <w:szCs w:val="14"/>
                <w:color w:val="auto"/>
              </w:rPr>
              <w:t>Retained earnings</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216,164</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189,521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680" w:type="dxa"/>
            <w:vAlign w:val="bottom"/>
          </w:tcPr>
          <w:p>
            <w:pPr>
              <w:spacing w:after="0"/>
              <w:rPr>
                <w:sz w:val="20"/>
                <w:szCs w:val="20"/>
                <w:color w:val="auto"/>
              </w:rPr>
            </w:pPr>
            <w:r>
              <w:rPr>
                <w:rFonts w:ascii="Arial" w:cs="Arial" w:eastAsia="Arial" w:hAnsi="Arial"/>
                <w:sz w:val="14"/>
                <w:szCs w:val="14"/>
                <w:color w:val="auto"/>
              </w:rPr>
              <w:t>Accumulated other comprehensive income (loss)</w:t>
            </w:r>
          </w:p>
        </w:tc>
        <w:tc>
          <w:tcPr>
            <w:tcW w:w="20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19,864</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21,339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stockholders’ equity</w:t>
            </w: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394,254</w:t>
            </w: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370,048</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80" w:type="dxa"/>
            <w:vAlign w:val="bottom"/>
          </w:tcPr>
          <w:p>
            <w:pPr>
              <w:spacing w:after="0"/>
              <w:rPr>
                <w:sz w:val="20"/>
                <w:szCs w:val="20"/>
                <w:color w:val="auto"/>
              </w:rPr>
            </w:pPr>
            <w:r>
              <w:rPr>
                <w:rFonts w:ascii="Arial" w:cs="Arial" w:eastAsia="Arial" w:hAnsi="Arial"/>
                <w:sz w:val="14"/>
                <w:szCs w:val="14"/>
                <w:color w:val="auto"/>
              </w:rPr>
              <w:t>Total liabilities and stockholders’ equity</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3,714,354</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3,599,160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8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25" w:right="319" w:bottom="1440" w:gutter="0" w:footer="0" w:header="0"/>
        </w:sectPr>
      </w:pPr>
    </w:p>
    <w:bookmarkStart w:id="12" w:name="page13"/>
    <w:bookmarkEnd w:id="12"/>
    <w:p>
      <w:pPr>
        <w:spacing w:after="0"/>
        <w:rPr>
          <w:sz w:val="20"/>
          <w:szCs w:val="20"/>
          <w:color w:val="auto"/>
        </w:rPr>
      </w:pPr>
      <w:r>
        <w:rPr>
          <w:rFonts w:ascii="Arial" w:cs="Arial" w:eastAsia="Arial" w:hAnsi="Arial"/>
          <w:sz w:val="14"/>
          <w:szCs w:val="14"/>
          <w:b w:val="1"/>
          <w:bCs w:val="1"/>
          <w:color w:val="auto"/>
        </w:rPr>
        <w:t>South Plains Financial, Inc.</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Statements of Income</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(Unaudited)</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(Dollars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4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6"/>
                <w:szCs w:val="16"/>
                <w:color w:val="auto"/>
              </w:rPr>
            </w:pPr>
          </w:p>
        </w:tc>
        <w:tc>
          <w:tcPr>
            <w:tcW w:w="2380" w:type="dxa"/>
            <w:vAlign w:val="bottom"/>
            <w:gridSpan w:val="5"/>
          </w:tcPr>
          <w:p>
            <w:pPr>
              <w:ind w:left="4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right"/>
              <w:ind w:right="540"/>
              <w:spacing w:after="0" w:line="157" w:lineRule="exact"/>
              <w:rPr>
                <w:sz w:val="20"/>
                <w:szCs w:val="20"/>
                <w:color w:val="auto"/>
              </w:rPr>
            </w:pPr>
            <w:r>
              <w:rPr>
                <w:rFonts w:ascii="Arial" w:cs="Arial" w:eastAsia="Arial" w:hAnsi="Arial"/>
                <w:sz w:val="14"/>
                <w:szCs w:val="14"/>
                <w:b w:val="1"/>
                <w:bCs w:val="1"/>
                <w:color w:val="auto"/>
              </w:rPr>
              <w:t>June 30,</w:t>
            </w: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228"/>
              <w:spacing w:after="0" w:line="157"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2"/>
          </w:tcPr>
          <w:p>
            <w:pPr>
              <w:jc w:val="right"/>
              <w:ind w:right="520"/>
              <w:spacing w:after="0" w:line="157" w:lineRule="exact"/>
              <w:rPr>
                <w:sz w:val="20"/>
                <w:szCs w:val="20"/>
                <w:color w:val="auto"/>
              </w:rPr>
            </w:pPr>
            <w:r>
              <w:rPr>
                <w:rFonts w:ascii="Arial" w:cs="Arial" w:eastAsia="Arial" w:hAnsi="Arial"/>
                <w:sz w:val="14"/>
                <w:szCs w:val="14"/>
                <w:b w:val="1"/>
                <w:bCs w:val="1"/>
                <w:color w:val="auto"/>
              </w:rPr>
              <w:t>June 30,</w:t>
            </w:r>
          </w:p>
        </w:tc>
        <w:tc>
          <w:tcPr>
            <w:tcW w:w="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248"/>
              <w:spacing w:after="0" w:line="157"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3"/>
        </w:trPr>
        <w:tc>
          <w:tcPr>
            <w:tcW w:w="4420" w:type="dxa"/>
            <w:vAlign w:val="bottom"/>
            <w:gridSpan w:val="2"/>
          </w:tcPr>
          <w:p>
            <w:pPr>
              <w:spacing w:after="0"/>
              <w:rPr>
                <w:sz w:val="20"/>
                <w:szCs w:val="20"/>
                <w:color w:val="auto"/>
              </w:rPr>
            </w:pPr>
            <w:r>
              <w:rPr>
                <w:rFonts w:ascii="Arial" w:cs="Arial" w:eastAsia="Arial" w:hAnsi="Arial"/>
                <w:sz w:val="14"/>
                <w:szCs w:val="14"/>
                <w:b w:val="1"/>
                <w:bCs w:val="1"/>
                <w:color w:val="auto"/>
              </w:rPr>
              <w:t>Interest income:</w:t>
            </w: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4"/>
                <w:szCs w:val="14"/>
                <w:color w:val="auto"/>
              </w:rPr>
              <w:t>Loans, including fees</w:t>
            </w:r>
          </w:p>
        </w:tc>
        <w:tc>
          <w:tcPr>
            <w:tcW w:w="176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29,360</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29,861</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58,640</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60,876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00" w:type="dxa"/>
            <w:vAlign w:val="bottom"/>
          </w:tcPr>
          <w:p>
            <w:pPr>
              <w:spacing w:after="0"/>
              <w:rPr>
                <w:sz w:val="20"/>
                <w:szCs w:val="20"/>
                <w:color w:val="auto"/>
              </w:rPr>
            </w:pPr>
            <w:r>
              <w:rPr>
                <w:rFonts w:ascii="Arial" w:cs="Arial" w:eastAsia="Arial" w:hAnsi="Arial"/>
                <w:sz w:val="14"/>
                <w:szCs w:val="14"/>
                <w:color w:val="auto"/>
              </w:rPr>
              <w:t>Other</w:t>
            </w:r>
          </w:p>
        </w:tc>
        <w:tc>
          <w:tcPr>
            <w:tcW w:w="1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3,656</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4,146</w:t>
            </w:r>
          </w:p>
        </w:tc>
        <w:tc>
          <w:tcPr>
            <w:tcW w:w="1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7,358</w:t>
            </w:r>
          </w:p>
        </w:tc>
        <w:tc>
          <w:tcPr>
            <w:tcW w:w="18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8,868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4"/>
                <w:szCs w:val="14"/>
                <w:color w:val="auto"/>
              </w:rPr>
              <w:t>Total Interest income</w:t>
            </w:r>
          </w:p>
        </w:tc>
        <w:tc>
          <w:tcPr>
            <w:tcW w:w="156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33,016</w:t>
            </w:r>
          </w:p>
        </w:tc>
        <w:tc>
          <w:tcPr>
            <w:tcW w:w="24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34,007</w:t>
            </w:r>
          </w:p>
        </w:tc>
        <w:tc>
          <w:tcPr>
            <w:tcW w:w="22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65,998</w:t>
            </w:r>
          </w:p>
        </w:tc>
        <w:tc>
          <w:tcPr>
            <w:tcW w:w="22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69,744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tcPr>
          <w:p>
            <w:pPr>
              <w:spacing w:after="0"/>
              <w:rPr>
                <w:sz w:val="20"/>
                <w:szCs w:val="20"/>
                <w:color w:val="auto"/>
              </w:rPr>
            </w:pPr>
            <w:r>
              <w:rPr>
                <w:rFonts w:ascii="Arial" w:cs="Arial" w:eastAsia="Arial" w:hAnsi="Arial"/>
                <w:sz w:val="14"/>
                <w:szCs w:val="14"/>
                <w:b w:val="1"/>
                <w:bCs w:val="1"/>
                <w:color w:val="auto"/>
              </w:rPr>
              <w:t>Interest expense:</w:t>
            </w:r>
          </w:p>
        </w:tc>
        <w:tc>
          <w:tcPr>
            <w:tcW w:w="1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4"/>
                <w:szCs w:val="14"/>
                <w:color w:val="auto"/>
              </w:rPr>
              <w:t>Deposits</w:t>
            </w:r>
          </w:p>
        </w:tc>
        <w:tc>
          <w:tcPr>
            <w:tcW w:w="1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2,186</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2,760</w:t>
            </w: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4,343</w:t>
            </w: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7,043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tcPr>
          <w:p>
            <w:pPr>
              <w:spacing w:after="0"/>
              <w:rPr>
                <w:sz w:val="20"/>
                <w:szCs w:val="20"/>
                <w:color w:val="auto"/>
              </w:rPr>
            </w:pPr>
            <w:r>
              <w:rPr>
                <w:rFonts w:ascii="Arial" w:cs="Arial" w:eastAsia="Arial" w:hAnsi="Arial"/>
                <w:sz w:val="14"/>
                <w:szCs w:val="14"/>
                <w:color w:val="auto"/>
              </w:rPr>
              <w:t>Subordinated debt securities</w:t>
            </w:r>
          </w:p>
        </w:tc>
        <w:tc>
          <w:tcPr>
            <w:tcW w:w="1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1,012</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403</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2,031</w:t>
            </w:r>
          </w:p>
        </w:tc>
        <w:tc>
          <w:tcPr>
            <w:tcW w:w="18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807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4"/>
                <w:szCs w:val="14"/>
                <w:color w:val="auto"/>
              </w:rPr>
              <w:t>Trust preferred subordinated debentures</w:t>
            </w:r>
          </w:p>
        </w:tc>
        <w:tc>
          <w:tcPr>
            <w:tcW w:w="1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294</w:t>
            </w: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444</w:t>
            </w: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695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00" w:type="dxa"/>
            <w:vAlign w:val="bottom"/>
          </w:tcPr>
          <w:p>
            <w:pPr>
              <w:spacing w:after="0"/>
              <w:rPr>
                <w:sz w:val="20"/>
                <w:szCs w:val="20"/>
                <w:color w:val="auto"/>
              </w:rPr>
            </w:pPr>
            <w:r>
              <w:rPr>
                <w:rFonts w:ascii="Arial" w:cs="Arial" w:eastAsia="Arial" w:hAnsi="Arial"/>
                <w:sz w:val="14"/>
                <w:szCs w:val="14"/>
                <w:color w:val="auto"/>
              </w:rPr>
              <w:t>Other</w:t>
            </w:r>
          </w:p>
        </w:tc>
        <w:tc>
          <w:tcPr>
            <w:tcW w:w="1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102</w:t>
            </w:r>
          </w:p>
        </w:tc>
        <w:tc>
          <w:tcPr>
            <w:tcW w:w="1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43</w:t>
            </w:r>
          </w:p>
        </w:tc>
        <w:tc>
          <w:tcPr>
            <w:tcW w:w="18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552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Interest expense</w:t>
            </w:r>
          </w:p>
        </w:tc>
        <w:tc>
          <w:tcPr>
            <w:tcW w:w="15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3,423</w:t>
            </w:r>
          </w:p>
        </w:tc>
        <w:tc>
          <w:tcPr>
            <w:tcW w:w="2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3,559</w:t>
            </w:r>
          </w:p>
        </w:tc>
        <w:tc>
          <w:tcPr>
            <w:tcW w:w="2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6,861</w:t>
            </w:r>
          </w:p>
        </w:tc>
        <w:tc>
          <w:tcPr>
            <w:tcW w:w="2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9,097</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tcPr>
          <w:p>
            <w:pPr>
              <w:spacing w:after="0"/>
              <w:rPr>
                <w:sz w:val="20"/>
                <w:szCs w:val="20"/>
                <w:color w:val="auto"/>
              </w:rPr>
            </w:pPr>
            <w:r>
              <w:rPr>
                <w:rFonts w:ascii="Arial" w:cs="Arial" w:eastAsia="Arial" w:hAnsi="Arial"/>
                <w:sz w:val="14"/>
                <w:szCs w:val="14"/>
                <w:color w:val="auto"/>
              </w:rPr>
              <w:t>Net interest income</w:t>
            </w:r>
          </w:p>
        </w:tc>
        <w:tc>
          <w:tcPr>
            <w:tcW w:w="1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29,593</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30,448</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59,137</w:t>
            </w:r>
          </w:p>
        </w:tc>
        <w:tc>
          <w:tcPr>
            <w:tcW w:w="18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60,647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Provision for loan losses</w:t>
            </w:r>
          </w:p>
        </w:tc>
        <w:tc>
          <w:tcPr>
            <w:tcW w:w="1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(2,007)</w:t>
            </w:r>
          </w:p>
        </w:tc>
        <w:tc>
          <w:tcPr>
            <w:tcW w:w="2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13,133</w:t>
            </w: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(1,918)</w:t>
            </w: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19,367</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440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vMerge w:val="continue"/>
          </w:tcPr>
          <w:p>
            <w:pPr>
              <w:spacing w:after="0"/>
              <w:rPr>
                <w:sz w:val="14"/>
                <w:szCs w:val="14"/>
                <w:color w:val="auto"/>
              </w:rPr>
            </w:pPr>
          </w:p>
        </w:tc>
        <w:tc>
          <w:tcPr>
            <w:tcW w:w="4400" w:type="dxa"/>
            <w:vAlign w:val="bottom"/>
          </w:tcPr>
          <w:p>
            <w:pPr>
              <w:spacing w:after="0"/>
              <w:rPr>
                <w:sz w:val="20"/>
                <w:szCs w:val="20"/>
                <w:color w:val="auto"/>
              </w:rPr>
            </w:pPr>
            <w:r>
              <w:rPr>
                <w:rFonts w:ascii="Arial" w:cs="Arial" w:eastAsia="Arial" w:hAnsi="Arial"/>
                <w:sz w:val="14"/>
                <w:szCs w:val="14"/>
                <w:color w:val="auto"/>
              </w:rPr>
              <w:t>Net interest income after provision for loan losses</w:t>
            </w:r>
          </w:p>
        </w:tc>
        <w:tc>
          <w:tcPr>
            <w:tcW w:w="1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31,600</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17,315</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61,055</w:t>
            </w:r>
          </w:p>
        </w:tc>
        <w:tc>
          <w:tcPr>
            <w:tcW w:w="18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41,280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Noninterest income:</w:t>
            </w:r>
          </w:p>
        </w:tc>
        <w:tc>
          <w:tcPr>
            <w:tcW w:w="1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tcPr>
          <w:p>
            <w:pPr>
              <w:spacing w:after="0"/>
              <w:rPr>
                <w:sz w:val="20"/>
                <w:szCs w:val="20"/>
                <w:color w:val="auto"/>
              </w:rPr>
            </w:pPr>
            <w:r>
              <w:rPr>
                <w:rFonts w:ascii="Arial" w:cs="Arial" w:eastAsia="Arial" w:hAnsi="Arial"/>
                <w:sz w:val="14"/>
                <w:szCs w:val="14"/>
                <w:color w:val="auto"/>
              </w:rPr>
              <w:t>Service charges on deposits</w:t>
            </w:r>
          </w:p>
        </w:tc>
        <w:tc>
          <w:tcPr>
            <w:tcW w:w="1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1,599</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1,439</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3,172</w:t>
            </w:r>
          </w:p>
        </w:tc>
        <w:tc>
          <w:tcPr>
            <w:tcW w:w="18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3,422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4"/>
                <w:szCs w:val="14"/>
                <w:color w:val="auto"/>
              </w:rPr>
              <w:t>Income from insurance activities</w:t>
            </w:r>
          </w:p>
        </w:tc>
        <w:tc>
          <w:tcPr>
            <w:tcW w:w="1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1,240</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1,022</w:t>
            </w: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2,352</w:t>
            </w: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2,181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tcPr>
          <w:p>
            <w:pPr>
              <w:spacing w:after="0"/>
              <w:rPr>
                <w:sz w:val="20"/>
                <w:szCs w:val="20"/>
                <w:color w:val="auto"/>
              </w:rPr>
            </w:pPr>
            <w:r>
              <w:rPr>
                <w:rFonts w:ascii="Arial" w:cs="Arial" w:eastAsia="Arial" w:hAnsi="Arial"/>
                <w:sz w:val="14"/>
                <w:szCs w:val="14"/>
                <w:color w:val="auto"/>
              </w:rPr>
              <w:t>Mortgage banking activities</w:t>
            </w:r>
          </w:p>
        </w:tc>
        <w:tc>
          <w:tcPr>
            <w:tcW w:w="1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13,711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17,955</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32,527</w:t>
            </w:r>
          </w:p>
        </w:tc>
        <w:tc>
          <w:tcPr>
            <w:tcW w:w="18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26,708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4"/>
                <w:szCs w:val="14"/>
                <w:color w:val="auto"/>
              </w:rPr>
              <w:t>Bank card services and interchange fees</w:t>
            </w:r>
          </w:p>
        </w:tc>
        <w:tc>
          <w:tcPr>
            <w:tcW w:w="1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3,073</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2,344</w:t>
            </w: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5,715</w:t>
            </w: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4,582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00" w:type="dxa"/>
            <w:vAlign w:val="bottom"/>
          </w:tcPr>
          <w:p>
            <w:pPr>
              <w:spacing w:after="0"/>
              <w:rPr>
                <w:sz w:val="20"/>
                <w:szCs w:val="20"/>
                <w:color w:val="auto"/>
              </w:rPr>
            </w:pPr>
            <w:r>
              <w:rPr>
                <w:rFonts w:ascii="Arial" w:cs="Arial" w:eastAsia="Arial" w:hAnsi="Arial"/>
                <w:sz w:val="14"/>
                <w:szCs w:val="14"/>
                <w:color w:val="auto"/>
              </w:rPr>
              <w:t>Other</w:t>
            </w:r>
          </w:p>
        </w:tc>
        <w:tc>
          <w:tcPr>
            <w:tcW w:w="1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2,627</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2,136</w:t>
            </w:r>
          </w:p>
        </w:tc>
        <w:tc>
          <w:tcPr>
            <w:tcW w:w="1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4,984</w:t>
            </w:r>
          </w:p>
        </w:tc>
        <w:tc>
          <w:tcPr>
            <w:tcW w:w="18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4,560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4"/>
                <w:szCs w:val="14"/>
                <w:color w:val="auto"/>
              </w:rPr>
              <w:t>Total Noninterest income</w:t>
            </w:r>
          </w:p>
        </w:tc>
        <w:tc>
          <w:tcPr>
            <w:tcW w:w="156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22,250</w:t>
            </w:r>
          </w:p>
        </w:tc>
        <w:tc>
          <w:tcPr>
            <w:tcW w:w="24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24,896</w:t>
            </w:r>
          </w:p>
        </w:tc>
        <w:tc>
          <w:tcPr>
            <w:tcW w:w="22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48,750</w:t>
            </w:r>
          </w:p>
        </w:tc>
        <w:tc>
          <w:tcPr>
            <w:tcW w:w="22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43,771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tcPr>
          <w:p>
            <w:pPr>
              <w:spacing w:after="0"/>
              <w:rPr>
                <w:sz w:val="20"/>
                <w:szCs w:val="20"/>
                <w:color w:val="auto"/>
              </w:rPr>
            </w:pPr>
            <w:r>
              <w:rPr>
                <w:rFonts w:ascii="Arial" w:cs="Arial" w:eastAsia="Arial" w:hAnsi="Arial"/>
                <w:sz w:val="14"/>
                <w:szCs w:val="14"/>
                <w:b w:val="1"/>
                <w:bCs w:val="1"/>
                <w:color w:val="auto"/>
              </w:rPr>
              <w:t>Noninterest expense:</w:t>
            </w:r>
          </w:p>
        </w:tc>
        <w:tc>
          <w:tcPr>
            <w:tcW w:w="1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4"/>
                <w:szCs w:val="14"/>
                <w:color w:val="auto"/>
              </w:rPr>
              <w:t>Salaries and employee benefits</w:t>
            </w:r>
          </w:p>
        </w:tc>
        <w:tc>
          <w:tcPr>
            <w:tcW w:w="1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23,377</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21,621</w:t>
            </w: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47,695</w:t>
            </w: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42,431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tcPr>
          <w:p>
            <w:pPr>
              <w:spacing w:after="0"/>
              <w:rPr>
                <w:sz w:val="20"/>
                <w:szCs w:val="20"/>
                <w:color w:val="auto"/>
              </w:rPr>
            </w:pPr>
            <w:r>
              <w:rPr>
                <w:rFonts w:ascii="Arial" w:cs="Arial" w:eastAsia="Arial" w:hAnsi="Arial"/>
                <w:sz w:val="14"/>
                <w:szCs w:val="14"/>
                <w:color w:val="auto"/>
              </w:rPr>
              <w:t>Net occupancy expense</w:t>
            </w:r>
          </w:p>
        </w:tc>
        <w:tc>
          <w:tcPr>
            <w:tcW w:w="1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3,499</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3,586</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7,064</w:t>
            </w:r>
          </w:p>
        </w:tc>
        <w:tc>
          <w:tcPr>
            <w:tcW w:w="18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7,186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4"/>
                <w:szCs w:val="14"/>
                <w:color w:val="auto"/>
              </w:rPr>
              <w:t>Professional services</w:t>
            </w:r>
          </w:p>
        </w:tc>
        <w:tc>
          <w:tcPr>
            <w:tcW w:w="1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1,522</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1,961</w:t>
            </w: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3,095</w:t>
            </w: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3,533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tcPr>
          <w:p>
            <w:pPr>
              <w:spacing w:after="0"/>
              <w:rPr>
                <w:sz w:val="20"/>
                <w:szCs w:val="20"/>
                <w:color w:val="auto"/>
              </w:rPr>
            </w:pPr>
            <w:r>
              <w:rPr>
                <w:rFonts w:ascii="Arial" w:cs="Arial" w:eastAsia="Arial" w:hAnsi="Arial"/>
                <w:sz w:val="14"/>
                <w:szCs w:val="14"/>
                <w:color w:val="auto"/>
              </w:rPr>
              <w:t>Marketing and development</w:t>
            </w:r>
          </w:p>
        </w:tc>
        <w:tc>
          <w:tcPr>
            <w:tcW w:w="1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812</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806</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1,380</w:t>
            </w:r>
          </w:p>
        </w:tc>
        <w:tc>
          <w:tcPr>
            <w:tcW w:w="18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1,574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4"/>
                <w:szCs w:val="14"/>
                <w:color w:val="auto"/>
              </w:rPr>
              <w:t>Other</w:t>
            </w:r>
          </w:p>
        </w:tc>
        <w:tc>
          <w:tcPr>
            <w:tcW w:w="1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7,568</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7,233</w:t>
            </w: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14,601</w:t>
            </w: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14,494</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440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4400" w:type="dxa"/>
            <w:vAlign w:val="bottom"/>
          </w:tcPr>
          <w:p>
            <w:pPr>
              <w:spacing w:after="0"/>
              <w:rPr>
                <w:sz w:val="20"/>
                <w:szCs w:val="20"/>
                <w:color w:val="auto"/>
              </w:rPr>
            </w:pPr>
            <w:r>
              <w:rPr>
                <w:rFonts w:ascii="Arial" w:cs="Arial" w:eastAsia="Arial" w:hAnsi="Arial"/>
                <w:sz w:val="14"/>
                <w:szCs w:val="14"/>
                <w:color w:val="auto"/>
              </w:rPr>
              <w:t>Total noninterest expense</w:t>
            </w:r>
          </w:p>
        </w:tc>
        <w:tc>
          <w:tcPr>
            <w:tcW w:w="1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36,778</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35,207</w:t>
            </w:r>
          </w:p>
        </w:tc>
        <w:tc>
          <w:tcPr>
            <w:tcW w:w="1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73,835</w:t>
            </w:r>
          </w:p>
        </w:tc>
        <w:tc>
          <w:tcPr>
            <w:tcW w:w="18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69,218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Income before income taxes</w:t>
            </w:r>
          </w:p>
        </w:tc>
        <w:tc>
          <w:tcPr>
            <w:tcW w:w="156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17,072</w:t>
            </w:r>
          </w:p>
        </w:tc>
        <w:tc>
          <w:tcPr>
            <w:tcW w:w="24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7,004</w:t>
            </w:r>
          </w:p>
        </w:tc>
        <w:tc>
          <w:tcPr>
            <w:tcW w:w="22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35,970</w:t>
            </w:r>
          </w:p>
        </w:tc>
        <w:tc>
          <w:tcPr>
            <w:tcW w:w="22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15,833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00" w:type="dxa"/>
            <w:vAlign w:val="bottom"/>
          </w:tcPr>
          <w:p>
            <w:pPr>
              <w:spacing w:after="0"/>
              <w:rPr>
                <w:sz w:val="20"/>
                <w:szCs w:val="20"/>
                <w:color w:val="auto"/>
              </w:rPr>
            </w:pPr>
            <w:r>
              <w:rPr>
                <w:rFonts w:ascii="Arial" w:cs="Arial" w:eastAsia="Arial" w:hAnsi="Arial"/>
                <w:sz w:val="14"/>
                <w:szCs w:val="14"/>
                <w:color w:val="auto"/>
              </w:rPr>
              <w:t>Income tax expense (benefit)</w:t>
            </w:r>
          </w:p>
        </w:tc>
        <w:tc>
          <w:tcPr>
            <w:tcW w:w="1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3,422</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1,389</w:t>
            </w:r>
          </w:p>
        </w:tc>
        <w:tc>
          <w:tcPr>
            <w:tcW w:w="1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7,160</w:t>
            </w:r>
          </w:p>
        </w:tc>
        <w:tc>
          <w:tcPr>
            <w:tcW w:w="18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3,135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Net income</w:t>
            </w:r>
          </w:p>
        </w:tc>
        <w:tc>
          <w:tcPr>
            <w:tcW w:w="15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13,650</w:t>
            </w:r>
          </w:p>
        </w:tc>
        <w:tc>
          <w:tcPr>
            <w:tcW w:w="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5,615</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28,810</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12,698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25" w:right="319" w:bottom="1440" w:gutter="0" w:footer="0" w:header="0"/>
        </w:sectPr>
      </w:pPr>
    </w:p>
    <w:bookmarkStart w:id="13" w:name="page14"/>
    <w:bookmarkEnd w:id="13"/>
    <w:p>
      <w:pPr>
        <w:spacing w:after="0"/>
        <w:rPr>
          <w:sz w:val="20"/>
          <w:szCs w:val="20"/>
          <w:color w:val="auto"/>
        </w:rPr>
      </w:pPr>
      <w:r>
        <w:rPr>
          <w:rFonts w:ascii="Arial" w:cs="Arial" w:eastAsia="Arial" w:hAnsi="Arial"/>
          <w:sz w:val="14"/>
          <w:szCs w:val="14"/>
          <w:b w:val="1"/>
          <w:bCs w:val="1"/>
          <w:color w:val="auto"/>
        </w:rPr>
        <w:t>South Plains Financial, Inc.</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Loan Composition</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(Unaudited)</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(Dollars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9"/>
              <w:spacing w:after="0"/>
              <w:rPr>
                <w:sz w:val="20"/>
                <w:szCs w:val="20"/>
                <w:color w:val="auto"/>
              </w:rPr>
            </w:pPr>
            <w:r>
              <w:rPr>
                <w:rFonts w:ascii="Arial" w:cs="Arial" w:eastAsia="Arial" w:hAnsi="Arial"/>
                <w:sz w:val="14"/>
                <w:szCs w:val="14"/>
                <w:b w:val="1"/>
                <w:bCs w:val="1"/>
                <w:color w:val="auto"/>
              </w:rPr>
              <w:t>As of</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7"/>
        </w:trPr>
        <w:tc>
          <w:tcPr>
            <w:tcW w:w="2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420"/>
              <w:spacing w:after="0" w:line="157" w:lineRule="exact"/>
              <w:rPr>
                <w:sz w:val="20"/>
                <w:szCs w:val="20"/>
                <w:color w:val="auto"/>
              </w:rPr>
            </w:pPr>
            <w:r>
              <w:rPr>
                <w:rFonts w:ascii="Arial" w:cs="Arial" w:eastAsia="Arial" w:hAnsi="Arial"/>
                <w:sz w:val="14"/>
                <w:szCs w:val="14"/>
                <w:b w:val="1"/>
                <w:bCs w:val="1"/>
                <w:color w:val="auto"/>
                <w:w w:val="89"/>
              </w:rPr>
              <w:t>June 30,</w:t>
            </w:r>
          </w:p>
        </w:tc>
        <w:tc>
          <w:tcPr>
            <w:tcW w:w="100" w:type="dxa"/>
            <w:vAlign w:val="bottom"/>
          </w:tcPr>
          <w:p>
            <w:pPr>
              <w:spacing w:after="0"/>
              <w:rPr>
                <w:sz w:val="13"/>
                <w:szCs w:val="13"/>
                <w:color w:val="auto"/>
              </w:rPr>
            </w:pPr>
          </w:p>
        </w:tc>
        <w:tc>
          <w:tcPr>
            <w:tcW w:w="1020" w:type="dxa"/>
            <w:vAlign w:val="bottom"/>
          </w:tcPr>
          <w:p>
            <w:pPr>
              <w:jc w:val="center"/>
              <w:ind w:right="28"/>
              <w:spacing w:after="0" w:line="157"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3"/>
                <w:szCs w:val="13"/>
                <w:color w:val="auto"/>
              </w:rPr>
            </w:pPr>
          </w:p>
        </w:tc>
      </w:tr>
      <w:tr>
        <w:trPr>
          <w:trHeight w:val="188"/>
        </w:trPr>
        <w:tc>
          <w:tcPr>
            <w:tcW w:w="2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6"/>
              </w:rPr>
              <w:t>2021</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r>
      <w:tr>
        <w:trPr>
          <w:trHeight w:val="343"/>
        </w:trPr>
        <w:tc>
          <w:tcPr>
            <w:tcW w:w="5420" w:type="dxa"/>
            <w:vAlign w:val="bottom"/>
            <w:gridSpan w:val="2"/>
          </w:tcPr>
          <w:p>
            <w:pPr>
              <w:spacing w:after="0"/>
              <w:rPr>
                <w:sz w:val="20"/>
                <w:szCs w:val="20"/>
                <w:color w:val="auto"/>
              </w:rPr>
            </w:pPr>
            <w:r>
              <w:rPr>
                <w:rFonts w:ascii="Arial" w:cs="Arial" w:eastAsia="Arial" w:hAnsi="Arial"/>
                <w:sz w:val="14"/>
                <w:szCs w:val="14"/>
                <w:b w:val="1"/>
                <w:bCs w:val="1"/>
                <w:color w:val="auto"/>
              </w:rPr>
              <w:t>Loans:</w:t>
            </w:r>
          </w:p>
        </w:tc>
        <w:tc>
          <w:tcPr>
            <w:tcW w:w="3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3"/>
        </w:trPr>
        <w:tc>
          <w:tcPr>
            <w:tcW w:w="20" w:type="dxa"/>
            <w:vAlign w:val="bottom"/>
          </w:tcPr>
          <w:p>
            <w:pPr>
              <w:spacing w:after="0"/>
              <w:rPr>
                <w:sz w:val="15"/>
                <w:szCs w:val="15"/>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4"/>
                <w:szCs w:val="14"/>
                <w:color w:val="auto"/>
              </w:rPr>
              <w:t>Commercial Real Estate</w:t>
            </w:r>
          </w:p>
        </w:tc>
        <w:tc>
          <w:tcPr>
            <w:tcW w:w="34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682,017</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663,344</w:t>
            </w:r>
          </w:p>
        </w:tc>
      </w:tr>
      <w:tr>
        <w:trPr>
          <w:trHeight w:val="172"/>
        </w:trPr>
        <w:tc>
          <w:tcPr>
            <w:tcW w:w="20" w:type="dxa"/>
            <w:vAlign w:val="bottom"/>
          </w:tcPr>
          <w:p>
            <w:pPr>
              <w:spacing w:after="0"/>
              <w:rPr>
                <w:sz w:val="14"/>
                <w:szCs w:val="14"/>
                <w:color w:val="auto"/>
              </w:rPr>
            </w:pPr>
          </w:p>
        </w:tc>
        <w:tc>
          <w:tcPr>
            <w:tcW w:w="5400" w:type="dxa"/>
            <w:vAlign w:val="bottom"/>
          </w:tcPr>
          <w:p>
            <w:pPr>
              <w:spacing w:after="0"/>
              <w:rPr>
                <w:sz w:val="20"/>
                <w:szCs w:val="20"/>
                <w:color w:val="auto"/>
              </w:rPr>
            </w:pPr>
            <w:r>
              <w:rPr>
                <w:rFonts w:ascii="Arial" w:cs="Arial" w:eastAsia="Arial" w:hAnsi="Arial"/>
                <w:sz w:val="14"/>
                <w:szCs w:val="14"/>
                <w:color w:val="auto"/>
              </w:rPr>
              <w:t>Commercial - Specialized</w:t>
            </w:r>
          </w:p>
        </w:tc>
        <w:tc>
          <w:tcPr>
            <w:tcW w:w="3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323,576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311,686</w:t>
            </w:r>
          </w:p>
        </w:tc>
      </w:tr>
      <w:tr>
        <w:trPr>
          <w:trHeight w:val="172"/>
        </w:trPr>
        <w:tc>
          <w:tcPr>
            <w:tcW w:w="20" w:type="dxa"/>
            <w:vAlign w:val="bottom"/>
          </w:tcPr>
          <w:p>
            <w:pPr>
              <w:spacing w:after="0"/>
              <w:rPr>
                <w:sz w:val="14"/>
                <w:szCs w:val="14"/>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4"/>
                <w:szCs w:val="14"/>
                <w:color w:val="auto"/>
              </w:rPr>
              <w:t>Commercial - General</w:t>
            </w:r>
          </w:p>
        </w:tc>
        <w:tc>
          <w:tcPr>
            <w:tcW w:w="3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492,314</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518,309</w:t>
            </w:r>
          </w:p>
        </w:tc>
      </w:tr>
      <w:tr>
        <w:trPr>
          <w:trHeight w:val="172"/>
        </w:trPr>
        <w:tc>
          <w:tcPr>
            <w:tcW w:w="20" w:type="dxa"/>
            <w:vAlign w:val="bottom"/>
          </w:tcPr>
          <w:p>
            <w:pPr>
              <w:spacing w:after="0"/>
              <w:rPr>
                <w:sz w:val="14"/>
                <w:szCs w:val="14"/>
                <w:color w:val="auto"/>
              </w:rPr>
            </w:pPr>
          </w:p>
        </w:tc>
        <w:tc>
          <w:tcPr>
            <w:tcW w:w="5400" w:type="dxa"/>
            <w:vAlign w:val="bottom"/>
          </w:tcPr>
          <w:p>
            <w:pPr>
              <w:spacing w:after="0"/>
              <w:rPr>
                <w:sz w:val="20"/>
                <w:szCs w:val="20"/>
                <w:color w:val="auto"/>
              </w:rPr>
            </w:pPr>
            <w:r>
              <w:rPr>
                <w:rFonts w:ascii="Arial" w:cs="Arial" w:eastAsia="Arial" w:hAnsi="Arial"/>
                <w:sz w:val="14"/>
                <w:szCs w:val="14"/>
                <w:color w:val="auto"/>
              </w:rPr>
              <w:t>Consumer:</w:t>
            </w:r>
          </w:p>
        </w:tc>
        <w:tc>
          <w:tcPr>
            <w:tcW w:w="3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4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1-4 Family Residential</w:t>
            </w:r>
          </w:p>
        </w:tc>
        <w:tc>
          <w:tcPr>
            <w:tcW w:w="3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375,302</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360,315</w:t>
            </w:r>
          </w:p>
        </w:tc>
      </w:tr>
      <w:tr>
        <w:trPr>
          <w:trHeight w:val="172"/>
        </w:trPr>
        <w:tc>
          <w:tcPr>
            <w:tcW w:w="20" w:type="dxa"/>
            <w:vAlign w:val="bottom"/>
          </w:tcPr>
          <w:p>
            <w:pPr>
              <w:spacing w:after="0"/>
              <w:rPr>
                <w:sz w:val="14"/>
                <w:szCs w:val="14"/>
                <w:color w:val="auto"/>
              </w:rPr>
            </w:pPr>
          </w:p>
        </w:tc>
        <w:tc>
          <w:tcPr>
            <w:tcW w:w="5400" w:type="dxa"/>
            <w:vAlign w:val="bottom"/>
          </w:tcPr>
          <w:p>
            <w:pPr>
              <w:ind w:left="120"/>
              <w:spacing w:after="0"/>
              <w:rPr>
                <w:sz w:val="20"/>
                <w:szCs w:val="20"/>
                <w:color w:val="auto"/>
              </w:rPr>
            </w:pPr>
            <w:r>
              <w:rPr>
                <w:rFonts w:ascii="Arial" w:cs="Arial" w:eastAsia="Arial" w:hAnsi="Arial"/>
                <w:sz w:val="14"/>
                <w:szCs w:val="14"/>
                <w:color w:val="auto"/>
              </w:rPr>
              <w:t>Auto Loans</w:t>
            </w:r>
          </w:p>
        </w:tc>
        <w:tc>
          <w:tcPr>
            <w:tcW w:w="3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230,570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205,840</w:t>
            </w:r>
          </w:p>
        </w:tc>
      </w:tr>
      <w:tr>
        <w:trPr>
          <w:trHeight w:val="172"/>
        </w:trPr>
        <w:tc>
          <w:tcPr>
            <w:tcW w:w="20" w:type="dxa"/>
            <w:vAlign w:val="bottom"/>
          </w:tcPr>
          <w:p>
            <w:pPr>
              <w:spacing w:after="0"/>
              <w:rPr>
                <w:sz w:val="14"/>
                <w:szCs w:val="14"/>
                <w:color w:val="auto"/>
              </w:rPr>
            </w:pPr>
          </w:p>
        </w:tc>
        <w:tc>
          <w:tcPr>
            <w:tcW w:w="54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Consumer</w:t>
            </w:r>
          </w:p>
        </w:tc>
        <w:tc>
          <w:tcPr>
            <w:tcW w:w="3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68,098</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67,595</w:t>
            </w:r>
          </w:p>
        </w:tc>
      </w:tr>
      <w:tr>
        <w:trPr>
          <w:trHeight w:val="174"/>
        </w:trPr>
        <w:tc>
          <w:tcPr>
            <w:tcW w:w="20" w:type="dxa"/>
            <w:vAlign w:val="bottom"/>
          </w:tcPr>
          <w:p>
            <w:pPr>
              <w:spacing w:after="0"/>
              <w:rPr>
                <w:sz w:val="15"/>
                <w:szCs w:val="15"/>
                <w:color w:val="auto"/>
              </w:rPr>
            </w:pPr>
          </w:p>
        </w:tc>
        <w:tc>
          <w:tcPr>
            <w:tcW w:w="5400" w:type="dxa"/>
            <w:vAlign w:val="bottom"/>
          </w:tcPr>
          <w:p>
            <w:pPr>
              <w:spacing w:after="0"/>
              <w:rPr>
                <w:sz w:val="20"/>
                <w:szCs w:val="20"/>
                <w:color w:val="auto"/>
              </w:rPr>
            </w:pPr>
            <w:r>
              <w:rPr>
                <w:rFonts w:ascii="Arial" w:cs="Arial" w:eastAsia="Arial" w:hAnsi="Arial"/>
                <w:sz w:val="14"/>
                <w:szCs w:val="14"/>
                <w:color w:val="auto"/>
              </w:rPr>
              <w:t>Construction</w:t>
            </w:r>
          </w:p>
        </w:tc>
        <w:tc>
          <w:tcPr>
            <w:tcW w:w="3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131,585</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94,494</w:t>
            </w:r>
          </w:p>
        </w:tc>
      </w:tr>
      <w:tr>
        <w:trPr>
          <w:trHeight w:val="212"/>
        </w:trPr>
        <w:tc>
          <w:tcPr>
            <w:tcW w:w="20" w:type="dxa"/>
            <w:vAlign w:val="bottom"/>
          </w:tcPr>
          <w:p>
            <w:pPr>
              <w:spacing w:after="0"/>
              <w:rPr>
                <w:sz w:val="18"/>
                <w:szCs w:val="18"/>
                <w:color w:val="auto"/>
              </w:rPr>
            </w:pPr>
          </w:p>
        </w:tc>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Total loans held for investment</w:t>
            </w:r>
          </w:p>
        </w:tc>
        <w:tc>
          <w:tcPr>
            <w:tcW w:w="32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2,303,462</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2,221,583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334"/>
        </w:trPr>
        <w:tc>
          <w:tcPr>
            <w:tcW w:w="5420" w:type="dxa"/>
            <w:vAlign w:val="bottom"/>
            <w:gridSpan w:val="2"/>
          </w:tcPr>
          <w:p>
            <w:pPr>
              <w:spacing w:after="0"/>
              <w:rPr>
                <w:sz w:val="20"/>
                <w:szCs w:val="20"/>
                <w:color w:val="auto"/>
              </w:rPr>
            </w:pPr>
            <w:r>
              <w:rPr>
                <w:rFonts w:ascii="Arial" w:cs="Arial" w:eastAsia="Arial" w:hAnsi="Arial"/>
                <w:sz w:val="14"/>
                <w:szCs w:val="14"/>
                <w:b w:val="1"/>
                <w:bCs w:val="1"/>
                <w:color w:val="auto"/>
              </w:rPr>
              <w:t>South Plains Financial, Inc.</w:t>
            </w:r>
          </w:p>
        </w:tc>
        <w:tc>
          <w:tcPr>
            <w:tcW w:w="3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2"/>
        </w:trPr>
        <w:tc>
          <w:tcPr>
            <w:tcW w:w="5420" w:type="dxa"/>
            <w:vAlign w:val="bottom"/>
            <w:gridSpan w:val="2"/>
          </w:tcPr>
          <w:p>
            <w:pPr>
              <w:spacing w:after="0"/>
              <w:rPr>
                <w:sz w:val="20"/>
                <w:szCs w:val="20"/>
                <w:color w:val="auto"/>
              </w:rPr>
            </w:pPr>
            <w:r>
              <w:rPr>
                <w:rFonts w:ascii="Arial" w:cs="Arial" w:eastAsia="Arial" w:hAnsi="Arial"/>
                <w:sz w:val="14"/>
                <w:szCs w:val="14"/>
                <w:b w:val="1"/>
                <w:bCs w:val="1"/>
                <w:color w:val="auto"/>
              </w:rPr>
              <w:t>Deposit Composition</w:t>
            </w:r>
          </w:p>
        </w:tc>
        <w:tc>
          <w:tcPr>
            <w:tcW w:w="3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5420" w:type="dxa"/>
            <w:vAlign w:val="bottom"/>
            <w:gridSpan w:val="2"/>
          </w:tcPr>
          <w:p>
            <w:pPr>
              <w:spacing w:after="0"/>
              <w:rPr>
                <w:sz w:val="20"/>
                <w:szCs w:val="20"/>
                <w:color w:val="auto"/>
              </w:rPr>
            </w:pPr>
            <w:r>
              <w:rPr>
                <w:rFonts w:ascii="Arial" w:cs="Arial" w:eastAsia="Arial" w:hAnsi="Arial"/>
                <w:sz w:val="14"/>
                <w:szCs w:val="14"/>
                <w:b w:val="1"/>
                <w:bCs w:val="1"/>
                <w:color w:val="auto"/>
              </w:rPr>
              <w:t>(Unaudited)</w:t>
            </w:r>
          </w:p>
        </w:tc>
        <w:tc>
          <w:tcPr>
            <w:tcW w:w="3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6"/>
        </w:trPr>
        <w:tc>
          <w:tcPr>
            <w:tcW w:w="542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3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68"/>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right"/>
              <w:ind w:right="9"/>
              <w:spacing w:after="0"/>
              <w:rPr>
                <w:sz w:val="20"/>
                <w:szCs w:val="20"/>
                <w:color w:val="auto"/>
              </w:rPr>
            </w:pPr>
            <w:r>
              <w:rPr>
                <w:rFonts w:ascii="Arial" w:cs="Arial" w:eastAsia="Arial" w:hAnsi="Arial"/>
                <w:sz w:val="14"/>
                <w:szCs w:val="14"/>
                <w:b w:val="1"/>
                <w:bCs w:val="1"/>
                <w:color w:val="auto"/>
              </w:rPr>
              <w:t>As of</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7"/>
        </w:trPr>
        <w:tc>
          <w:tcPr>
            <w:tcW w:w="2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420"/>
              <w:spacing w:after="0" w:line="157" w:lineRule="exact"/>
              <w:rPr>
                <w:sz w:val="20"/>
                <w:szCs w:val="20"/>
                <w:color w:val="auto"/>
              </w:rPr>
            </w:pPr>
            <w:r>
              <w:rPr>
                <w:rFonts w:ascii="Arial" w:cs="Arial" w:eastAsia="Arial" w:hAnsi="Arial"/>
                <w:sz w:val="14"/>
                <w:szCs w:val="14"/>
                <w:b w:val="1"/>
                <w:bCs w:val="1"/>
                <w:color w:val="auto"/>
                <w:w w:val="89"/>
              </w:rPr>
              <w:t>June 30,</w:t>
            </w:r>
          </w:p>
        </w:tc>
        <w:tc>
          <w:tcPr>
            <w:tcW w:w="100" w:type="dxa"/>
            <w:vAlign w:val="bottom"/>
          </w:tcPr>
          <w:p>
            <w:pPr>
              <w:spacing w:after="0"/>
              <w:rPr>
                <w:sz w:val="13"/>
                <w:szCs w:val="13"/>
                <w:color w:val="auto"/>
              </w:rPr>
            </w:pPr>
          </w:p>
        </w:tc>
        <w:tc>
          <w:tcPr>
            <w:tcW w:w="1020" w:type="dxa"/>
            <w:vAlign w:val="bottom"/>
          </w:tcPr>
          <w:p>
            <w:pPr>
              <w:jc w:val="center"/>
              <w:ind w:right="28"/>
              <w:spacing w:after="0" w:line="157"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3"/>
                <w:szCs w:val="13"/>
                <w:color w:val="auto"/>
              </w:rPr>
            </w:pPr>
          </w:p>
        </w:tc>
      </w:tr>
      <w:tr>
        <w:trPr>
          <w:trHeight w:val="188"/>
        </w:trPr>
        <w:tc>
          <w:tcPr>
            <w:tcW w:w="2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6"/>
              </w:rPr>
              <w:t>2021</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r>
      <w:tr>
        <w:trPr>
          <w:trHeight w:val="343"/>
        </w:trPr>
        <w:tc>
          <w:tcPr>
            <w:tcW w:w="5420" w:type="dxa"/>
            <w:vAlign w:val="bottom"/>
            <w:gridSpan w:val="2"/>
          </w:tcPr>
          <w:p>
            <w:pPr>
              <w:spacing w:after="0"/>
              <w:rPr>
                <w:sz w:val="20"/>
                <w:szCs w:val="20"/>
                <w:color w:val="auto"/>
              </w:rPr>
            </w:pPr>
            <w:r>
              <w:rPr>
                <w:rFonts w:ascii="Arial" w:cs="Arial" w:eastAsia="Arial" w:hAnsi="Arial"/>
                <w:sz w:val="14"/>
                <w:szCs w:val="14"/>
                <w:b w:val="1"/>
                <w:bCs w:val="1"/>
                <w:color w:val="auto"/>
              </w:rPr>
              <w:t>Deposits:</w:t>
            </w:r>
          </w:p>
        </w:tc>
        <w:tc>
          <w:tcPr>
            <w:tcW w:w="3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3"/>
        </w:trPr>
        <w:tc>
          <w:tcPr>
            <w:tcW w:w="20" w:type="dxa"/>
            <w:vAlign w:val="bottom"/>
          </w:tcPr>
          <w:p>
            <w:pPr>
              <w:spacing w:after="0"/>
              <w:rPr>
                <w:sz w:val="15"/>
                <w:szCs w:val="15"/>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4"/>
                <w:szCs w:val="14"/>
                <w:color w:val="auto"/>
              </w:rPr>
              <w:t>Noninterest-bearing demand deposits</w:t>
            </w:r>
          </w:p>
        </w:tc>
        <w:tc>
          <w:tcPr>
            <w:tcW w:w="34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998,941</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917,322</w:t>
            </w:r>
          </w:p>
        </w:tc>
      </w:tr>
      <w:tr>
        <w:trPr>
          <w:trHeight w:val="172"/>
        </w:trPr>
        <w:tc>
          <w:tcPr>
            <w:tcW w:w="20" w:type="dxa"/>
            <w:vAlign w:val="bottom"/>
          </w:tcPr>
          <w:p>
            <w:pPr>
              <w:spacing w:after="0"/>
              <w:rPr>
                <w:sz w:val="14"/>
                <w:szCs w:val="14"/>
                <w:color w:val="auto"/>
              </w:rPr>
            </w:pPr>
          </w:p>
        </w:tc>
        <w:tc>
          <w:tcPr>
            <w:tcW w:w="5400" w:type="dxa"/>
            <w:vAlign w:val="bottom"/>
          </w:tcPr>
          <w:p>
            <w:pPr>
              <w:spacing w:after="0"/>
              <w:rPr>
                <w:sz w:val="20"/>
                <w:szCs w:val="20"/>
                <w:color w:val="auto"/>
              </w:rPr>
            </w:pPr>
            <w:r>
              <w:rPr>
                <w:rFonts w:ascii="Arial" w:cs="Arial" w:eastAsia="Arial" w:hAnsi="Arial"/>
                <w:sz w:val="14"/>
                <w:szCs w:val="14"/>
                <w:color w:val="auto"/>
              </w:rPr>
              <w:t>NOW &amp; other transaction accounts</w:t>
            </w:r>
          </w:p>
        </w:tc>
        <w:tc>
          <w:tcPr>
            <w:tcW w:w="3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361,616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332,829</w:t>
            </w:r>
          </w:p>
        </w:tc>
      </w:tr>
      <w:tr>
        <w:trPr>
          <w:trHeight w:val="172"/>
        </w:trPr>
        <w:tc>
          <w:tcPr>
            <w:tcW w:w="20" w:type="dxa"/>
            <w:vAlign w:val="bottom"/>
          </w:tcPr>
          <w:p>
            <w:pPr>
              <w:spacing w:after="0"/>
              <w:rPr>
                <w:sz w:val="14"/>
                <w:szCs w:val="14"/>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4"/>
                <w:szCs w:val="14"/>
                <w:color w:val="auto"/>
              </w:rPr>
              <w:t>MMDA &amp; other savings</w:t>
            </w:r>
          </w:p>
        </w:tc>
        <w:tc>
          <w:tcPr>
            <w:tcW w:w="3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1,470,525</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1,398,699</w:t>
            </w:r>
          </w:p>
        </w:tc>
      </w:tr>
      <w:tr>
        <w:trPr>
          <w:trHeight w:val="174"/>
        </w:trPr>
        <w:tc>
          <w:tcPr>
            <w:tcW w:w="20" w:type="dxa"/>
            <w:vAlign w:val="bottom"/>
          </w:tcPr>
          <w:p>
            <w:pPr>
              <w:spacing w:after="0"/>
              <w:rPr>
                <w:sz w:val="15"/>
                <w:szCs w:val="15"/>
                <w:color w:val="auto"/>
              </w:rPr>
            </w:pPr>
          </w:p>
        </w:tc>
        <w:tc>
          <w:tcPr>
            <w:tcW w:w="5400" w:type="dxa"/>
            <w:vAlign w:val="bottom"/>
          </w:tcPr>
          <w:p>
            <w:pPr>
              <w:spacing w:after="0"/>
              <w:rPr>
                <w:sz w:val="20"/>
                <w:szCs w:val="20"/>
                <w:color w:val="auto"/>
              </w:rPr>
            </w:pPr>
            <w:r>
              <w:rPr>
                <w:rFonts w:ascii="Arial" w:cs="Arial" w:eastAsia="Arial" w:hAnsi="Arial"/>
                <w:sz w:val="14"/>
                <w:szCs w:val="14"/>
                <w:color w:val="auto"/>
              </w:rPr>
              <w:t>Time deposits</w:t>
            </w:r>
          </w:p>
        </w:tc>
        <w:tc>
          <w:tcPr>
            <w:tcW w:w="3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327,413</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325,501</w:t>
            </w:r>
          </w:p>
        </w:tc>
      </w:tr>
      <w:tr>
        <w:trPr>
          <w:trHeight w:val="212"/>
        </w:trPr>
        <w:tc>
          <w:tcPr>
            <w:tcW w:w="20" w:type="dxa"/>
            <w:vAlign w:val="bottom"/>
          </w:tcPr>
          <w:p>
            <w:pPr>
              <w:spacing w:after="0"/>
              <w:rPr>
                <w:sz w:val="18"/>
                <w:szCs w:val="18"/>
                <w:color w:val="auto"/>
              </w:rPr>
            </w:pPr>
          </w:p>
        </w:tc>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Total deposits</w:t>
            </w:r>
          </w:p>
        </w:tc>
        <w:tc>
          <w:tcPr>
            <w:tcW w:w="32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3,158,495</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2,974,351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318"/>
        </w:trPr>
        <w:tc>
          <w:tcPr>
            <w:tcW w:w="20" w:type="dxa"/>
            <w:vAlign w:val="bottom"/>
          </w:tcPr>
          <w:p>
            <w:pPr>
              <w:spacing w:after="0"/>
              <w:rPr>
                <w:sz w:val="24"/>
                <w:szCs w:val="24"/>
                <w:color w:val="auto"/>
              </w:rPr>
            </w:pPr>
          </w:p>
        </w:tc>
        <w:tc>
          <w:tcPr>
            <w:tcW w:w="540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125" w:right="319" w:bottom="1440" w:gutter="0" w:footer="0" w:header="0"/>
        </w:sectPr>
      </w:pPr>
    </w:p>
    <w:bookmarkStart w:id="14" w:name="page15"/>
    <w:bookmarkEnd w:id="14"/>
    <w:p>
      <w:pPr>
        <w:spacing w:after="0"/>
        <w:rPr>
          <w:sz w:val="20"/>
          <w:szCs w:val="20"/>
          <w:color w:val="auto"/>
        </w:rPr>
      </w:pPr>
      <w:r>
        <w:rPr>
          <w:rFonts w:ascii="Arial" w:cs="Arial" w:eastAsia="Arial" w:hAnsi="Arial"/>
          <w:sz w:val="14"/>
          <w:szCs w:val="14"/>
          <w:b w:val="1"/>
          <w:bCs w:val="1"/>
          <w:color w:val="auto"/>
        </w:rPr>
        <w:t>South Plains Financial, Inc.</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Reconciliation of Non-GAAP Financial Measures (Unaudited)</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(Dollars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920" w:type="dxa"/>
            <w:vAlign w:val="bottom"/>
            <w:gridSpan w:val="8"/>
          </w:tcPr>
          <w:p>
            <w:pPr>
              <w:jc w:val="center"/>
              <w:ind w:right="400"/>
              <w:spacing w:after="0"/>
              <w:rPr>
                <w:sz w:val="20"/>
                <w:szCs w:val="20"/>
                <w:color w:val="auto"/>
              </w:rPr>
            </w:pPr>
            <w:r>
              <w:rPr>
                <w:rFonts w:ascii="Arial" w:cs="Arial" w:eastAsia="Arial" w:hAnsi="Arial"/>
                <w:sz w:val="14"/>
                <w:szCs w:val="14"/>
                <w:b w:val="1"/>
                <w:bCs w:val="1"/>
                <w:color w:val="auto"/>
                <w:w w:val="92"/>
              </w:rPr>
              <w:t>As of and for the quarter ended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March 31,</w:t>
            </w:r>
          </w:p>
        </w:tc>
        <w:tc>
          <w:tcPr>
            <w:tcW w:w="1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96"/>
              </w:rPr>
              <w:t>2021</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89"/>
              </w:rPr>
              <w:t>2021</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Efficiency ratio</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4"/>
                <w:szCs w:val="14"/>
                <w:color w:val="auto"/>
              </w:rPr>
              <w:t>Noninterest expense</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36,778</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37,057</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36,504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35,993</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35,207</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4180" w:type="dxa"/>
            <w:vAlign w:val="bottom"/>
          </w:tcPr>
          <w:p>
            <w:pPr>
              <w:spacing w:after="0"/>
              <w:rPr>
                <w:sz w:val="14"/>
                <w:szCs w:val="14"/>
                <w:color w:val="auto"/>
              </w:rPr>
            </w:pPr>
          </w:p>
        </w:tc>
        <w:tc>
          <w:tcPr>
            <w:tcW w:w="600" w:type="dxa"/>
            <w:vAlign w:val="bottom"/>
            <w:gridSpan w:val="2"/>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4"/>
                <w:szCs w:val="14"/>
                <w:color w:val="auto"/>
              </w:rPr>
              <w:t>Net interest income</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29,593</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29,544</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30,365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31,273</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30,448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80" w:type="dxa"/>
            <w:vAlign w:val="bottom"/>
          </w:tcPr>
          <w:p>
            <w:pPr>
              <w:spacing w:after="0"/>
              <w:rPr>
                <w:sz w:val="20"/>
                <w:szCs w:val="20"/>
                <w:color w:val="auto"/>
              </w:rPr>
            </w:pPr>
            <w:r>
              <w:rPr>
                <w:rFonts w:ascii="Arial" w:cs="Arial" w:eastAsia="Arial" w:hAnsi="Arial"/>
                <w:sz w:val="14"/>
                <w:szCs w:val="14"/>
                <w:color w:val="auto"/>
              </w:rPr>
              <w:t>Tax equivalent yield adjustment</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309</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312</w:t>
            </w:r>
          </w:p>
        </w:tc>
        <w:tc>
          <w:tcPr>
            <w:tcW w:w="10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336</w:t>
            </w:r>
          </w:p>
        </w:tc>
        <w:tc>
          <w:tcPr>
            <w:tcW w:w="10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322</w:t>
            </w:r>
          </w:p>
        </w:tc>
        <w:tc>
          <w:tcPr>
            <w:tcW w:w="1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4"/>
                <w:szCs w:val="14"/>
                <w:color w:val="auto"/>
              </w:rPr>
              <w:t>Noninterest income</w:t>
            </w: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22,250</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26,500</w:t>
            </w: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26,172</w:t>
            </w:r>
          </w:p>
        </w:tc>
        <w:tc>
          <w:tcPr>
            <w:tcW w:w="100" w:type="dxa"/>
            <w:vAlign w:val="bottom"/>
            <w:shd w:val="clear" w:color="auto" w:fill="CCEEFF"/>
          </w:tcPr>
          <w:p>
            <w:pPr>
              <w:spacing w:after="0"/>
              <w:rPr>
                <w:sz w:val="14"/>
                <w:szCs w:val="14"/>
                <w:color w:val="auto"/>
              </w:rPr>
            </w:pPr>
          </w:p>
        </w:tc>
        <w:tc>
          <w:tcPr>
            <w:tcW w:w="12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31,660</w:t>
            </w: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24,896</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41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vMerge w:val="continue"/>
          </w:tcPr>
          <w:p>
            <w:pPr>
              <w:spacing w:after="0"/>
              <w:rPr>
                <w:sz w:val="14"/>
                <w:szCs w:val="14"/>
                <w:color w:val="auto"/>
              </w:rPr>
            </w:pPr>
          </w:p>
        </w:tc>
        <w:tc>
          <w:tcPr>
            <w:tcW w:w="4180" w:type="dxa"/>
            <w:vAlign w:val="bottom"/>
          </w:tcPr>
          <w:p>
            <w:pPr>
              <w:spacing w:after="0"/>
              <w:rPr>
                <w:sz w:val="20"/>
                <w:szCs w:val="20"/>
                <w:color w:val="auto"/>
              </w:rPr>
            </w:pPr>
            <w:r>
              <w:rPr>
                <w:rFonts w:ascii="Arial" w:cs="Arial" w:eastAsia="Arial" w:hAnsi="Arial"/>
                <w:sz w:val="14"/>
                <w:szCs w:val="14"/>
                <w:color w:val="auto"/>
              </w:rPr>
              <w:t>Total income</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52,152</w:t>
            </w:r>
          </w:p>
        </w:tc>
        <w:tc>
          <w:tcPr>
            <w:tcW w:w="20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56,356</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56,873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63,255</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55,634</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41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tcBorders>
              <w:right w:val="single" w:sz="8" w:color="CCEEFF"/>
            </w:tcBorders>
            <w:gridSpan w:val="2"/>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tcBorders>
              <w:right w:val="single" w:sz="8" w:color="CCEEFF"/>
            </w:tcBorders>
            <w:gridSpan w:val="2"/>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180" w:type="dxa"/>
            <w:vAlign w:val="bottom"/>
          </w:tcPr>
          <w:p>
            <w:pPr>
              <w:spacing w:after="0"/>
              <w:rPr>
                <w:sz w:val="20"/>
                <w:szCs w:val="20"/>
                <w:color w:val="auto"/>
              </w:rPr>
            </w:pPr>
            <w:r>
              <w:rPr>
                <w:rFonts w:ascii="Arial" w:cs="Arial" w:eastAsia="Arial" w:hAnsi="Arial"/>
                <w:sz w:val="14"/>
                <w:szCs w:val="14"/>
                <w:color w:val="auto"/>
              </w:rPr>
              <w:t>Efficiency ratio</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70.52%</w:t>
            </w:r>
          </w:p>
        </w:tc>
        <w:tc>
          <w:tcPr>
            <w:tcW w:w="16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65.76%</w:t>
            </w:r>
          </w:p>
        </w:tc>
        <w:tc>
          <w:tcPr>
            <w:tcW w:w="10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64.19%</w:t>
            </w:r>
          </w:p>
        </w:tc>
        <w:tc>
          <w:tcPr>
            <w:tcW w:w="10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56.90%</w:t>
            </w:r>
          </w:p>
        </w:tc>
        <w:tc>
          <w:tcPr>
            <w:tcW w:w="18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63.28%</w:t>
            </w:r>
          </w:p>
        </w:tc>
        <w:tc>
          <w:tcPr>
            <w:tcW w:w="0" w:type="dxa"/>
            <w:vAlign w:val="bottom"/>
          </w:tcPr>
          <w:p>
            <w:pPr>
              <w:spacing w:after="0"/>
              <w:rPr>
                <w:sz w:val="1"/>
                <w:szCs w:val="1"/>
                <w:color w:val="auto"/>
              </w:rPr>
            </w:pPr>
          </w:p>
        </w:tc>
      </w:tr>
      <w:tr>
        <w:trPr>
          <w:trHeight w:val="20"/>
        </w:trPr>
        <w:tc>
          <w:tcPr>
            <w:tcW w:w="42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restart"/>
          </w:tcPr>
          <w:p>
            <w:pPr>
              <w:spacing w:after="0"/>
              <w:rPr>
                <w:sz w:val="13"/>
                <w:szCs w:val="13"/>
                <w:color w:val="auto"/>
              </w:rPr>
            </w:pPr>
          </w:p>
        </w:tc>
        <w:tc>
          <w:tcPr>
            <w:tcW w:w="4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spacing w:after="0"/>
              <w:rPr>
                <w:sz w:val="13"/>
                <w:szCs w:val="13"/>
                <w:color w:val="auto"/>
              </w:rPr>
            </w:pPr>
          </w:p>
        </w:tc>
        <w:tc>
          <w:tcPr>
            <w:tcW w:w="96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tcBorders>
              <w:right w:val="single" w:sz="8" w:color="CCEEFF"/>
            </w:tcBorders>
            <w:gridSpan w:val="2"/>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tcBorders>
              <w:right w:val="single" w:sz="8" w:color="CCEEFF"/>
            </w:tcBorders>
            <w:gridSpan w:val="2"/>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180" w:type="dxa"/>
            <w:vAlign w:val="bottom"/>
          </w:tcPr>
          <w:p>
            <w:pPr>
              <w:spacing w:after="0"/>
              <w:rPr>
                <w:sz w:val="20"/>
                <w:szCs w:val="20"/>
                <w:color w:val="auto"/>
              </w:rPr>
            </w:pPr>
            <w:r>
              <w:rPr>
                <w:rFonts w:ascii="Arial" w:cs="Arial" w:eastAsia="Arial" w:hAnsi="Arial"/>
                <w:sz w:val="14"/>
                <w:szCs w:val="14"/>
                <w:color w:val="auto"/>
              </w:rPr>
              <w:t>Noninterest expense</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36,778</w:t>
            </w:r>
          </w:p>
        </w:tc>
        <w:tc>
          <w:tcPr>
            <w:tcW w:w="20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37,057</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36,504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35,993</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35,207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4"/>
                <w:szCs w:val="14"/>
                <w:color w:val="auto"/>
              </w:rPr>
              <w:t>Less: net loss on sale of securities</w:t>
            </w: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41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vMerge w:val="continue"/>
          </w:tcPr>
          <w:p>
            <w:pPr>
              <w:spacing w:after="0"/>
              <w:rPr>
                <w:sz w:val="14"/>
                <w:szCs w:val="14"/>
                <w:color w:val="auto"/>
              </w:rPr>
            </w:pPr>
          </w:p>
        </w:tc>
        <w:tc>
          <w:tcPr>
            <w:tcW w:w="4180" w:type="dxa"/>
            <w:vAlign w:val="bottom"/>
          </w:tcPr>
          <w:p>
            <w:pPr>
              <w:spacing w:after="0"/>
              <w:rPr>
                <w:sz w:val="20"/>
                <w:szCs w:val="20"/>
                <w:color w:val="auto"/>
              </w:rPr>
            </w:pPr>
            <w:r>
              <w:rPr>
                <w:rFonts w:ascii="Arial" w:cs="Arial" w:eastAsia="Arial" w:hAnsi="Arial"/>
                <w:sz w:val="14"/>
                <w:szCs w:val="14"/>
                <w:color w:val="auto"/>
              </w:rPr>
              <w:t>Adjusted noninterest expense</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36,778</w:t>
            </w:r>
          </w:p>
        </w:tc>
        <w:tc>
          <w:tcPr>
            <w:tcW w:w="20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37,057</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36,504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35,993</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35,207</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41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spacing w:after="0"/>
              <w:rPr>
                <w:sz w:val="14"/>
                <w:szCs w:val="14"/>
                <w:color w:val="auto"/>
              </w:rPr>
            </w:pPr>
          </w:p>
        </w:tc>
        <w:tc>
          <w:tcPr>
            <w:tcW w:w="96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tcBorders>
              <w:right w:val="single" w:sz="8" w:color="CCEEFF"/>
            </w:tcBorders>
            <w:gridSpan w:val="2"/>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tcBorders>
              <w:right w:val="single" w:sz="8" w:color="CCEEFF"/>
            </w:tcBorders>
            <w:gridSpan w:val="2"/>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180" w:type="dxa"/>
            <w:vAlign w:val="bottom"/>
          </w:tcPr>
          <w:p>
            <w:pPr>
              <w:spacing w:after="0"/>
              <w:rPr>
                <w:sz w:val="20"/>
                <w:szCs w:val="20"/>
                <w:color w:val="auto"/>
              </w:rPr>
            </w:pPr>
            <w:r>
              <w:rPr>
                <w:rFonts w:ascii="Arial" w:cs="Arial" w:eastAsia="Arial" w:hAnsi="Arial"/>
                <w:sz w:val="14"/>
                <w:szCs w:val="14"/>
                <w:color w:val="auto"/>
              </w:rPr>
              <w:t>Total income</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52,152</w:t>
            </w:r>
          </w:p>
        </w:tc>
        <w:tc>
          <w:tcPr>
            <w:tcW w:w="20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56,356</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56,873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63,255</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55,634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4"/>
                <w:szCs w:val="14"/>
                <w:color w:val="auto"/>
              </w:rPr>
              <w:t>Less: net gain on sale of securities</w:t>
            </w: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41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vMerge w:val="continue"/>
          </w:tcPr>
          <w:p>
            <w:pPr>
              <w:spacing w:after="0"/>
              <w:rPr>
                <w:sz w:val="14"/>
                <w:szCs w:val="14"/>
                <w:color w:val="auto"/>
              </w:rPr>
            </w:pPr>
          </w:p>
        </w:tc>
        <w:tc>
          <w:tcPr>
            <w:tcW w:w="4180" w:type="dxa"/>
            <w:vAlign w:val="bottom"/>
          </w:tcPr>
          <w:p>
            <w:pPr>
              <w:spacing w:after="0"/>
              <w:rPr>
                <w:sz w:val="20"/>
                <w:szCs w:val="20"/>
                <w:color w:val="auto"/>
              </w:rPr>
            </w:pPr>
            <w:r>
              <w:rPr>
                <w:rFonts w:ascii="Arial" w:cs="Arial" w:eastAsia="Arial" w:hAnsi="Arial"/>
                <w:sz w:val="14"/>
                <w:szCs w:val="14"/>
                <w:color w:val="auto"/>
              </w:rPr>
              <w:t>Adjusted total income</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52,152</w:t>
            </w:r>
          </w:p>
        </w:tc>
        <w:tc>
          <w:tcPr>
            <w:tcW w:w="20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56,356</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56,873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63,255</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55,634</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41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tcBorders>
              <w:right w:val="single" w:sz="8" w:color="CCEEFF"/>
            </w:tcBorders>
            <w:gridSpan w:val="2"/>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tcBorders>
              <w:right w:val="single" w:sz="8" w:color="CCEEFF"/>
            </w:tcBorders>
            <w:gridSpan w:val="2"/>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180" w:type="dxa"/>
            <w:vAlign w:val="bottom"/>
          </w:tcPr>
          <w:p>
            <w:pPr>
              <w:spacing w:after="0"/>
              <w:rPr>
                <w:sz w:val="20"/>
                <w:szCs w:val="20"/>
                <w:color w:val="auto"/>
              </w:rPr>
            </w:pPr>
            <w:r>
              <w:rPr>
                <w:rFonts w:ascii="Arial" w:cs="Arial" w:eastAsia="Arial" w:hAnsi="Arial"/>
                <w:sz w:val="14"/>
                <w:szCs w:val="14"/>
                <w:color w:val="auto"/>
              </w:rPr>
              <w:t>Adjusted efficiency ratio</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70.52%</w:t>
            </w:r>
          </w:p>
        </w:tc>
        <w:tc>
          <w:tcPr>
            <w:tcW w:w="16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65.76%</w:t>
            </w:r>
          </w:p>
        </w:tc>
        <w:tc>
          <w:tcPr>
            <w:tcW w:w="10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64.19%</w:t>
            </w:r>
          </w:p>
        </w:tc>
        <w:tc>
          <w:tcPr>
            <w:tcW w:w="10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56.90%</w:t>
            </w:r>
          </w:p>
        </w:tc>
        <w:tc>
          <w:tcPr>
            <w:tcW w:w="18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63.28%</w:t>
            </w:r>
          </w:p>
        </w:tc>
        <w:tc>
          <w:tcPr>
            <w:tcW w:w="0" w:type="dxa"/>
            <w:vAlign w:val="bottom"/>
          </w:tcPr>
          <w:p>
            <w:pPr>
              <w:spacing w:after="0"/>
              <w:rPr>
                <w:sz w:val="1"/>
                <w:szCs w:val="1"/>
                <w:color w:val="auto"/>
              </w:rPr>
            </w:pPr>
          </w:p>
        </w:tc>
      </w:tr>
      <w:tr>
        <w:trPr>
          <w:trHeight w:val="20"/>
        </w:trPr>
        <w:tc>
          <w:tcPr>
            <w:tcW w:w="42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restart"/>
          </w:tcPr>
          <w:p>
            <w:pPr>
              <w:spacing w:after="0"/>
              <w:rPr>
                <w:sz w:val="13"/>
                <w:szCs w:val="13"/>
                <w:color w:val="auto"/>
              </w:rPr>
            </w:pPr>
          </w:p>
        </w:tc>
        <w:tc>
          <w:tcPr>
            <w:tcW w:w="41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180" w:type="dxa"/>
            <w:vAlign w:val="bottom"/>
          </w:tcPr>
          <w:p>
            <w:pPr>
              <w:spacing w:after="0"/>
              <w:rPr>
                <w:sz w:val="20"/>
                <w:szCs w:val="20"/>
                <w:color w:val="auto"/>
              </w:rPr>
            </w:pPr>
            <w:r>
              <w:rPr>
                <w:rFonts w:ascii="Arial" w:cs="Arial" w:eastAsia="Arial" w:hAnsi="Arial"/>
                <w:sz w:val="14"/>
                <w:szCs w:val="14"/>
                <w:b w:val="1"/>
                <w:bCs w:val="1"/>
                <w:color w:val="auto"/>
              </w:rPr>
              <w:t>Pre-tax, pre-provision income</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13,650</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15,160</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15,924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16,731</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5,615</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80" w:type="dxa"/>
            <w:vAlign w:val="bottom"/>
          </w:tcPr>
          <w:p>
            <w:pPr>
              <w:spacing w:after="0"/>
              <w:rPr>
                <w:sz w:val="20"/>
                <w:szCs w:val="20"/>
                <w:color w:val="auto"/>
              </w:rPr>
            </w:pPr>
            <w:r>
              <w:rPr>
                <w:rFonts w:ascii="Arial" w:cs="Arial" w:eastAsia="Arial" w:hAnsi="Arial"/>
                <w:sz w:val="14"/>
                <w:szCs w:val="14"/>
                <w:color w:val="auto"/>
              </w:rPr>
              <w:t>Income tax expense</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3,422</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3,738</w:t>
            </w: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3,968</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4,147</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1,389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4"/>
                <w:szCs w:val="14"/>
                <w:color w:val="auto"/>
              </w:rPr>
              <w:t>Provision for loan losses</w:t>
            </w: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(2,007)</w:t>
            </w:r>
          </w:p>
        </w:tc>
        <w:tc>
          <w:tcPr>
            <w:tcW w:w="160" w:type="dxa"/>
            <w:vAlign w:val="bottom"/>
            <w:shd w:val="clear" w:color="auto" w:fill="CCEEFF"/>
          </w:tcPr>
          <w:p>
            <w:pPr>
              <w:spacing w:after="0"/>
              <w:rPr>
                <w:sz w:val="14"/>
                <w:szCs w:val="14"/>
                <w:color w:val="auto"/>
              </w:rPr>
            </w:pPr>
          </w:p>
        </w:tc>
        <w:tc>
          <w:tcPr>
            <w:tcW w:w="12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89</w:t>
            </w: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141</w:t>
            </w:r>
          </w:p>
        </w:tc>
        <w:tc>
          <w:tcPr>
            <w:tcW w:w="100" w:type="dxa"/>
            <w:vAlign w:val="bottom"/>
            <w:shd w:val="clear" w:color="auto" w:fill="CCEEFF"/>
          </w:tcPr>
          <w:p>
            <w:pPr>
              <w:spacing w:after="0"/>
              <w:rPr>
                <w:sz w:val="14"/>
                <w:szCs w:val="14"/>
                <w:color w:val="auto"/>
              </w:rPr>
            </w:pPr>
          </w:p>
        </w:tc>
        <w:tc>
          <w:tcPr>
            <w:tcW w:w="12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6,062</w:t>
            </w: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13,133</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41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vMerge w:val="continue"/>
          </w:tcPr>
          <w:p>
            <w:pPr>
              <w:spacing w:after="0"/>
              <w:rPr>
                <w:sz w:val="14"/>
                <w:szCs w:val="14"/>
                <w:color w:val="auto"/>
              </w:rPr>
            </w:pPr>
          </w:p>
        </w:tc>
        <w:tc>
          <w:tcPr>
            <w:tcW w:w="4180" w:type="dxa"/>
            <w:vAlign w:val="bottom"/>
          </w:tcPr>
          <w:p>
            <w:pPr>
              <w:spacing w:after="0"/>
              <w:rPr>
                <w:sz w:val="20"/>
                <w:szCs w:val="20"/>
                <w:color w:val="auto"/>
              </w:rPr>
            </w:pPr>
            <w:r>
              <w:rPr>
                <w:rFonts w:ascii="Arial" w:cs="Arial" w:eastAsia="Arial" w:hAnsi="Arial"/>
                <w:sz w:val="14"/>
                <w:szCs w:val="14"/>
                <w:color w:val="auto"/>
              </w:rPr>
              <w:t>Pre-tax, pre-provision income</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15,065</w:t>
            </w:r>
          </w:p>
        </w:tc>
        <w:tc>
          <w:tcPr>
            <w:tcW w:w="20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18,987</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20,033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26,940</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20,137</w:t>
            </w: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South Plains Financial, Inc.</w:t>
            </w: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420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Reconciliation of Non-GAAP Financial Measures (Unaudited)</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8"/>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As of</w:t>
            </w: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center"/>
              <w:ind w:right="420"/>
              <w:spacing w:after="0" w:line="157" w:lineRule="exact"/>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3"/>
                <w:szCs w:val="13"/>
                <w:color w:val="auto"/>
              </w:rPr>
            </w:pPr>
          </w:p>
        </w:tc>
        <w:tc>
          <w:tcPr>
            <w:tcW w:w="1200" w:type="dxa"/>
            <w:vAlign w:val="bottom"/>
            <w:gridSpan w:val="2"/>
          </w:tcPr>
          <w:p>
            <w:pPr>
              <w:jc w:val="center"/>
              <w:ind w:right="380"/>
              <w:spacing w:after="0" w:line="157" w:lineRule="exact"/>
              <w:rPr>
                <w:sz w:val="20"/>
                <w:szCs w:val="20"/>
                <w:color w:val="auto"/>
              </w:rPr>
            </w:pPr>
            <w:r>
              <w:rPr>
                <w:rFonts w:ascii="Arial" w:cs="Arial" w:eastAsia="Arial" w:hAnsi="Arial"/>
                <w:sz w:val="14"/>
                <w:szCs w:val="14"/>
                <w:b w:val="1"/>
                <w:bCs w:val="1"/>
                <w:color w:val="auto"/>
                <w:w w:val="95"/>
              </w:rPr>
              <w:t>March 31,</w:t>
            </w:r>
          </w:p>
        </w:tc>
        <w:tc>
          <w:tcPr>
            <w:tcW w:w="100" w:type="dxa"/>
            <w:vAlign w:val="bottom"/>
          </w:tcPr>
          <w:p>
            <w:pPr>
              <w:spacing w:after="0"/>
              <w:rPr>
                <w:sz w:val="13"/>
                <w:szCs w:val="13"/>
                <w:color w:val="auto"/>
              </w:rPr>
            </w:pPr>
          </w:p>
        </w:tc>
        <w:tc>
          <w:tcPr>
            <w:tcW w:w="1260" w:type="dxa"/>
            <w:vAlign w:val="bottom"/>
            <w:gridSpan w:val="2"/>
          </w:tcPr>
          <w:p>
            <w:pPr>
              <w:jc w:val="center"/>
              <w:ind w:right="340"/>
              <w:spacing w:after="0" w:line="157"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3"/>
                <w:szCs w:val="13"/>
                <w:color w:val="auto"/>
              </w:rPr>
            </w:pPr>
          </w:p>
        </w:tc>
        <w:tc>
          <w:tcPr>
            <w:tcW w:w="1260" w:type="dxa"/>
            <w:vAlign w:val="bottom"/>
            <w:gridSpan w:val="2"/>
          </w:tcPr>
          <w:p>
            <w:pPr>
              <w:jc w:val="center"/>
              <w:ind w:right="340"/>
              <w:spacing w:after="0" w:line="157" w:lineRule="exact"/>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3"/>
                <w:szCs w:val="13"/>
                <w:color w:val="auto"/>
              </w:rPr>
            </w:pPr>
          </w:p>
        </w:tc>
        <w:tc>
          <w:tcPr>
            <w:tcW w:w="940" w:type="dxa"/>
            <w:vAlign w:val="bottom"/>
          </w:tcPr>
          <w:p>
            <w:pPr>
              <w:jc w:val="center"/>
              <w:ind w:right="128"/>
              <w:spacing w:after="0" w:line="157" w:lineRule="exact"/>
              <w:rPr>
                <w:sz w:val="20"/>
                <w:szCs w:val="20"/>
                <w:color w:val="auto"/>
              </w:rPr>
            </w:pPr>
            <w:r>
              <w:rPr>
                <w:rFonts w:ascii="Arial" w:cs="Arial" w:eastAsia="Arial" w:hAnsi="Arial"/>
                <w:sz w:val="14"/>
                <w:szCs w:val="14"/>
                <w:b w:val="1"/>
                <w:bCs w:val="1"/>
                <w:color w:val="auto"/>
                <w:w w:val="89"/>
              </w:rPr>
              <w:t>June 30,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96"/>
              </w:rPr>
              <w:t>2021</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89"/>
              </w:rPr>
              <w:t>2021</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Tangible common equity</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4"/>
                <w:szCs w:val="14"/>
                <w:color w:val="auto"/>
              </w:rPr>
              <w:t>Total common stockholders’ equity</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394,254</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374,671</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$ 370,048</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$ 352,568</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$ 336,534</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80" w:type="dxa"/>
            <w:vAlign w:val="bottom"/>
          </w:tcPr>
          <w:p>
            <w:pPr>
              <w:spacing w:after="0"/>
              <w:rPr>
                <w:sz w:val="20"/>
                <w:szCs w:val="20"/>
                <w:color w:val="auto"/>
              </w:rPr>
            </w:pPr>
            <w:r>
              <w:rPr>
                <w:rFonts w:ascii="Arial" w:cs="Arial" w:eastAsia="Arial" w:hAnsi="Arial"/>
                <w:sz w:val="14"/>
                <w:szCs w:val="14"/>
                <w:color w:val="auto"/>
              </w:rPr>
              <w:t>Less: goodwill and other intangibles</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(26,226)</w:t>
            </w:r>
          </w:p>
        </w:tc>
        <w:tc>
          <w:tcPr>
            <w:tcW w:w="16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(26,648)</w:t>
            </w:r>
          </w:p>
        </w:tc>
        <w:tc>
          <w:tcPr>
            <w:tcW w:w="100" w:type="dxa"/>
            <w:vAlign w:val="bottom"/>
          </w:tcPr>
          <w:p>
            <w:pPr>
              <w:spacing w:after="0"/>
              <w:rPr>
                <w:sz w:val="15"/>
                <w:szCs w:val="15"/>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(27,070)</w:t>
            </w:r>
          </w:p>
        </w:tc>
        <w:tc>
          <w:tcPr>
            <w:tcW w:w="100" w:type="dxa"/>
            <w:vAlign w:val="bottom"/>
          </w:tcPr>
          <w:p>
            <w:pPr>
              <w:spacing w:after="0"/>
              <w:rPr>
                <w:sz w:val="15"/>
                <w:szCs w:val="15"/>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(27,502)</w:t>
            </w:r>
          </w:p>
        </w:tc>
        <w:tc>
          <w:tcPr>
            <w:tcW w:w="180" w:type="dxa"/>
            <w:vAlign w:val="bottom"/>
          </w:tcPr>
          <w:p>
            <w:pPr>
              <w:spacing w:after="0"/>
              <w:rPr>
                <w:sz w:val="15"/>
                <w:szCs w:val="15"/>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(28,414)</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41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180" w:type="dxa"/>
            <w:vAlign w:val="bottom"/>
          </w:tcPr>
          <w:p>
            <w:pPr>
              <w:spacing w:after="0"/>
              <w:rPr>
                <w:sz w:val="20"/>
                <w:szCs w:val="20"/>
                <w:color w:val="auto"/>
              </w:rPr>
            </w:pPr>
            <w:r>
              <w:rPr>
                <w:rFonts w:ascii="Arial" w:cs="Arial" w:eastAsia="Arial" w:hAnsi="Arial"/>
                <w:sz w:val="14"/>
                <w:szCs w:val="14"/>
                <w:b w:val="1"/>
                <w:bCs w:val="1"/>
                <w:color w:val="auto"/>
              </w:rPr>
              <w:t>Tangible common equity</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368,028</w:t>
            </w:r>
          </w:p>
        </w:tc>
        <w:tc>
          <w:tcPr>
            <w:tcW w:w="20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348,023</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$ 342,978</w:t>
            </w:r>
          </w:p>
        </w:tc>
        <w:tc>
          <w:tcPr>
            <w:tcW w:w="2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$ 325,066</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$ 308,120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restart"/>
          </w:tcPr>
          <w:p>
            <w:pPr>
              <w:spacing w:after="0"/>
              <w:rPr>
                <w:sz w:val="13"/>
                <w:szCs w:val="13"/>
                <w:color w:val="auto"/>
              </w:rPr>
            </w:pPr>
          </w:p>
        </w:tc>
        <w:tc>
          <w:tcPr>
            <w:tcW w:w="41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180" w:type="dxa"/>
            <w:vAlign w:val="bottom"/>
          </w:tcPr>
          <w:p>
            <w:pPr>
              <w:spacing w:after="0"/>
              <w:rPr>
                <w:sz w:val="20"/>
                <w:szCs w:val="20"/>
                <w:color w:val="auto"/>
              </w:rPr>
            </w:pPr>
            <w:r>
              <w:rPr>
                <w:rFonts w:ascii="Arial" w:cs="Arial" w:eastAsia="Arial" w:hAnsi="Arial"/>
                <w:sz w:val="14"/>
                <w:szCs w:val="14"/>
                <w:b w:val="1"/>
                <w:bCs w:val="1"/>
                <w:color w:val="auto"/>
              </w:rPr>
              <w:t>Tangible assets</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4"/>
                <w:szCs w:val="14"/>
                <w:color w:val="auto"/>
              </w:rPr>
              <w:t>Total assets</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3,714,354</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3,732,894</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3,599,160</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3,542,666</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3,584,532</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80" w:type="dxa"/>
            <w:vAlign w:val="bottom"/>
          </w:tcPr>
          <w:p>
            <w:pPr>
              <w:spacing w:after="0"/>
              <w:rPr>
                <w:sz w:val="20"/>
                <w:szCs w:val="20"/>
                <w:color w:val="auto"/>
              </w:rPr>
            </w:pPr>
            <w:r>
              <w:rPr>
                <w:rFonts w:ascii="Arial" w:cs="Arial" w:eastAsia="Arial" w:hAnsi="Arial"/>
                <w:sz w:val="14"/>
                <w:szCs w:val="14"/>
                <w:color w:val="auto"/>
              </w:rPr>
              <w:t>Less: goodwill and other intangibles</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(26,226)</w:t>
            </w:r>
          </w:p>
        </w:tc>
        <w:tc>
          <w:tcPr>
            <w:tcW w:w="16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(26,648)</w:t>
            </w:r>
          </w:p>
        </w:tc>
        <w:tc>
          <w:tcPr>
            <w:tcW w:w="100" w:type="dxa"/>
            <w:vAlign w:val="bottom"/>
          </w:tcPr>
          <w:p>
            <w:pPr>
              <w:spacing w:after="0"/>
              <w:rPr>
                <w:sz w:val="15"/>
                <w:szCs w:val="15"/>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(27,070)</w:t>
            </w:r>
          </w:p>
        </w:tc>
        <w:tc>
          <w:tcPr>
            <w:tcW w:w="100" w:type="dxa"/>
            <w:vAlign w:val="bottom"/>
          </w:tcPr>
          <w:p>
            <w:pPr>
              <w:spacing w:after="0"/>
              <w:rPr>
                <w:sz w:val="15"/>
                <w:szCs w:val="15"/>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(27,502)</w:t>
            </w:r>
          </w:p>
        </w:tc>
        <w:tc>
          <w:tcPr>
            <w:tcW w:w="180" w:type="dxa"/>
            <w:vAlign w:val="bottom"/>
          </w:tcPr>
          <w:p>
            <w:pPr>
              <w:spacing w:after="0"/>
              <w:rPr>
                <w:sz w:val="15"/>
                <w:szCs w:val="15"/>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(28,414)</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41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180" w:type="dxa"/>
            <w:vAlign w:val="bottom"/>
          </w:tcPr>
          <w:p>
            <w:pPr>
              <w:spacing w:after="0"/>
              <w:rPr>
                <w:sz w:val="20"/>
                <w:szCs w:val="20"/>
                <w:color w:val="auto"/>
              </w:rPr>
            </w:pPr>
            <w:r>
              <w:rPr>
                <w:rFonts w:ascii="Arial" w:cs="Arial" w:eastAsia="Arial" w:hAnsi="Arial"/>
                <w:sz w:val="14"/>
                <w:szCs w:val="14"/>
                <w:b w:val="1"/>
                <w:bCs w:val="1"/>
                <w:color w:val="auto"/>
              </w:rPr>
              <w:t>Tangible assets</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3,688,128</w:t>
            </w:r>
          </w:p>
        </w:tc>
        <w:tc>
          <w:tcPr>
            <w:tcW w:w="20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3,706,246</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3,572,090</w:t>
            </w:r>
          </w:p>
        </w:tc>
        <w:tc>
          <w:tcPr>
            <w:tcW w:w="2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3,515,164</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3,556,118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restart"/>
          </w:tcPr>
          <w:p>
            <w:pPr>
              <w:spacing w:after="0"/>
              <w:rPr>
                <w:sz w:val="13"/>
                <w:szCs w:val="13"/>
                <w:color w:val="auto"/>
              </w:rPr>
            </w:pPr>
          </w:p>
        </w:tc>
        <w:tc>
          <w:tcPr>
            <w:tcW w:w="41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tcBorders>
              <w:right w:val="single" w:sz="8" w:color="CCEEFF"/>
            </w:tcBorders>
            <w:gridSpan w:val="2"/>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tcBorders>
              <w:right w:val="single" w:sz="8" w:color="CCEEFF"/>
            </w:tcBorders>
            <w:gridSpan w:val="2"/>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180" w:type="dxa"/>
            <w:vAlign w:val="bottom"/>
          </w:tcPr>
          <w:p>
            <w:pPr>
              <w:spacing w:after="0"/>
              <w:rPr>
                <w:sz w:val="20"/>
                <w:szCs w:val="20"/>
                <w:color w:val="auto"/>
              </w:rPr>
            </w:pPr>
            <w:r>
              <w:rPr>
                <w:rFonts w:ascii="Arial" w:cs="Arial" w:eastAsia="Arial" w:hAnsi="Arial"/>
                <w:sz w:val="14"/>
                <w:szCs w:val="14"/>
                <w:color w:val="auto"/>
              </w:rPr>
              <w:t>Shares outstanding</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18,014,398</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18,053,229</w:t>
            </w:r>
          </w:p>
        </w:tc>
        <w:tc>
          <w:tcPr>
            <w:tcW w:w="10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18,076,364</w:t>
            </w:r>
          </w:p>
        </w:tc>
        <w:tc>
          <w:tcPr>
            <w:tcW w:w="10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18,059,174</w:t>
            </w:r>
          </w:p>
        </w:tc>
        <w:tc>
          <w:tcPr>
            <w:tcW w:w="1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18,059,174</w:t>
            </w:r>
          </w:p>
        </w:tc>
        <w:tc>
          <w:tcPr>
            <w:tcW w:w="0" w:type="dxa"/>
            <w:vAlign w:val="bottom"/>
          </w:tcPr>
          <w:p>
            <w:pPr>
              <w:spacing w:after="0"/>
              <w:rPr>
                <w:sz w:val="1"/>
                <w:szCs w:val="1"/>
                <w:color w:val="auto"/>
              </w:rPr>
            </w:pPr>
          </w:p>
        </w:tc>
      </w:tr>
      <w:tr>
        <w:trPr>
          <w:trHeight w:val="20"/>
        </w:trPr>
        <w:tc>
          <w:tcPr>
            <w:tcW w:w="42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restart"/>
          </w:tcPr>
          <w:p>
            <w:pPr>
              <w:spacing w:after="0"/>
              <w:rPr>
                <w:sz w:val="13"/>
                <w:szCs w:val="13"/>
                <w:color w:val="auto"/>
              </w:rPr>
            </w:pPr>
          </w:p>
        </w:tc>
        <w:tc>
          <w:tcPr>
            <w:tcW w:w="41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tcBorders>
              <w:right w:val="single" w:sz="8" w:color="CCEEFF"/>
            </w:tcBorders>
            <w:gridSpan w:val="2"/>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tcBorders>
              <w:right w:val="single" w:sz="8" w:color="CCEEFF"/>
            </w:tcBorders>
            <w:gridSpan w:val="2"/>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180" w:type="dxa"/>
            <w:vAlign w:val="bottom"/>
          </w:tcPr>
          <w:p>
            <w:pPr>
              <w:spacing w:after="0"/>
              <w:rPr>
                <w:sz w:val="20"/>
                <w:szCs w:val="20"/>
                <w:color w:val="auto"/>
              </w:rPr>
            </w:pPr>
            <w:r>
              <w:rPr>
                <w:rFonts w:ascii="Arial" w:cs="Arial" w:eastAsia="Arial" w:hAnsi="Arial"/>
                <w:sz w:val="14"/>
                <w:szCs w:val="14"/>
                <w:color w:val="auto"/>
              </w:rPr>
              <w:t>Total stockholders’ equity to total assets</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10.61%</w:t>
            </w:r>
          </w:p>
        </w:tc>
        <w:tc>
          <w:tcPr>
            <w:tcW w:w="16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10.04%</w:t>
            </w:r>
          </w:p>
        </w:tc>
        <w:tc>
          <w:tcPr>
            <w:tcW w:w="10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10.28%</w:t>
            </w:r>
          </w:p>
        </w:tc>
        <w:tc>
          <w:tcPr>
            <w:tcW w:w="10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9.95%</w:t>
            </w:r>
          </w:p>
        </w:tc>
        <w:tc>
          <w:tcPr>
            <w:tcW w:w="18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9.39%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4"/>
                <w:szCs w:val="14"/>
                <w:color w:val="auto"/>
              </w:rPr>
              <w:t>Tangible common equity to tangible assets</w:t>
            </w: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9.98%</w:t>
            </w:r>
          </w:p>
        </w:tc>
        <w:tc>
          <w:tcPr>
            <w:tcW w:w="160" w:type="dxa"/>
            <w:vAlign w:val="bottom"/>
            <w:shd w:val="clear" w:color="auto" w:fill="CCEEFF"/>
          </w:tcPr>
          <w:p>
            <w:pPr>
              <w:spacing w:after="0"/>
              <w:rPr>
                <w:sz w:val="14"/>
                <w:szCs w:val="14"/>
                <w:color w:val="auto"/>
              </w:rPr>
            </w:pP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9.39%</w:t>
            </w: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9.60%</w:t>
            </w:r>
          </w:p>
        </w:tc>
        <w:tc>
          <w:tcPr>
            <w:tcW w:w="100" w:type="dxa"/>
            <w:vAlign w:val="bottom"/>
            <w:shd w:val="clear" w:color="auto" w:fill="CCEEFF"/>
          </w:tcPr>
          <w:p>
            <w:pPr>
              <w:spacing w:after="0"/>
              <w:rPr>
                <w:sz w:val="14"/>
                <w:szCs w:val="14"/>
                <w:color w:val="auto"/>
              </w:rPr>
            </w:pPr>
          </w:p>
        </w:tc>
        <w:tc>
          <w:tcPr>
            <w:tcW w:w="12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9.25%</w:t>
            </w: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8.66%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80" w:type="dxa"/>
            <w:vAlign w:val="bottom"/>
          </w:tcPr>
          <w:p>
            <w:pPr>
              <w:spacing w:after="0"/>
              <w:rPr>
                <w:sz w:val="20"/>
                <w:szCs w:val="20"/>
                <w:color w:val="auto"/>
              </w:rPr>
            </w:pPr>
            <w:r>
              <w:rPr>
                <w:rFonts w:ascii="Arial" w:cs="Arial" w:eastAsia="Arial" w:hAnsi="Arial"/>
                <w:sz w:val="14"/>
                <w:szCs w:val="14"/>
                <w:color w:val="auto"/>
              </w:rPr>
              <w:t>Book value per share</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21.89</w:t>
            </w:r>
          </w:p>
        </w:tc>
        <w:tc>
          <w:tcPr>
            <w:tcW w:w="20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20.75</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20.47</w:t>
            </w:r>
          </w:p>
        </w:tc>
        <w:tc>
          <w:tcPr>
            <w:tcW w:w="2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19.52</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18.64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4"/>
                <w:szCs w:val="14"/>
                <w:color w:val="auto"/>
              </w:rPr>
              <w:t>Tangible book value per share</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20.43</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19.28</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18.97</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18.00</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17.06</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75"/>
        </w:trPr>
        <w:tc>
          <w:tcPr>
            <w:tcW w:w="20" w:type="dxa"/>
            <w:vAlign w:val="bottom"/>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25" w:right="319" w:bottom="1440" w:gutter="0" w:footer="0" w:header="0"/>
        </w:sectPr>
      </w:pPr>
    </w:p>
    <w:bookmarkStart w:id="15" w:name="page16"/>
    <w:bookmarkEnd w:id="15"/>
    <w:p>
      <w:pPr>
        <w:ind w:left="926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27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27305"/>
                    </a:xfrm>
                    <a:prstGeom prst="rect">
                      <a:avLst/>
                    </a:prstGeom>
                    <a:noFill/>
                  </pic:spPr>
                </pic:pic>
              </a:graphicData>
            </a:graphic>
          </wp:anchor>
        </w:drawing>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151130</wp:posOffset>
            </wp:positionV>
            <wp:extent cx="7209790" cy="58070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0" w:num="1">
            <w:col w:w="10140"/>
          </w:cols>
          <w:pgMar w:left="1440" w:top="246" w:right="319" w:bottom="1440"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210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9790" cy="5821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5882640</wp:posOffset>
            </wp:positionV>
            <wp:extent cx="7160260" cy="139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959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9790" cy="58959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upperLetter"/>
      <w:start w:val="68"/>
    </w:lvl>
  </w:abstractNum>
  <w:abstractNum w:abstractNumId="4">
    <w:nsid w:val="507ED7AB"/>
    <w:multiLevelType w:val="hybridMultilevel"/>
    <w:lvl w:ilvl="0">
      <w:lvlJc w:val="left"/>
      <w:lvlText w:val="(%1)"/>
      <w:numFmt w:val="decimal"/>
      <w:start w:val="866"/>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2021-07-27T15:53:03Z</dcterms:created>
  <dcterms:modified xsi:type="dcterms:W3CDTF">2021-07-27T15:53:03Z</dcterms:modified>
</cp:coreProperties>
</file>