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001-38895</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75-2453320</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16" w:right="339" w:bottom="1440" w:gutter="0" w:footer="0" w:header="0"/>
          <w:type w:val="continuous"/>
        </w:sectPr>
      </w:pPr>
    </w:p>
    <w:p>
      <w:pPr>
        <w:spacing w:after="0" w:line="14"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Lubbock, Texas</w:t>
      </w:r>
    </w:p>
    <w:p>
      <w:pPr>
        <w:spacing w:after="0" w:line="9"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79407</w:t>
      </w:r>
    </w:p>
    <w:p>
      <w:pPr>
        <w:spacing w:after="0" w:line="31"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980" w:space="720"/>
            <w:col w:w="2540"/>
          </w:cols>
          <w:pgMar w:left="320" w:top="516" w:right="339" w:bottom="1440" w:gutter="0" w:footer="0" w:header="0"/>
          <w:type w:val="continuous"/>
        </w:sectPr>
      </w:pP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(806) 792-7101</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highlight w:val="black"/>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highlight w:val="black"/>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highlight w:val="black"/>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South Plains Financial, Inc. (the “Company”) held its 2025 Annual Meeting of Shareholders virtually on May 20, 2025 (the “Annual Meeting”). There were 16,235,647 shares of the Company’s common stock outstanding and entitled to receive notice of and to vote at the Annual Meeting at the close of business on March 24, 2025, the record date for the Annual Meeting. Of that number, 14,783,797 shares of the Company’s common stock were represented by means of remote communication or by proxy at the Annual Meeting, which constituted a quorum to conduct business at the Annual Meeting. The Company’s shareholders voted on and approved the following four proposals at the Annual Meeting.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1 – To elect two (2) Class III directors to serve on the Company’s board of directors until the Company’s 2028 annual meeting of shareholders or each until their respective successor or successors are duly elected and qualified or until their earlier death, resignation or removal from office. Final voting results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Nominee</w:t>
            </w:r>
          </w:p>
        </w:tc>
        <w:tc>
          <w:tcPr>
            <w:tcW w:w="23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For</w:t>
            </w:r>
          </w:p>
        </w:tc>
        <w:tc>
          <w:tcPr>
            <w:tcW w:w="82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18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9"/>
              </w:rPr>
              <w:t>Abstain</w:t>
            </w: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
        </w:trPr>
        <w:tc>
          <w:tcPr>
            <w:tcW w:w="134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238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11,003,621</w:t>
            </w:r>
          </w:p>
        </w:tc>
        <w:tc>
          <w:tcPr>
            <w:tcW w:w="3060" w:type="dxa"/>
            <w:vAlign w:val="bottom"/>
            <w:gridSpan w:val="3"/>
            <w:shd w:val="clear" w:color="auto" w:fill="CCEEFF"/>
          </w:tcPr>
          <w:p>
            <w:pPr>
              <w:jc w:val="right"/>
              <w:ind w:right="1660"/>
              <w:spacing w:after="0"/>
              <w:rPr>
                <w:sz w:val="20"/>
                <w:szCs w:val="20"/>
                <w:color w:val="auto"/>
              </w:rPr>
            </w:pPr>
            <w:r>
              <w:rPr>
                <w:rFonts w:ascii="Times New Roman" w:cs="Times New Roman" w:eastAsia="Times New Roman" w:hAnsi="Times New Roman"/>
                <w:sz w:val="18"/>
                <w:szCs w:val="18"/>
                <w:color w:val="auto"/>
              </w:rPr>
              <w:t>784,283</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2,758</w:t>
            </w:r>
          </w:p>
        </w:tc>
        <w:tc>
          <w:tcPr>
            <w:tcW w:w="13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2,993,135</w:t>
            </w:r>
          </w:p>
        </w:tc>
        <w:tc>
          <w:tcPr>
            <w:tcW w:w="460" w:type="dxa"/>
            <w:vAlign w:val="bottom"/>
            <w:shd w:val="clear" w:color="auto" w:fill="CCEEFF"/>
          </w:tcPr>
          <w:p>
            <w:pPr>
              <w:spacing w:after="0"/>
              <w:rPr>
                <w:sz w:val="18"/>
                <w:szCs w:val="18"/>
                <w:color w:val="auto"/>
              </w:rPr>
            </w:pPr>
          </w:p>
        </w:tc>
      </w:t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Kyle R. Wargo</w:t>
            </w:r>
          </w:p>
        </w:tc>
        <w:tc>
          <w:tcPr>
            <w:tcW w:w="238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7,284,826</w:t>
            </w:r>
          </w:p>
        </w:tc>
        <w:tc>
          <w:tcPr>
            <w:tcW w:w="306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4,503,079</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2,757</w:t>
            </w:r>
          </w:p>
        </w:tc>
        <w:tc>
          <w:tcPr>
            <w:tcW w:w="13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2,993,135</w:t>
            </w:r>
          </w:p>
        </w:tc>
        <w:tc>
          <w:tcPr>
            <w:tcW w:w="46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2 – To ratify the appointment of Forvis Mazars, LLP as the independent registered public accounting firm of the Company for the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Final voting results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rPr>
              <w:t>For</w:t>
            </w:r>
          </w:p>
        </w:tc>
        <w:tc>
          <w:tcPr>
            <w:tcW w:w="226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color w:val="auto"/>
                <w:w w:val="99"/>
              </w:rPr>
              <w:t>Against</w:t>
            </w:r>
          </w:p>
        </w:tc>
        <w:tc>
          <w:tcPr>
            <w:tcW w:w="12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Abstain</w:t>
            </w:r>
          </w:p>
        </w:tc>
        <w:tc>
          <w:tcPr>
            <w:tcW w:w="24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
        </w:trPr>
        <w:tc>
          <w:tcPr>
            <w:tcW w:w="10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3080" w:type="dxa"/>
            <w:vAlign w:val="bottom"/>
            <w:gridSpan w:val="3"/>
            <w:shd w:val="clear" w:color="auto" w:fill="CCEEFF"/>
          </w:tcPr>
          <w:p>
            <w:pPr>
              <w:jc w:val="right"/>
              <w:ind w:right="1540"/>
              <w:spacing w:after="0"/>
              <w:rPr>
                <w:sz w:val="20"/>
                <w:szCs w:val="20"/>
                <w:color w:val="auto"/>
              </w:rPr>
            </w:pPr>
            <w:r>
              <w:rPr>
                <w:rFonts w:ascii="Times New Roman" w:cs="Times New Roman" w:eastAsia="Times New Roman" w:hAnsi="Times New Roman"/>
                <w:sz w:val="18"/>
                <w:szCs w:val="18"/>
                <w:color w:val="auto"/>
              </w:rPr>
              <w:t>14,690,156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90,302</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3 – To approve, on a non-binding advisory basis, the Company’s compensation for named executive officers. Final voting results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For</w:t>
            </w:r>
          </w:p>
        </w:tc>
        <w:tc>
          <w:tcPr>
            <w:tcW w:w="78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12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Abstain</w:t>
            </w:r>
          </w:p>
        </w:tc>
        <w:tc>
          <w:tcPr>
            <w:tcW w:w="24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
        </w:trPr>
        <w:tc>
          <w:tcPr>
            <w:tcW w:w="10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230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11,228,979</w:t>
            </w:r>
          </w:p>
        </w:tc>
        <w:tc>
          <w:tcPr>
            <w:tcW w:w="304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470,753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90,930</w:t>
            </w:r>
          </w:p>
        </w:tc>
        <w:tc>
          <w:tcPr>
            <w:tcW w:w="6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2,993,135</w:t>
            </w:r>
          </w:p>
        </w:tc>
        <w:tc>
          <w:tcPr>
            <w:tcW w:w="4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4 – To approve, on a non-binding advisory basis, the frequency of advisory votes on the Company’s compensation for named executive officers.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voting results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142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4"/>
              </w:rPr>
              <w:t>1 Year</w:t>
            </w:r>
          </w:p>
        </w:tc>
        <w:tc>
          <w:tcPr>
            <w:tcW w:w="22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7"/>
              </w:rPr>
              <w:t>2 Years</w:t>
            </w:r>
          </w:p>
        </w:tc>
        <w:tc>
          <w:tcPr>
            <w:tcW w:w="840" w:type="dxa"/>
            <w:vAlign w:val="bottom"/>
          </w:tcPr>
          <w:p>
            <w:pPr>
              <w:spacing w:after="0"/>
              <w:rPr>
                <w:sz w:val="18"/>
                <w:szCs w:val="18"/>
                <w:color w:val="auto"/>
              </w:rPr>
            </w:pPr>
          </w:p>
        </w:tc>
        <w:tc>
          <w:tcPr>
            <w:tcW w:w="224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color w:val="auto"/>
                <w:w w:val="97"/>
              </w:rPr>
              <w:t>3 Years</w:t>
            </w:r>
          </w:p>
        </w:tc>
        <w:tc>
          <w:tcPr>
            <w:tcW w:w="18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9"/>
              </w:rPr>
              <w:t>Abstain</w:t>
            </w: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9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232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10,955,074</w:t>
            </w:r>
          </w:p>
        </w:tc>
        <w:tc>
          <w:tcPr>
            <w:tcW w:w="220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379,437</w:t>
            </w:r>
          </w:p>
        </w:tc>
        <w:tc>
          <w:tcPr>
            <w:tcW w:w="3080" w:type="dxa"/>
            <w:vAlign w:val="bottom"/>
            <w:gridSpan w:val="3"/>
            <w:shd w:val="clear" w:color="auto" w:fill="CCEEFF"/>
          </w:tcPr>
          <w:p>
            <w:pPr>
              <w:jc w:val="right"/>
              <w:ind w:right="1660"/>
              <w:spacing w:after="0"/>
              <w:rPr>
                <w:sz w:val="20"/>
                <w:szCs w:val="20"/>
                <w:color w:val="auto"/>
              </w:rPr>
            </w:pPr>
            <w:r>
              <w:rPr>
                <w:rFonts w:ascii="Times New Roman" w:cs="Times New Roman" w:eastAsia="Times New Roman" w:hAnsi="Times New Roman"/>
                <w:sz w:val="18"/>
                <w:szCs w:val="18"/>
                <w:color w:val="auto"/>
              </w:rPr>
              <w:t>441,778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1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2,993,135</w:t>
            </w:r>
          </w:p>
        </w:tc>
        <w:tc>
          <w:tcPr>
            <w:tcW w:w="4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light of these results, and consistent with the recommendation of the Company’s board of directors in the definitive proxy statement for the Annual Meeting, the Company has determined that it will hold a non-binding advisory vote to approve the Company’s compensation for named executive officers in its proxy materials every year until the next advisory vote on the frequency of such votes is required under the Securities Exchange Act of 1934, as amended, which will occur no later than the 2031 annual meeting of shareholders of the Company.</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22, 2025</w:t>
      </w:r>
      <w:r>
        <w:rPr>
          <w:sz w:val="20"/>
          <w:szCs w:val="20"/>
          <w:color w:val="auto"/>
        </w:rPr>
        <w:tab/>
      </w:r>
      <w:r>
        <w:rPr>
          <w:rFonts w:ascii="Times New Roman" w:cs="Times New Roman" w:eastAsia="Times New Roman" w:hAnsi="Times New Roman"/>
          <w:sz w:val="18"/>
          <w:szCs w:val="18"/>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2025-05-23T15:39:43Z</dcterms:created>
  <dcterms:modified xsi:type="dcterms:W3CDTF">2025-05-23T15:39:43Z</dcterms:modified>
</cp:coreProperties>
</file>