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454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454900"/>
                    </a:xfrm>
                    <a:prstGeom prst="rect">
                      <a:avLst/>
                    </a:prstGeom>
                    <a:noFill/>
                  </pic:spPr>
                </pic:pic>
              </a:graphicData>
            </a:graphic>
          </wp:anchor>
        </w:drawing>
      </w:r>
    </w:p>
    <w:p>
      <w:pPr>
        <w:spacing w:after="0" w:line="1285" w:lineRule="exact"/>
        <w:rPr>
          <w:sz w:val="24"/>
          <w:szCs w:val="24"/>
          <w:color w:val="auto"/>
        </w:rPr>
      </w:pPr>
    </w:p>
    <w:p>
      <w:pPr>
        <w:sectPr>
          <w:pgSz w:w="11900" w:h="16870"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Griffith Curtis 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20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5219 CITY BANK PARKWAY</w:t>
            </w:r>
          </w:p>
        </w:tc>
        <w:tc>
          <w:tcPr>
            <w:tcW w:w="13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LUBBOCK</w:t>
            </w:r>
          </w:p>
        </w:tc>
        <w:tc>
          <w:tcPr>
            <w:tcW w:w="13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3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79407-3544</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20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SOUTH PLAINS FINANCIAL,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12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SPFI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1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00" w:type="dxa"/>
            <w:vAlign w:val="bottom"/>
            <w:gridSpan w:val="2"/>
            <w:vMerge w:val="continue"/>
          </w:tcPr>
          <w:p>
            <w:pPr>
              <w:spacing w:after="0"/>
              <w:rPr>
                <w:sz w:val="8"/>
                <w:szCs w:val="8"/>
                <w:color w:val="auto"/>
              </w:rPr>
            </w:pPr>
          </w:p>
        </w:tc>
        <w:tc>
          <w:tcPr>
            <w:tcW w:w="3620" w:type="dxa"/>
            <w:vAlign w:val="bottom"/>
            <w:gridSpan w:val="2"/>
            <w:vMerge w:val="continue"/>
          </w:tcPr>
          <w:p>
            <w:pPr>
              <w:spacing w:after="0"/>
              <w:rPr>
                <w:sz w:val="8"/>
                <w:szCs w:val="8"/>
                <w:color w:val="auto"/>
              </w:rPr>
            </w:pPr>
          </w:p>
        </w:tc>
        <w:tc>
          <w:tcPr>
            <w:tcW w:w="3300" w:type="dxa"/>
            <w:vAlign w:val="bottom"/>
            <w:gridSpan w:val="2"/>
            <w:vMerge w:val="restart"/>
          </w:tcPr>
          <w:p>
            <w:pPr>
              <w:ind w:left="980"/>
              <w:spacing w:after="0"/>
              <w:rPr>
                <w:sz w:val="20"/>
                <w:szCs w:val="20"/>
                <w:color w:val="auto"/>
              </w:rPr>
            </w:pPr>
            <w:r>
              <w:rPr>
                <w:rFonts w:ascii="Times New Roman" w:cs="Times New Roman" w:eastAsia="Times New Roman" w:hAnsi="Times New Roman"/>
                <w:sz w:val="17"/>
                <w:szCs w:val="17"/>
                <w:color w:val="0000FF"/>
              </w:rPr>
              <w:t>Chairman and CEO</w:t>
            </w:r>
          </w:p>
        </w:tc>
        <w:tc>
          <w:tcPr>
            <w:tcW w:w="0" w:type="dxa"/>
            <w:vAlign w:val="bottom"/>
          </w:tcPr>
          <w:p>
            <w:pPr>
              <w:spacing w:after="0"/>
              <w:rPr>
                <w:sz w:val="1"/>
                <w:szCs w:val="1"/>
                <w:color w:val="auto"/>
              </w:rPr>
            </w:pPr>
          </w:p>
        </w:tc>
      </w:tr>
      <w:tr>
        <w:trPr>
          <w:trHeight w:val="146"/>
        </w:trPr>
        <w:tc>
          <w:tcPr>
            <w:tcW w:w="3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03/10/2025</w:t>
            </w:r>
          </w:p>
        </w:tc>
        <w:tc>
          <w:tcPr>
            <w:tcW w:w="500" w:type="dxa"/>
            <w:vAlign w:val="bottom"/>
          </w:tcPr>
          <w:p>
            <w:pPr>
              <w:spacing w:after="0"/>
              <w:rPr>
                <w:sz w:val="12"/>
                <w:szCs w:val="12"/>
                <w:color w:val="auto"/>
              </w:rPr>
            </w:pPr>
          </w:p>
        </w:tc>
        <w:tc>
          <w:tcPr>
            <w:tcW w:w="3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3320" w:type="dxa"/>
            <w:vAlign w:val="bottom"/>
            <w:gridSpan w:val="3"/>
            <w:vMerge w:val="continue"/>
          </w:tcPr>
          <w:p>
            <w:pPr>
              <w:spacing w:after="0"/>
              <w:rPr>
                <w:sz w:val="6"/>
                <w:szCs w:val="6"/>
                <w:color w:val="auto"/>
              </w:rPr>
            </w:pPr>
          </w:p>
        </w:tc>
        <w:tc>
          <w:tcPr>
            <w:tcW w:w="5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1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89" w:lineRule="exact"/>
        <w:rPr>
          <w:sz w:val="24"/>
          <w:szCs w:val="24"/>
          <w:color w:val="auto"/>
        </w:rPr>
      </w:pPr>
    </w:p>
    <w:p>
      <w:pPr>
        <w:sectPr>
          <w:pgSz w:w="11900" w:h="16870"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w w:val="95"/>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03/10/2025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250,000</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557,240</w:t>
            </w:r>
            <w:r>
              <w:rPr>
                <w:rFonts w:ascii="Times New Roman" w:cs="Times New Roman" w:eastAsia="Times New Roman" w:hAnsi="Times New Roman"/>
                <w:sz w:val="22"/>
                <w:szCs w:val="22"/>
                <w:color w:val="008000"/>
                <w:w w:val="96"/>
                <w:vertAlign w:val="superscript"/>
              </w:rPr>
              <w:t>(2)</w:t>
            </w:r>
          </w:p>
        </w:tc>
        <w:tc>
          <w:tcPr>
            <w:tcW w:w="920" w:type="dxa"/>
            <w:vAlign w:val="bottom"/>
            <w:tcBorders>
              <w:bottom w:val="single" w:sz="8" w:color="2C2C2C"/>
            </w:tcBorders>
          </w:tcPr>
          <w:p>
            <w:pPr>
              <w:jc w:val="center"/>
              <w:ind w:right="27"/>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03/10/2025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100,000</w:t>
            </w:r>
            <w:r>
              <w:rPr>
                <w:rFonts w:ascii="Times New Roman" w:cs="Times New Roman" w:eastAsia="Times New Roman" w:hAnsi="Times New Roman"/>
                <w:sz w:val="22"/>
                <w:szCs w:val="22"/>
                <w:color w:val="008000"/>
                <w:w w:val="93"/>
                <w:vertAlign w:val="superscript"/>
              </w:rPr>
              <w:t>(3)</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457,240</w:t>
            </w:r>
            <w:r>
              <w:rPr>
                <w:rFonts w:ascii="Times New Roman" w:cs="Times New Roman" w:eastAsia="Times New Roman" w:hAnsi="Times New Roman"/>
                <w:sz w:val="22"/>
                <w:szCs w:val="22"/>
                <w:color w:val="008000"/>
                <w:w w:val="96"/>
                <w:vertAlign w:val="superscript"/>
              </w:rPr>
              <w:t>(2)</w:t>
            </w:r>
          </w:p>
        </w:tc>
        <w:tc>
          <w:tcPr>
            <w:tcW w:w="920" w:type="dxa"/>
            <w:vAlign w:val="bottom"/>
            <w:tcBorders>
              <w:bottom w:val="single" w:sz="8" w:color="2C2C2C"/>
            </w:tcBorders>
          </w:tcPr>
          <w:p>
            <w:pPr>
              <w:jc w:val="center"/>
              <w:ind w:right="27"/>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45,360</w:t>
            </w:r>
          </w:p>
        </w:tc>
        <w:tc>
          <w:tcPr>
            <w:tcW w:w="920" w:type="dxa"/>
            <w:vAlign w:val="bottom"/>
            <w:vMerge w:val="restart"/>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435,000</w:t>
            </w:r>
          </w:p>
        </w:tc>
        <w:tc>
          <w:tcPr>
            <w:tcW w:w="920" w:type="dxa"/>
            <w:vAlign w:val="bottom"/>
            <w:vMerge w:val="restart"/>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CCG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64,000</w:t>
            </w:r>
          </w:p>
        </w:tc>
        <w:tc>
          <w:tcPr>
            <w:tcW w:w="920" w:type="dxa"/>
            <w:vAlign w:val="bottom"/>
            <w:vMerge w:val="restart"/>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RTW</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(6)</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vMerge w:val="restart"/>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BLW</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(7)</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WHW</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(8)</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vMerge w:val="restart"/>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SSG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(9)</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vMerge w:val="restart"/>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JBG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6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1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repurchased by the Issuer from the Reporting Person in a privately negotiated transaction under the Issuer's previously-announced stock repurchase program, pursuant to which the Issuer may repurchase up to $15.0 million of its shares of common stock from time to time through various means, including open market purchases and privately negotiated transactions. The shares were sold to provide liquidity to the Reporting Person for investment in his agricultural-related businesses in order to meet the businesses' capital needs over the medium-term.</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include restricted stock units that may be settled only by delivery of an equal number of shares of common stock and which are subject to vesting and forfeiture conditions.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Noe G. Valles, a director of the Issuer, in a private transaction.</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owned by the Reporting Person's spouse. The Reporting Person disclaims beneficial ownership of these shares except to the extent of his pecuniary interest, and the filing of this report is not an admission that the Reporting Person is the beneficial owner of these shares for purposes of Section 16 or for any other purpose.</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Curtis C. Griffith 2021 Irrevocable Trust ("CCG Trust"), over which the Reporting Person's spouse, who shares the Reporting Person's household, serves as trustee. The members of the Reporting Person's immediate family are the beneficiaries of this trust. The Reporting Person disclaims beneficial ownership of these shares except to the extent of his pecuniary interest, and the filing</w:t>
      </w:r>
    </w:p>
    <w:p>
      <w:pPr>
        <w:sectPr>
          <w:pgSz w:w="11900" w:h="16870"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of this report is not an admission that the Reporting Person is the beneficial owner of these shares for purposes of Section 16 or for any other purpose.</w:t>
      </w:r>
    </w:p>
    <w:p>
      <w:pPr>
        <w:spacing w:after="0" w:line="50" w:lineRule="exact"/>
        <w:rPr>
          <w:sz w:val="20"/>
          <w:szCs w:val="20"/>
          <w:color w:val="auto"/>
        </w:rPr>
      </w:pPr>
    </w:p>
    <w:p>
      <w:pPr>
        <w:ind w:right="4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Richard Thomas White 2021 Trust ("RTW Trust"), over which the Reporting Person serves as trustee. A member of the Reporting Person's immediate family is the beneficiary of this trust.</w:t>
      </w:r>
    </w:p>
    <w:p>
      <w:pPr>
        <w:spacing w:after="0" w:line="7" w:lineRule="exact"/>
        <w:rPr>
          <w:rFonts w:ascii="Times New Roman" w:cs="Times New Roman" w:eastAsia="Times New Roman" w:hAnsi="Times New Roman"/>
          <w:sz w:val="13"/>
          <w:szCs w:val="13"/>
          <w:color w:val="008000"/>
        </w:rPr>
      </w:pPr>
    </w:p>
    <w:p>
      <w:pPr>
        <w:ind w:right="18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Birdie Lucille White 2021 Trust ("BLW Trust"), over which the Reporting Person serves as trustee. A member of the Reporting Person's immediate family is the beneficiary of this trust.</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William Hogan White 2021 Trust ("WHW Trust"), over which the Reporting Person serves as trustee. A member of the Reporting Person's immediate family is the beneficiary of this trust.</w:t>
      </w:r>
    </w:p>
    <w:p>
      <w:pPr>
        <w:spacing w:after="0" w:line="7" w:lineRule="exact"/>
        <w:rPr>
          <w:rFonts w:ascii="Times New Roman" w:cs="Times New Roman" w:eastAsia="Times New Roman" w:hAnsi="Times New Roman"/>
          <w:sz w:val="13"/>
          <w:szCs w:val="13"/>
          <w:color w:val="008000"/>
        </w:rPr>
      </w:pPr>
    </w:p>
    <w:p>
      <w:pPr>
        <w:ind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Sydney Suzanne Griffith 2021 Trust ("SSG Trust"), over which the Reporting Person serves as trustee. A member of the Reporting Person's immediate family is the beneficiary of this trust.</w:t>
      </w:r>
    </w:p>
    <w:p>
      <w:pPr>
        <w:spacing w:after="0" w:line="7" w:lineRule="exact"/>
        <w:rPr>
          <w:rFonts w:ascii="Times New Roman" w:cs="Times New Roman" w:eastAsia="Times New Roman" w:hAnsi="Times New Roman"/>
          <w:sz w:val="13"/>
          <w:szCs w:val="13"/>
          <w:color w:val="008000"/>
        </w:rPr>
      </w:pPr>
    </w:p>
    <w:p>
      <w:pPr>
        <w:ind w:right="8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Johnathan Brockway Griffith 2021 Trust ("JBG Trust"), over which the Reporting Person serves as trustee. A member of the Reporting Person's immediate family is the beneficiary of this trust.</w:t>
      </w:r>
    </w:p>
    <w:p>
      <w:pPr>
        <w:spacing w:after="0" w:line="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By Mikella D. Newsom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17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Curtis C.  03/12/2025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340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3401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5195" TargetMode="External"/><Relationship Id="rId14"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2025-03-12T18:39:50Z</dcterms:created>
  <dcterms:modified xsi:type="dcterms:W3CDTF">2025-03-12T18:39:50Z</dcterms:modified>
</cp:coreProperties>
</file>