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266700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0" w:lineRule="exact"/>
        <w:rPr>
          <w:sz w:val="24"/>
          <w:szCs w:val="24"/>
          <w:color w:val="auto"/>
        </w:rPr>
      </w:pPr>
    </w:p>
    <w:p>
      <w:pPr>
        <w:ind w:left="4020" w:right="2500" w:hanging="4018"/>
        <w:spacing w:after="0" w:line="455" w:lineRule="auto"/>
        <w:tabs>
          <w:tab w:leader="none" w:pos="459"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ind w:left="5500"/>
        <w:spacing w:after="0"/>
        <w:rPr>
          <w:rFonts w:ascii="Arial" w:cs="Arial" w:eastAsia="Arial" w:hAnsi="Arial"/>
          <w:sz w:val="17"/>
          <w:szCs w:val="17"/>
          <w:color w:val="auto"/>
        </w:rPr>
      </w:pPr>
      <w:r>
        <w:rPr>
          <w:rFonts w:ascii="Arial" w:cs="Arial" w:eastAsia="Arial" w:hAnsi="Arial"/>
          <w:sz w:val="17"/>
          <w:szCs w:val="17"/>
          <w:b w:val="1"/>
          <w:bCs w:val="1"/>
          <w:color w:val="auto"/>
        </w:rPr>
        <w:t>OR</w:t>
      </w:r>
    </w:p>
    <w:p>
      <w:pPr>
        <w:spacing w:after="0" w:line="212" w:lineRule="exact"/>
        <w:rPr>
          <w:sz w:val="24"/>
          <w:szCs w:val="24"/>
          <w:color w:val="auto"/>
        </w:rPr>
      </w:pPr>
    </w:p>
    <w:p>
      <w:pPr>
        <w:ind w:left="3180" w:right="2140" w:hanging="3178"/>
        <w:spacing w:after="0" w:line="462" w:lineRule="auto"/>
        <w:tabs>
          <w:tab w:leader="none" w:pos="45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______________ to_______________</w:t>
      </w:r>
    </w:p>
    <w:p>
      <w:pPr>
        <w:ind w:left="4300"/>
        <w:spacing w:after="0"/>
        <w:rPr>
          <w:rFonts w:ascii="Arial" w:cs="Arial" w:eastAsia="Arial" w:hAnsi="Arial"/>
          <w:sz w:val="17"/>
          <w:szCs w:val="17"/>
          <w:color w:val="auto"/>
        </w:rPr>
      </w:pPr>
      <w:r>
        <w:rPr>
          <w:rFonts w:ascii="Arial" w:cs="Arial" w:eastAsia="Arial" w:hAnsi="Arial"/>
          <w:sz w:val="17"/>
          <w:szCs w:val="17"/>
          <w:b w:val="1"/>
          <w:bCs w:val="1"/>
          <w:color w:val="auto"/>
        </w:rPr>
        <w:t>Commission File Number 001-38895</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South Plains Financial,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94" w:lineRule="exact"/>
        <w:rPr>
          <w:sz w:val="24"/>
          <w:szCs w:val="24"/>
          <w:color w:val="auto"/>
        </w:rPr>
      </w:pPr>
    </w:p>
    <w:tbl>
      <w:tblPr>
        <w:tblLayout w:type="fixed"/>
        <w:tblInd w:w="560" w:type="dxa"/>
        <w:tblCellMar>
          <w:top w:w="0" w:type="dxa"/>
          <w:left w:w="0" w:type="dxa"/>
          <w:bottom w:w="0" w:type="dxa"/>
          <w:right w:w="0" w:type="dxa"/>
        </w:tblCellMar>
      </w:tblPr>
      <w:tr>
        <w:trPr>
          <w:trHeight w:val="204"/>
        </w:trPr>
        <w:tc>
          <w:tcPr>
            <w:tcW w:w="5520" w:type="dxa"/>
            <w:vAlign w:val="bottom"/>
          </w:tcPr>
          <w:p>
            <w:pPr>
              <w:jc w:val="center"/>
              <w:ind w:right="1035"/>
              <w:spacing w:after="0"/>
              <w:rPr>
                <w:sz w:val="20"/>
                <w:szCs w:val="20"/>
                <w:color w:val="auto"/>
              </w:rPr>
            </w:pPr>
            <w:r>
              <w:rPr>
                <w:rFonts w:ascii="Arial" w:cs="Arial" w:eastAsia="Arial" w:hAnsi="Arial"/>
                <w:sz w:val="17"/>
                <w:szCs w:val="17"/>
                <w:b w:val="1"/>
                <w:bCs w:val="1"/>
                <w:color w:val="auto"/>
                <w:w w:val="82"/>
              </w:rPr>
              <w:t>Texas</w:t>
            </w:r>
          </w:p>
        </w:tc>
        <w:tc>
          <w:tcPr>
            <w:tcW w:w="3720" w:type="dxa"/>
            <w:vAlign w:val="bottom"/>
          </w:tcPr>
          <w:p>
            <w:pPr>
              <w:jc w:val="right"/>
              <w:ind w:right="815"/>
              <w:spacing w:after="0"/>
              <w:rPr>
                <w:sz w:val="20"/>
                <w:szCs w:val="20"/>
                <w:color w:val="auto"/>
              </w:rPr>
            </w:pPr>
            <w:r>
              <w:rPr>
                <w:rFonts w:ascii="Arial" w:cs="Arial" w:eastAsia="Arial" w:hAnsi="Arial"/>
                <w:sz w:val="17"/>
                <w:szCs w:val="17"/>
                <w:b w:val="1"/>
                <w:bCs w:val="1"/>
                <w:color w:val="auto"/>
              </w:rPr>
              <w:t>75-2453320</w:t>
            </w:r>
          </w:p>
        </w:tc>
      </w:tr>
      <w:tr>
        <w:trPr>
          <w:trHeight w:val="219"/>
        </w:trPr>
        <w:tc>
          <w:tcPr>
            <w:tcW w:w="5520" w:type="dxa"/>
            <w:vAlign w:val="bottom"/>
          </w:tcPr>
          <w:p>
            <w:pPr>
              <w:jc w:val="center"/>
              <w:ind w:right="1055"/>
              <w:spacing w:after="0"/>
              <w:rPr>
                <w:sz w:val="20"/>
                <w:szCs w:val="20"/>
                <w:color w:val="auto"/>
              </w:rPr>
            </w:pPr>
            <w:r>
              <w:rPr>
                <w:rFonts w:ascii="Arial" w:cs="Arial" w:eastAsia="Arial" w:hAnsi="Arial"/>
                <w:sz w:val="17"/>
                <w:szCs w:val="17"/>
                <w:b w:val="1"/>
                <w:bCs w:val="1"/>
                <w:color w:val="auto"/>
                <w:w w:val="91"/>
              </w:rPr>
              <w:t>(State or other jurisdiction of incorporation or organization)</w:t>
            </w:r>
          </w:p>
        </w:tc>
        <w:tc>
          <w:tcPr>
            <w:tcW w:w="3720" w:type="dxa"/>
            <w:vAlign w:val="bottom"/>
          </w:tcPr>
          <w:p>
            <w:pPr>
              <w:jc w:val="center"/>
              <w:ind w:left="1035"/>
              <w:spacing w:after="0"/>
              <w:rPr>
                <w:sz w:val="20"/>
                <w:szCs w:val="20"/>
                <w:color w:val="auto"/>
              </w:rPr>
            </w:pPr>
            <w:r>
              <w:rPr>
                <w:rFonts w:ascii="Arial" w:cs="Arial" w:eastAsia="Arial" w:hAnsi="Arial"/>
                <w:sz w:val="17"/>
                <w:szCs w:val="17"/>
                <w:b w:val="1"/>
                <w:bCs w:val="1"/>
                <w:color w:val="auto"/>
                <w:w w:val="93"/>
              </w:rPr>
              <w:t>(I.R.S. Employer Identification No.)</w:t>
            </w:r>
          </w:p>
        </w:tc>
      </w:tr>
      <w:tr>
        <w:trPr>
          <w:trHeight w:val="392"/>
        </w:trPr>
        <w:tc>
          <w:tcPr>
            <w:tcW w:w="5520" w:type="dxa"/>
            <w:vAlign w:val="bottom"/>
          </w:tcPr>
          <w:p>
            <w:pPr>
              <w:jc w:val="center"/>
              <w:ind w:right="1035"/>
              <w:spacing w:after="0"/>
              <w:rPr>
                <w:sz w:val="20"/>
                <w:szCs w:val="20"/>
                <w:color w:val="auto"/>
              </w:rPr>
            </w:pPr>
            <w:r>
              <w:rPr>
                <w:rFonts w:ascii="Arial" w:cs="Arial" w:eastAsia="Arial" w:hAnsi="Arial"/>
                <w:sz w:val="17"/>
                <w:szCs w:val="17"/>
                <w:b w:val="1"/>
                <w:bCs w:val="1"/>
                <w:color w:val="auto"/>
                <w:w w:val="92"/>
              </w:rPr>
              <w:t>5219 City Bank Parkway</w:t>
            </w:r>
          </w:p>
        </w:tc>
        <w:tc>
          <w:tcPr>
            <w:tcW w:w="3720" w:type="dxa"/>
            <w:vAlign w:val="bottom"/>
          </w:tcPr>
          <w:p>
            <w:pPr>
              <w:spacing w:after="0"/>
              <w:rPr>
                <w:sz w:val="24"/>
                <w:szCs w:val="24"/>
                <w:color w:val="auto"/>
              </w:rPr>
            </w:pPr>
          </w:p>
        </w:tc>
      </w:tr>
      <w:tr>
        <w:trPr>
          <w:trHeight w:val="204"/>
        </w:trPr>
        <w:tc>
          <w:tcPr>
            <w:tcW w:w="5520" w:type="dxa"/>
            <w:vAlign w:val="bottom"/>
          </w:tcPr>
          <w:p>
            <w:pPr>
              <w:jc w:val="center"/>
              <w:ind w:right="1035"/>
              <w:spacing w:after="0"/>
              <w:rPr>
                <w:sz w:val="20"/>
                <w:szCs w:val="20"/>
                <w:color w:val="auto"/>
              </w:rPr>
            </w:pPr>
            <w:r>
              <w:rPr>
                <w:rFonts w:ascii="Arial" w:cs="Arial" w:eastAsia="Arial" w:hAnsi="Arial"/>
                <w:sz w:val="17"/>
                <w:szCs w:val="17"/>
                <w:b w:val="1"/>
                <w:bCs w:val="1"/>
                <w:color w:val="auto"/>
                <w:w w:val="90"/>
              </w:rPr>
              <w:t>Lubbock, Texas</w:t>
            </w:r>
          </w:p>
        </w:tc>
        <w:tc>
          <w:tcPr>
            <w:tcW w:w="3720" w:type="dxa"/>
            <w:vAlign w:val="bottom"/>
          </w:tcPr>
          <w:p>
            <w:pPr>
              <w:jc w:val="right"/>
              <w:ind w:right="1015"/>
              <w:spacing w:after="0"/>
              <w:rPr>
                <w:sz w:val="20"/>
                <w:szCs w:val="20"/>
                <w:color w:val="auto"/>
              </w:rPr>
            </w:pPr>
            <w:r>
              <w:rPr>
                <w:rFonts w:ascii="Arial" w:cs="Arial" w:eastAsia="Arial" w:hAnsi="Arial"/>
                <w:sz w:val="17"/>
                <w:szCs w:val="17"/>
                <w:b w:val="1"/>
                <w:bCs w:val="1"/>
                <w:color w:val="auto"/>
              </w:rPr>
              <w:t>79407</w:t>
            </w:r>
          </w:p>
        </w:tc>
      </w:tr>
      <w:tr>
        <w:trPr>
          <w:trHeight w:val="219"/>
        </w:trPr>
        <w:tc>
          <w:tcPr>
            <w:tcW w:w="5520" w:type="dxa"/>
            <w:vAlign w:val="bottom"/>
          </w:tcPr>
          <w:p>
            <w:pPr>
              <w:jc w:val="center"/>
              <w:ind w:right="1035"/>
              <w:spacing w:after="0"/>
              <w:rPr>
                <w:sz w:val="20"/>
                <w:szCs w:val="20"/>
                <w:color w:val="auto"/>
              </w:rPr>
            </w:pPr>
            <w:r>
              <w:rPr>
                <w:rFonts w:ascii="Arial" w:cs="Arial" w:eastAsia="Arial" w:hAnsi="Arial"/>
                <w:sz w:val="17"/>
                <w:szCs w:val="17"/>
                <w:b w:val="1"/>
                <w:bCs w:val="1"/>
                <w:color w:val="auto"/>
                <w:w w:val="88"/>
              </w:rPr>
              <w:t>(Address of principal executive offices)</w:t>
            </w:r>
          </w:p>
        </w:tc>
        <w:tc>
          <w:tcPr>
            <w:tcW w:w="3720" w:type="dxa"/>
            <w:vAlign w:val="bottom"/>
          </w:tcPr>
          <w:p>
            <w:pPr>
              <w:jc w:val="center"/>
              <w:ind w:left="1015"/>
              <w:spacing w:after="0"/>
              <w:rPr>
                <w:sz w:val="20"/>
                <w:szCs w:val="20"/>
                <w:color w:val="auto"/>
              </w:rPr>
            </w:pPr>
            <w:r>
              <w:rPr>
                <w:rFonts w:ascii="Arial" w:cs="Arial" w:eastAsia="Arial" w:hAnsi="Arial"/>
                <w:sz w:val="17"/>
                <w:szCs w:val="17"/>
                <w:b w:val="1"/>
                <w:bCs w:val="1"/>
                <w:color w:val="auto"/>
                <w:w w:val="92"/>
              </w:rPr>
              <w:t>(Zip Code)</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(806) 792-7101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4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Title of each class</w:t>
            </w:r>
          </w:p>
        </w:tc>
        <w:tc>
          <w:tcPr>
            <w:tcW w:w="216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Trading Symbol(s)</w:t>
            </w:r>
          </w:p>
        </w:tc>
        <w:tc>
          <w:tcPr>
            <w:tcW w:w="444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15"/>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Common Stock, par value $1.00 per share</w:t>
            </w:r>
          </w:p>
        </w:tc>
        <w:tc>
          <w:tcPr>
            <w:tcW w:w="32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SPFI</w:t>
            </w:r>
          </w:p>
        </w:tc>
        <w:tc>
          <w:tcPr>
            <w:tcW w:w="32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The Nasdaq Stock Market, LLC</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180"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180"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212"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173"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172" w:lineRule="exact"/>
        <w:rPr>
          <w:sz w:val="24"/>
          <w:szCs w:val="24"/>
          <w:color w:val="auto"/>
        </w:rPr>
      </w:pPr>
    </w:p>
    <w:p>
      <w:pPr>
        <w:jc w:val="both"/>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540" w:type="dxa"/>
            <w:vAlign w:val="bottom"/>
          </w:tcPr>
          <w:p>
            <w:pPr>
              <w:spacing w:after="0"/>
              <w:rPr>
                <w:sz w:val="20"/>
                <w:szCs w:val="20"/>
                <w:color w:val="auto"/>
              </w:rPr>
            </w:pPr>
            <w:r>
              <w:rPr>
                <w:rFonts w:ascii="Arial" w:cs="Arial" w:eastAsia="Arial" w:hAnsi="Arial"/>
                <w:sz w:val="17"/>
                <w:szCs w:val="17"/>
                <w:color w:val="auto"/>
                <w:w w:val="90"/>
              </w:rPr>
              <w:t>Large accelerated filer</w:t>
            </w:r>
          </w:p>
        </w:tc>
        <w:tc>
          <w:tcPr>
            <w:tcW w:w="2260" w:type="dxa"/>
            <w:vAlign w:val="bottom"/>
          </w:tcPr>
          <w:p>
            <w:pPr>
              <w:ind w:left="12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3900" w:type="dxa"/>
            <w:vAlign w:val="bottom"/>
          </w:tcPr>
          <w:p>
            <w:pPr>
              <w:ind w:left="1980"/>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tc>
        <w:tc>
          <w:tcPr>
            <w:tcW w:w="220" w:type="dxa"/>
            <w:vAlign w:val="bottom"/>
            <w:vMerge w:val="restart"/>
          </w:tcPr>
          <w:p>
            <w:pPr>
              <w:ind w:left="6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20"/>
                <w:szCs w:val="20"/>
                <w:color w:val="auto"/>
              </w:rPr>
            </w:pPr>
            <w:r>
              <w:rPr>
                <w:rFonts w:ascii="Arial" w:cs="Arial" w:eastAsia="Arial" w:hAnsi="Arial"/>
                <w:sz w:val="17"/>
                <w:szCs w:val="17"/>
                <w:color w:val="auto"/>
                <w:w w:val="96"/>
              </w:rPr>
              <w:t>Non-accelerated filer</w:t>
            </w:r>
          </w:p>
        </w:tc>
        <w:tc>
          <w:tcPr>
            <w:tcW w:w="2260" w:type="dxa"/>
            <w:vAlign w:val="bottom"/>
          </w:tcPr>
          <w:p>
            <w:pPr>
              <w:ind w:left="20"/>
              <w:spacing w:after="0" w:line="204" w:lineRule="exact"/>
              <w:rPr>
                <w:sz w:val="20"/>
                <w:szCs w:val="20"/>
                <w:color w:val="auto"/>
              </w:rPr>
            </w:pPr>
            <w:r>
              <w:rPr>
                <w:rFonts w:ascii="Arial Unicode MS" w:cs="Arial Unicode MS" w:eastAsia="Arial Unicode MS" w:hAnsi="Arial Unicode MS"/>
                <w:sz w:val="17"/>
                <w:szCs w:val="17"/>
                <w:color w:val="auto"/>
              </w:rPr>
              <w:t>☐</w:t>
            </w:r>
          </w:p>
        </w:tc>
        <w:tc>
          <w:tcPr>
            <w:tcW w:w="3900" w:type="dxa"/>
            <w:vAlign w:val="bottom"/>
          </w:tcPr>
          <w:p>
            <w:pPr>
              <w:ind w:left="1980"/>
              <w:spacing w:after="0"/>
              <w:rPr>
                <w:sz w:val="20"/>
                <w:szCs w:val="20"/>
                <w:color w:val="auto"/>
              </w:rPr>
            </w:pPr>
            <w:r>
              <w:rPr>
                <w:rFonts w:ascii="Arial" w:cs="Arial" w:eastAsia="Arial" w:hAnsi="Arial"/>
                <w:sz w:val="17"/>
                <w:szCs w:val="17"/>
                <w:color w:val="auto"/>
                <w:w w:val="93"/>
              </w:rPr>
              <w:t>Smaller reporting company</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900" w:type="dxa"/>
            <w:vAlign w:val="bottom"/>
          </w:tcPr>
          <w:p>
            <w:pPr>
              <w:ind w:left="1980"/>
              <w:spacing w:after="0"/>
              <w:rPr>
                <w:sz w:val="20"/>
                <w:szCs w:val="20"/>
                <w:color w:val="auto"/>
              </w:rPr>
            </w:pPr>
            <w:r>
              <w:rPr>
                <w:rFonts w:ascii="Arial" w:cs="Arial" w:eastAsia="Arial" w:hAnsi="Arial"/>
                <w:sz w:val="17"/>
                <w:szCs w:val="17"/>
                <w:color w:val="auto"/>
                <w:w w:val="93"/>
              </w:rPr>
              <w:t>Emerging growth company</w:t>
            </w:r>
          </w:p>
        </w:tc>
        <w:tc>
          <w:tcPr>
            <w:tcW w:w="220" w:type="dxa"/>
            <w:vAlign w:val="bottom"/>
          </w:tcPr>
          <w:p>
            <w:pPr>
              <w:ind w:left="6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bl>
    <w:p>
      <w:pPr>
        <w:spacing w:after="0" w:line="172"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42" w:lineRule="exact"/>
        <w:rPr>
          <w:sz w:val="24"/>
          <w:szCs w:val="24"/>
          <w:color w:val="auto"/>
        </w:rPr>
      </w:pPr>
    </w:p>
    <w:p>
      <w:pPr>
        <w:jc w:val="both"/>
        <w:spacing w:after="0" w:line="225" w:lineRule="exact"/>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w:t>
      </w:r>
      <w:r>
        <w:rPr>
          <w:rFonts w:ascii="Arial Unicode MS" w:cs="Arial Unicode MS" w:eastAsia="Arial Unicode MS" w:hAnsi="Arial Unicode MS"/>
          <w:sz w:val="17"/>
          <w:szCs w:val="17"/>
          <w:color w:val="auto"/>
        </w:rPr>
        <w:t>ﬀ</w:t>
      </w:r>
      <w:r>
        <w:rPr>
          <w:rFonts w:ascii="Arial" w:cs="Arial" w:eastAsia="Arial" w:hAnsi="Arial"/>
          <w:sz w:val="17"/>
          <w:szCs w:val="17"/>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7"/>
          <w:szCs w:val="17"/>
          <w:color w:val="auto"/>
        </w:rPr>
        <w:t>☐</w:t>
      </w:r>
    </w:p>
    <w:p>
      <w:pPr>
        <w:spacing w:after="0" w:line="175"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auto"/>
        </w:rPr>
        <w:t>☐</w:t>
      </w:r>
    </w:p>
    <w:p>
      <w:pPr>
        <w:spacing w:after="0" w:line="174"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 period pursuant to §240.10D-1(b). </w:t>
      </w:r>
      <w:r>
        <w:rPr>
          <w:rFonts w:ascii="Arial Unicode MS" w:cs="Arial Unicode MS" w:eastAsia="Arial Unicode MS" w:hAnsi="Arial Unicode MS"/>
          <w:sz w:val="17"/>
          <w:szCs w:val="17"/>
          <w:color w:val="auto"/>
        </w:rPr>
        <w:t>☐</w:t>
      </w:r>
    </w:p>
    <w:p>
      <w:pPr>
        <w:spacing w:after="0" w:line="142"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212"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based on the closing price of the shares of common stock on The NASDAQ Stock Market, LLC on June 30, 2022, was $306.4 million.</w:t>
      </w:r>
    </w:p>
    <w:p>
      <w:pPr>
        <w:spacing w:after="0" w:line="165"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as of March 8, 2023 was 17,047,883.</w:t>
      </w:r>
    </w:p>
    <w:p>
      <w:pPr>
        <w:sectPr>
          <w:pgSz w:w="11900" w:h="16838" w:orient="portrait"/>
          <w:cols w:equalWidth="0" w:num="1">
            <w:col w:w="11240"/>
          </w:cols>
          <w:pgMar w:left="320" w:top="500"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Portions of the registrant’s Definitive Proxy Statement relating to the Annual Meeting of Shareholders, scheduled to be held on May 16,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258445</wp:posOffset>
            </wp:positionV>
            <wp:extent cx="713994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395605</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80" w:type="dxa"/>
            <w:vAlign w:val="bottom"/>
            <w:gridSpan w:val="8"/>
          </w:tcPr>
          <w:p>
            <w:pPr>
              <w:ind w:left="440"/>
              <w:spacing w:after="0"/>
              <w:rPr>
                <w:sz w:val="20"/>
                <w:szCs w:val="20"/>
                <w:color w:val="auto"/>
              </w:rPr>
            </w:pPr>
            <w:r>
              <w:rPr>
                <w:rFonts w:ascii="Arial" w:cs="Arial" w:eastAsia="Arial" w:hAnsi="Arial"/>
                <w:sz w:val="17"/>
                <w:szCs w:val="17"/>
                <w:b w:val="1"/>
                <w:bCs w:val="1"/>
                <w:color w:val="auto"/>
              </w:rPr>
              <w:t>TABLE OF CONTENTS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197"/>
        </w:trPr>
        <w:tc>
          <w:tcPr>
            <w:tcW w:w="11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CCEEFF"/>
            </w:tcBorders>
            <w:gridSpan w:val="2"/>
            <w:shd w:val="clear" w:color="auto" w:fill="CCEEFF"/>
          </w:tcPr>
          <w:p>
            <w:pPr>
              <w:ind w:left="160"/>
              <w:spacing w:after="0" w:line="172" w:lineRule="exact"/>
              <w:rPr>
                <w:sz w:val="20"/>
                <w:szCs w:val="20"/>
                <w:color w:val="auto"/>
              </w:rPr>
            </w:pPr>
            <w:r>
              <w:rPr>
                <w:rFonts w:ascii="Arial" w:cs="Arial" w:eastAsia="Arial" w:hAnsi="Arial"/>
                <w:sz w:val="17"/>
                <w:szCs w:val="17"/>
                <w:color w:val="auto"/>
              </w:rPr>
              <w:t>Item 1.</w:t>
            </w:r>
          </w:p>
        </w:tc>
        <w:tc>
          <w:tcPr>
            <w:tcW w:w="9020" w:type="dxa"/>
            <w:vAlign w:val="bottom"/>
            <w:gridSpan w:val="17"/>
            <w:shd w:val="clear" w:color="auto" w:fill="CCEEFF"/>
          </w:tcPr>
          <w:p>
            <w:pPr>
              <w:spacing w:after="0" w:line="172" w:lineRule="exact"/>
              <w:rPr>
                <w:sz w:val="20"/>
                <w:szCs w:val="20"/>
                <w:color w:val="auto"/>
              </w:rPr>
            </w:pPr>
            <w:r>
              <w:rPr>
                <w:rFonts w:ascii="Arial" w:cs="Arial" w:eastAsia="Arial" w:hAnsi="Arial"/>
                <w:sz w:val="17"/>
                <w:szCs w:val="17"/>
                <w:color w:val="0000EE"/>
              </w:rPr>
              <w:t>Business</w:t>
            </w:r>
          </w:p>
        </w:tc>
        <w:tc>
          <w:tcPr>
            <w:tcW w:w="1080" w:type="dxa"/>
            <w:vAlign w:val="bottom"/>
            <w:shd w:val="clear" w:color="auto" w:fill="CCEEFF"/>
          </w:tcPr>
          <w:p>
            <w:pPr>
              <w:jc w:val="center"/>
              <w:spacing w:after="0" w:line="172"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1A</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Risk Factors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1B</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Unresolved Staff Comments</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38</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2.</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Properties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38</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3.</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Legal Proceedings</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39</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4.</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Mine Safety Disclosures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39</w:t>
            </w:r>
          </w:p>
        </w:tc>
        <w:tc>
          <w:tcPr>
            <w:tcW w:w="0" w:type="dxa"/>
            <w:vAlign w:val="bottom"/>
          </w:tcPr>
          <w:p>
            <w:pPr>
              <w:spacing w:after="0"/>
              <w:rPr>
                <w:sz w:val="1"/>
                <w:szCs w:val="1"/>
                <w:color w:val="auto"/>
              </w:rPr>
            </w:pPr>
          </w:p>
        </w:tc>
      </w:tr>
      <w:tr>
        <w:trPr>
          <w:trHeight w:val="222"/>
        </w:trPr>
        <w:tc>
          <w:tcPr>
            <w:tcW w:w="1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PART II</w:t>
            </w:r>
          </w:p>
        </w:tc>
        <w:tc>
          <w:tcPr>
            <w:tcW w:w="6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lef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tcBorders>
              <w:lef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5.</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Market for Registrant’s Common Equity, Related Stockholder Matters and Issuer Purchases of Equity Securities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39</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00" w:type="dxa"/>
            <w:vAlign w:val="bottom"/>
            <w:tcBorders>
              <w:left w:val="single" w:sz="8" w:color="0000EE"/>
            </w:tcBorders>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6.</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[Reserved]</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41</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7.</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41</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7A.</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Quantitative and Qualitative Disclosures About Market Risk</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62</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8.</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Financial Statements and Supplementary Data</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63</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9.</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Changes in and Disagreements With Accountants on Accounting and Financial Disclosure</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101</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800" w:type="dxa"/>
            <w:vAlign w:val="bottom"/>
            <w:tcBorders>
              <w:left w:val="single" w:sz="8" w:color="0000EE"/>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9A.</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Controls and Procedures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101</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9B.</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Other Information</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102</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CCEEFF"/>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9C.</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Disclosure Regarding Foreign Jurisdictions that Prevent Inspections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102</w:t>
            </w:r>
          </w:p>
        </w:tc>
        <w:tc>
          <w:tcPr>
            <w:tcW w:w="0" w:type="dxa"/>
            <w:vAlign w:val="bottom"/>
          </w:tcPr>
          <w:p>
            <w:pPr>
              <w:spacing w:after="0"/>
              <w:rPr>
                <w:sz w:val="1"/>
                <w:szCs w:val="1"/>
                <w:color w:val="auto"/>
              </w:rPr>
            </w:pPr>
          </w:p>
        </w:tc>
      </w:tr>
      <w:tr>
        <w:trPr>
          <w:trHeight w:val="222"/>
        </w:trPr>
        <w:tc>
          <w:tcPr>
            <w:tcW w:w="1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PART III</w:t>
            </w:r>
          </w:p>
        </w:tc>
        <w:tc>
          <w:tcPr>
            <w:tcW w:w="6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lef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left w:val="single" w:sz="8" w:color="CCEEFF"/>
            </w:tcBorders>
            <w:shd w:val="clear" w:color="auto" w:fill="CCEEFF"/>
          </w:tcPr>
          <w:p>
            <w:pPr>
              <w:spacing w:after="0"/>
              <w:rPr>
                <w:sz w:val="19"/>
                <w:szCs w:val="19"/>
                <w:color w:val="auto"/>
              </w:rPr>
            </w:pPr>
          </w:p>
        </w:tc>
        <w:tc>
          <w:tcPr>
            <w:tcW w:w="8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520" w:type="dxa"/>
            <w:vAlign w:val="bottom"/>
            <w:tcBorders>
              <w:top w:val="single" w:sz="8" w:color="0000EE"/>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tcBorders>
              <w:lef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10.</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Directors, Executive Officers and Corporate Governance</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103</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11.</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Executive Compensation</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103</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12.</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Security Ownership of Certain Beneficial Owners and Management and Related Stockholder Matters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103</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00" w:type="dxa"/>
            <w:vAlign w:val="bottom"/>
            <w:tcBorders>
              <w:left w:val="single" w:sz="8" w:color="0000EE"/>
            </w:tcBorders>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13.</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Certain Relationships and Related Transactions, and Director Independence</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103</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14.</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Principal Accounting Fees and Services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103</w:t>
            </w:r>
          </w:p>
        </w:tc>
        <w:tc>
          <w:tcPr>
            <w:tcW w:w="0" w:type="dxa"/>
            <w:vAlign w:val="bottom"/>
          </w:tcPr>
          <w:p>
            <w:pPr>
              <w:spacing w:after="0"/>
              <w:rPr>
                <w:sz w:val="1"/>
                <w:szCs w:val="1"/>
                <w:color w:val="auto"/>
              </w:rPr>
            </w:pPr>
          </w:p>
        </w:tc>
      </w:tr>
      <w:tr>
        <w:trPr>
          <w:trHeight w:val="222"/>
        </w:trPr>
        <w:tc>
          <w:tcPr>
            <w:tcW w:w="1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PART IV</w:t>
            </w:r>
          </w:p>
        </w:tc>
        <w:tc>
          <w:tcPr>
            <w:tcW w:w="6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lef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left w:val="single" w:sz="8" w:color="CCEEFF"/>
            </w:tcBorders>
            <w:shd w:val="clear" w:color="auto" w:fill="CCEEFF"/>
          </w:tcPr>
          <w:p>
            <w:pPr>
              <w:spacing w:after="0"/>
              <w:rPr>
                <w:sz w:val="19"/>
                <w:szCs w:val="19"/>
                <w:color w:val="auto"/>
              </w:rPr>
            </w:pPr>
          </w:p>
        </w:tc>
        <w:tc>
          <w:tcPr>
            <w:tcW w:w="8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tcBorders>
              <w:lef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Arial" w:cs="Arial" w:eastAsia="Arial" w:hAnsi="Arial"/>
                <w:sz w:val="17"/>
                <w:szCs w:val="17"/>
                <w:color w:val="auto"/>
              </w:rPr>
              <w:t>Item 15.</w:t>
            </w:r>
          </w:p>
        </w:tc>
        <w:tc>
          <w:tcPr>
            <w:tcW w:w="9020" w:type="dxa"/>
            <w:vAlign w:val="bottom"/>
            <w:gridSpan w:val="17"/>
          </w:tcPr>
          <w:p>
            <w:pPr>
              <w:spacing w:after="0" w:line="166" w:lineRule="exact"/>
              <w:rPr>
                <w:sz w:val="20"/>
                <w:szCs w:val="20"/>
                <w:color w:val="auto"/>
              </w:rPr>
            </w:pPr>
            <w:r>
              <w:rPr>
                <w:rFonts w:ascii="Arial" w:cs="Arial" w:eastAsia="Arial" w:hAnsi="Arial"/>
                <w:sz w:val="17"/>
                <w:szCs w:val="17"/>
                <w:color w:val="0000EE"/>
              </w:rPr>
              <w:t>Exhibits, Financial Statement Schedules</w:t>
            </w:r>
          </w:p>
        </w:tc>
        <w:tc>
          <w:tcPr>
            <w:tcW w:w="1080" w:type="dxa"/>
            <w:vAlign w:val="bottom"/>
          </w:tcPr>
          <w:p>
            <w:pPr>
              <w:jc w:val="center"/>
              <w:spacing w:after="0" w:line="166" w:lineRule="exact"/>
              <w:rPr>
                <w:sz w:val="20"/>
                <w:szCs w:val="20"/>
                <w:color w:val="auto"/>
              </w:rPr>
            </w:pPr>
            <w:r>
              <w:rPr>
                <w:rFonts w:ascii="Arial" w:cs="Arial" w:eastAsia="Arial" w:hAnsi="Arial"/>
                <w:sz w:val="17"/>
                <w:szCs w:val="17"/>
                <w:color w:val="auto"/>
                <w:w w:val="84"/>
              </w:rPr>
              <w:t>104</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Arial" w:cs="Arial" w:eastAsia="Arial" w:hAnsi="Arial"/>
                <w:sz w:val="17"/>
                <w:szCs w:val="17"/>
                <w:color w:val="auto"/>
              </w:rPr>
              <w:t>Item 16.</w:t>
            </w:r>
          </w:p>
        </w:tc>
        <w:tc>
          <w:tcPr>
            <w:tcW w:w="9020" w:type="dxa"/>
            <w:vAlign w:val="bottom"/>
            <w:gridSpan w:val="17"/>
            <w:shd w:val="clear" w:color="auto" w:fill="CCEEFF"/>
          </w:tcPr>
          <w:p>
            <w:pPr>
              <w:spacing w:after="0" w:line="175" w:lineRule="exact"/>
              <w:rPr>
                <w:sz w:val="20"/>
                <w:szCs w:val="20"/>
                <w:color w:val="auto"/>
              </w:rPr>
            </w:pPr>
            <w:r>
              <w:rPr>
                <w:rFonts w:ascii="Arial" w:cs="Arial" w:eastAsia="Arial" w:hAnsi="Arial"/>
                <w:sz w:val="17"/>
                <w:szCs w:val="17"/>
                <w:color w:val="0000EE"/>
              </w:rPr>
              <w:t>Form 10-K Summary</w:t>
            </w:r>
          </w:p>
        </w:tc>
        <w:tc>
          <w:tcPr>
            <w:tcW w:w="108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106</w:t>
            </w:r>
          </w:p>
        </w:tc>
        <w:tc>
          <w:tcPr>
            <w:tcW w:w="0" w:type="dxa"/>
            <w:vAlign w:val="bottom"/>
          </w:tcPr>
          <w:p>
            <w:pPr>
              <w:spacing w:after="0"/>
              <w:rPr>
                <w:sz w:val="1"/>
                <w:szCs w:val="1"/>
                <w:color w:val="auto"/>
              </w:rPr>
            </w:pPr>
          </w:p>
        </w:tc>
      </w:tr>
      <w:tr>
        <w:trPr>
          <w:trHeight w:val="166"/>
        </w:trPr>
        <w:tc>
          <w:tcPr>
            <w:tcW w:w="1140" w:type="dxa"/>
            <w:vAlign w:val="bottom"/>
            <w:tcBorders>
              <w:top w:val="single" w:sz="8" w:color="CCEEFF"/>
            </w:tcBorders>
            <w:gridSpan w:val="2"/>
          </w:tcPr>
          <w:p>
            <w:pPr>
              <w:spacing w:after="0" w:line="166" w:lineRule="exact"/>
              <w:rPr>
                <w:sz w:val="20"/>
                <w:szCs w:val="20"/>
                <w:color w:val="auto"/>
              </w:rPr>
            </w:pPr>
            <w:r>
              <w:rPr>
                <w:rFonts w:ascii="Arial" w:cs="Arial" w:eastAsia="Arial" w:hAnsi="Arial"/>
                <w:sz w:val="17"/>
                <w:szCs w:val="17"/>
                <w:color w:val="0000EE"/>
                <w:w w:val="99"/>
              </w:rPr>
              <w:t>SIGNATURES</w:t>
            </w:r>
          </w:p>
        </w:tc>
        <w:tc>
          <w:tcPr>
            <w:tcW w:w="6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jc w:val="center"/>
              <w:spacing w:after="0" w:line="166" w:lineRule="exact"/>
              <w:rPr>
                <w:sz w:val="20"/>
                <w:szCs w:val="20"/>
                <w:color w:val="auto"/>
              </w:rPr>
            </w:pPr>
            <w:r>
              <w:rPr>
                <w:rFonts w:ascii="Arial" w:cs="Arial" w:eastAsia="Arial" w:hAnsi="Arial"/>
                <w:sz w:val="17"/>
                <w:szCs w:val="17"/>
                <w:color w:val="auto"/>
                <w:w w:val="84"/>
              </w:rPr>
              <w:t>107</w:t>
            </w:r>
          </w:p>
        </w:tc>
        <w:tc>
          <w:tcPr>
            <w:tcW w:w="0" w:type="dxa"/>
            <w:vAlign w:val="bottom"/>
          </w:tcPr>
          <w:p>
            <w:pPr>
              <w:spacing w:after="0"/>
              <w:rPr>
                <w:sz w:val="1"/>
                <w:szCs w:val="1"/>
                <w:color w:val="auto"/>
              </w:rPr>
            </w:pPr>
          </w:p>
        </w:tc>
      </w:tr>
      <w:tr>
        <w:trPr>
          <w:trHeight w:val="393"/>
        </w:trPr>
        <w:tc>
          <w:tcPr>
            <w:tcW w:w="10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16"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6"/>
          <w:szCs w:val="16"/>
          <w:color w:val="auto"/>
        </w:rPr>
        <w:t>This Annual Report on Form 10-K for the year ended December 31, 2022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7"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7"/>
          <w:szCs w:val="17"/>
          <w:color w:val="auto"/>
        </w:rPr>
        <w:t>There are or will be important factors that could cause our actual results to differ materially from those indicated in these forward-looking statements, including, but not limited to, the following:</w:t>
      </w:r>
    </w:p>
    <w:p>
      <w:pPr>
        <w:spacing w:after="0" w:line="165" w:lineRule="exact"/>
        <w:rPr>
          <w:sz w:val="20"/>
          <w:szCs w:val="20"/>
          <w:color w:val="auto"/>
        </w:rPr>
      </w:pPr>
    </w:p>
    <w:p>
      <w:pPr>
        <w:ind w:left="620" w:hanging="3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execute our expansion strategy and manage our growth, including identifying and consummating suitable acquisitions;</w:t>
      </w:r>
    </w:p>
    <w:p>
      <w:pPr>
        <w:spacing w:after="0" w:line="223" w:lineRule="exact"/>
        <w:rPr>
          <w:rFonts w:ascii="Arial" w:cs="Arial" w:eastAsia="Arial" w:hAnsi="Arial"/>
          <w:sz w:val="16"/>
          <w:szCs w:val="16"/>
          <w:color w:val="auto"/>
        </w:rPr>
      </w:pPr>
    </w:p>
    <w:p>
      <w:pPr>
        <w:ind w:left="620" w:hanging="313"/>
        <w:spacing w:after="0" w:line="27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and economic conditions, particularly those affecting our market areas, as well as the concentration of our business in such market areas, and the uncertain inflationary outlook in the United States and our market areas;</w:t>
      </w:r>
    </w:p>
    <w:p>
      <w:pPr>
        <w:spacing w:after="0" w:line="164"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duration and severity of the ongoing COVID-19 pandemic, and any current or future variants thereof, and the response of governmental authorities to the COVID-19 pandemic;</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high concentrations of loans secured by real estate located in our market areas;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our commercial loan portfolio, including the risk for deterioration in value of the general business assets that secure such loans;</w:t>
      </w:r>
    </w:p>
    <w:p>
      <w:pPr>
        <w:spacing w:after="0" w:line="223" w:lineRule="exact"/>
        <w:rPr>
          <w:rFonts w:ascii="Arial" w:cs="Arial" w:eastAsia="Arial" w:hAnsi="Arial"/>
          <w:sz w:val="16"/>
          <w:szCs w:val="16"/>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changes in the prices, values and sales volumes of commercial and residential real estate securing our real estate loans;</w:t>
      </w:r>
    </w:p>
    <w:p>
      <w:pPr>
        <w:spacing w:after="0" w:line="212"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our agricultural loan portfolio, including the heightened sensitivity to weather conditions, commodity prices, and other factors generally outside the borrowers and our control;</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223" w:lineRule="exact"/>
        <w:rPr>
          <w:rFonts w:ascii="Arial" w:cs="Arial" w:eastAsia="Arial" w:hAnsi="Arial"/>
          <w:sz w:val="16"/>
          <w:szCs w:val="16"/>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funds deposits comprising a relatively high percentage of our deposits;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impairment on the goodwill we have recorded or may record in connection with business acquisitions;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reputation;</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manage our credit risk and the sufficiency of our allowance for loan losses;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hire and retain qualified management personnel;</w:t>
      </w:r>
    </w:p>
    <w:p>
      <w:pPr>
        <w:spacing w:after="0" w:line="212"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dependence on our management team, including our ability to retain executive officers and key employees and their customer and community relationships;</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interest rate fluctuations, which could have an adverse effect on our profitability;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ind w:left="620" w:hanging="3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from banks, credit unions and other financial services providers;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technological change or difficulties we may experience when implementing new technologies;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system failures, service denials, cyber-attacks and security breaches;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 over financial reporting;</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223" w:lineRule="exact"/>
        <w:rPr>
          <w:rFonts w:ascii="Arial" w:cs="Arial" w:eastAsia="Arial" w:hAnsi="Arial"/>
          <w:sz w:val="16"/>
          <w:szCs w:val="16"/>
          <w:color w:val="auto"/>
        </w:rPr>
      </w:pPr>
    </w:p>
    <w:p>
      <w:pPr>
        <w:ind w:left="620" w:hanging="313"/>
        <w:spacing w:after="0" w:line="274"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capital requirements imposed by banking regulators, which may require us to raise capital at a time when capital is not available on favorable terms or at all;</w:t>
      </w:r>
    </w:p>
    <w:p>
      <w:pPr>
        <w:spacing w:after="0" w:line="164"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adequate liquidity and to raise necessary capital to fund our acquisition strategy and operations or to meet increased minimum regulatory capital levels;</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and effects of litigation, investigations or similar matters to which we may be subject, including any effect on our reputation;</w:t>
      </w:r>
    </w:p>
    <w:p>
      <w:pPr>
        <w:spacing w:after="0" w:line="212"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natural disasters, severe weather, acts of god, acts of war or terrorism, outbreaks of hostilities, public health outbreaks (such as coronavirus), other international or domestic calamities, and other matters beyond our control;</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tariffs and trade barriers;</w:t>
      </w:r>
    </w:p>
    <w:p>
      <w:pPr>
        <w:spacing w:after="0" w:line="212"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p>
      <w:pPr>
        <w:spacing w:after="0" w:line="174"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p>
      <w:pPr>
        <w:spacing w:after="0" w:line="174" w:lineRule="exact"/>
        <w:rPr>
          <w:rFonts w:ascii="Arial" w:cs="Arial" w:eastAsia="Arial" w:hAnsi="Arial"/>
          <w:sz w:val="17"/>
          <w:szCs w:val="17"/>
          <w:color w:val="auto"/>
        </w:rPr>
      </w:pPr>
    </w:p>
    <w:p>
      <w:pPr>
        <w:ind w:left="620" w:hanging="313"/>
        <w:spacing w:after="0" w:line="306"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navigate the uncertain impacts of current and future governmental monetary and fiscal policies, including the current and future policies of the Board of Governors of the Federal Reserve System (“Federal Reserve”) and as a result of initiatives of the Biden administration.</w:t>
      </w:r>
    </w:p>
    <w:p>
      <w:pPr>
        <w:spacing w:after="0" w:line="14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16"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175" w:lineRule="exact"/>
        <w:rPr>
          <w:sz w:val="20"/>
          <w:szCs w:val="20"/>
          <w:color w:val="auto"/>
        </w:rPr>
      </w:pPr>
    </w:p>
    <w:p>
      <w:pPr>
        <w:jc w:val="both"/>
        <w:ind w:firstLine="305"/>
        <w:spacing w:after="0" w:line="313" w:lineRule="auto"/>
        <w:rPr>
          <w:sz w:val="20"/>
          <w:szCs w:val="20"/>
          <w:color w:val="auto"/>
        </w:rPr>
      </w:pPr>
      <w:r>
        <w:rPr>
          <w:rFonts w:ascii="Arial" w:cs="Arial" w:eastAsia="Arial" w:hAnsi="Arial"/>
          <w:sz w:val="15"/>
          <w:szCs w:val="15"/>
          <w:color w:val="auto"/>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40"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We had total assets of $3.94 billion, gross loans held for investment of $2.75 billion, total deposits of $3.41 billion, and total shareholders’ equity of $357.0 million as of December 31, 2022.</w:t>
      </w:r>
    </w:p>
    <w:p>
      <w:pPr>
        <w:spacing w:after="0" w:line="165" w:lineRule="exact"/>
        <w:rPr>
          <w:sz w:val="20"/>
          <w:szCs w:val="20"/>
          <w:color w:val="auto"/>
        </w:rPr>
      </w:pPr>
    </w:p>
    <w:p>
      <w:pPr>
        <w:jc w:val="both"/>
        <w:ind w:firstLine="305"/>
        <w:spacing w:after="0" w:line="270" w:lineRule="auto"/>
        <w:rPr>
          <w:sz w:val="20"/>
          <w:szCs w:val="20"/>
          <w:color w:val="auto"/>
        </w:rPr>
      </w:pPr>
      <w:r>
        <w:rPr>
          <w:rFonts w:ascii="Arial" w:cs="Arial" w:eastAsia="Arial" w:hAnsi="Arial"/>
          <w:sz w:val="16"/>
          <w:szCs w:val="16"/>
          <w:color w:val="auto"/>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approximately $430 million in assets, in 2019 through the merger of West Texas State Bank with and into the Bank.</w:t>
      </w:r>
    </w:p>
    <w:p>
      <w:pPr>
        <w:spacing w:after="0" w:line="175"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6"/>
          <w:szCs w:val="16"/>
          <w:color w:val="auto"/>
        </w:rPr>
        <w:t>We currently operate 25 full-service banking locations across seven geographic markets resulting from six acquisitions, de novo branch establishments, and the formation of a de novo bank in Ruidoso, New Mexico, which we later merged into the Bank. We also operate 11 loan production offices both in our banking markets and in certain key areas in Texas that focus on mortgage loan origination.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spacing w:after="0" w:line="168"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We operate in two reportable segments of business: community banking, which includes City Bank, our sole banking subsidiary, and insurance, which includes Windmark Insurance Agency, Inc. (“Windmark”).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Area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operate in the following markets (deposit information is as of December 31, 2022):</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Lubbock/South Plains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10 branches holding $2.1 billion of deposits in the Lubbock metropolitan statistical area (“MSA”) and the surrounding South Plains region of Texas.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Dallas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three branches with $474.1 million of deposits and five loan production offices, which we refer to as mortgage offices, in the Dallas-Fort Worth-Arlington MSA, which we refer to as the Dallas-Fort Worth metroplex.</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El Paso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two bank branches with $199.7 million of deposits and one mortgage office in the El Paso MSA.</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Houston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one branch with $37.9 million of deposits in the Houston-The Woodlands-Sugarland MSA, which we refer to as Greater Houston. This branch is located in the city of Houston.</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Bryan/College Station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one branch and one mortgage office in the city of College Station, Texas, which has $66.4 million in deposits. We refer to the Bryan-College Station MSA as Bryan/College Station.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Permian Basin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six branches with $358.7 million of deposits in the Permian Basin region of Texas.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Ruidoso, New Mexico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operate two branches with $180.8 million of deposits in the village of Ruidoso, New Mexico.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We believe our exposure to these dynamic and complementary markets provides us with economic diversification and the opportunity for expansion across Texas and New Mexico.</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6" w:lineRule="exact"/>
        <w:rPr>
          <w:sz w:val="20"/>
          <w:szCs w:val="20"/>
          <w:color w:val="auto"/>
        </w:rPr>
      </w:pPr>
    </w:p>
    <w:p>
      <w:pPr>
        <w:jc w:val="both"/>
        <w:ind w:firstLine="305"/>
        <w:spacing w:after="0" w:line="303" w:lineRule="auto"/>
        <w:rPr>
          <w:sz w:val="20"/>
          <w:szCs w:val="20"/>
          <w:color w:val="auto"/>
        </w:rPr>
      </w:pPr>
      <w:r>
        <w:rPr>
          <w:rFonts w:ascii="Arial" w:cs="Arial" w:eastAsia="Arial" w:hAnsi="Arial"/>
          <w:sz w:val="15"/>
          <w:szCs w:val="15"/>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148" w:lineRule="exact"/>
        <w:rPr>
          <w:sz w:val="20"/>
          <w:szCs w:val="20"/>
          <w:color w:val="auto"/>
        </w:rPr>
      </w:pPr>
    </w:p>
    <w:p>
      <w:pPr>
        <w:jc w:val="both"/>
        <w:ind w:firstLine="305"/>
        <w:spacing w:after="0" w:line="293" w:lineRule="auto"/>
        <w:rPr>
          <w:sz w:val="20"/>
          <w:szCs w:val="20"/>
          <w:color w:val="auto"/>
        </w:rPr>
      </w:pPr>
      <w:r>
        <w:rPr>
          <w:rFonts w:ascii="Arial" w:cs="Arial" w:eastAsia="Arial" w:hAnsi="Arial"/>
          <w:sz w:val="15"/>
          <w:szCs w:val="15"/>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16"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As of December 31, 2022, we had approximately 673 total employees, which included 600 full-time employees and 73 part-time employees. None of our employees are covered under a collective bargaining agreement and management considers its employee relations to be satisfactory.</w:t>
      </w:r>
    </w:p>
    <w:p>
      <w:pPr>
        <w:spacing w:after="0" w:line="165" w:lineRule="exact"/>
        <w:rPr>
          <w:sz w:val="20"/>
          <w:szCs w:val="20"/>
          <w:color w:val="auto"/>
        </w:rPr>
      </w:pPr>
    </w:p>
    <w:p>
      <w:pPr>
        <w:jc w:val="both"/>
        <w:ind w:firstLine="305"/>
        <w:spacing w:after="0" w:line="273" w:lineRule="auto"/>
        <w:rPr>
          <w:sz w:val="20"/>
          <w:szCs w:val="20"/>
          <w:color w:val="auto"/>
        </w:rPr>
      </w:pPr>
      <w:r>
        <w:rPr>
          <w:rFonts w:ascii="Arial" w:cs="Arial" w:eastAsia="Arial" w:hAnsi="Arial"/>
          <w:sz w:val="16"/>
          <w:szCs w:val="16"/>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believe our ability to attract and retain employees is a key to our success. Accordingly, we strive to offer competitive salaries and employee benefits to all employees and monitor salaries in our market areas. In addition to competitive base salaries and benefits, additional employee programs include annual bonus opportunities, Company matched 401(k) Plan contributions, healthcare and insurance benefits, health savings and flexible spending accounts, long-term care and long-term disability benefits, life insurance benefits, a robust wellness program, and paid-time off.</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Lending Activities</w:t>
      </w:r>
    </w:p>
    <w:p>
      <w:pPr>
        <w:spacing w:after="0" w:line="216" w:lineRule="exact"/>
        <w:rPr>
          <w:sz w:val="20"/>
          <w:szCs w:val="20"/>
          <w:color w:val="auto"/>
        </w:rPr>
      </w:pPr>
    </w:p>
    <w:p>
      <w:pPr>
        <w:jc w:val="both"/>
        <w:ind w:firstLine="306"/>
        <w:spacing w:after="0" w:line="275"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We adhere to what we believe are disciplined underwriting standards, but also remain cognizant of serving the credit needs of customers in our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spacing w:after="0" w:line="168"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175"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b w:val="1"/>
          <w:bCs w:val="1"/>
          <w:i w:val="1"/>
          <w:iCs w:val="1"/>
          <w:color w:val="auto"/>
        </w:rPr>
        <w:t>Credit Concentrations</w:t>
      </w:r>
      <w:r>
        <w:rPr>
          <w:rFonts w:ascii="Arial" w:cs="Arial" w:eastAsia="Arial" w:hAnsi="Arial"/>
          <w:sz w:val="17"/>
          <w:szCs w:val="17"/>
          <w:color w:val="auto"/>
        </w:rPr>
        <w:t>. In connection with the management of our credit portfolio, we actively manage the composition of our loan portfolio, including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spacing w:after="0" w:line="180"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b w:val="1"/>
          <w:bCs w:val="1"/>
          <w:i w:val="1"/>
          <w:iCs w:val="1"/>
          <w:color w:val="auto"/>
        </w:rPr>
        <w:t>Loan Approval Process</w:t>
      </w:r>
      <w:r>
        <w:rPr>
          <w:rFonts w:ascii="Arial" w:cs="Arial" w:eastAsia="Arial" w:hAnsi="Arial"/>
          <w:sz w:val="17"/>
          <w:szCs w:val="17"/>
          <w:color w:val="auto"/>
        </w:rPr>
        <w:t>. We seek to achieve an appropriate balance between prudent, disciplined underwriting and flexibility in our decision-making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responsiveness to our customers. Our Board requires news loans over $5 million to relationships in excess of $20 million to be reported to the Board Credit Risk Committee. As of December 31, 2022, the Bank had a legal lending limit of approximately $103.6 million. As of that date, our 20 largest borrowing relationships ranged from approximately $22.2 million to $50.9 million (including unfunded commitments) and totaled approximately $622.0 million in total commitments (representing, in the aggregate, 18.1% of our total outstanding commitments).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5"/>
        <w:spacing w:after="0" w:line="279" w:lineRule="auto"/>
        <w:rPr>
          <w:sz w:val="20"/>
          <w:szCs w:val="20"/>
          <w:color w:val="auto"/>
        </w:rPr>
      </w:pPr>
      <w:r>
        <w:rPr>
          <w:rFonts w:ascii="Arial" w:cs="Arial" w:eastAsia="Arial" w:hAnsi="Arial"/>
          <w:sz w:val="16"/>
          <w:szCs w:val="16"/>
          <w:color w:val="auto"/>
        </w:rPr>
        <w:t>Our credit approval policies provide for various levels of officer and senior management lending authority for new credits and renewals, which are based on position, capability and experience. Loans in excess of an individual officer’s lending limit up to $3 million may be approved with joint authorities of a market president and a senior credit officer. Loan relationships over $3 million are approved by our Executive Loan Committee. These limits are reviewed periodically by the Bank’s Board. We believe that our credit approval process provides for thorough underwriting and efficient decision-making.</w:t>
      </w:r>
    </w:p>
    <w:p>
      <w:pPr>
        <w:spacing w:after="0" w:line="163"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b w:val="1"/>
          <w:bCs w:val="1"/>
          <w:i w:val="1"/>
          <w:iCs w:val="1"/>
          <w:color w:val="auto"/>
        </w:rPr>
        <w:t>Credit Risk Management</w:t>
      </w:r>
      <w:r>
        <w:rPr>
          <w:rFonts w:ascii="Arial" w:cs="Arial" w:eastAsia="Arial" w:hAnsi="Arial"/>
          <w:sz w:val="17"/>
          <w:szCs w:val="17"/>
          <w:color w:val="auto"/>
        </w:rPr>
        <w:t>. Credit risk management involves a partnership between our loan officers and our credit approval, credit administration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collections personnel. Loan delinquencies and exceptions are constantly monitored by credit personnel and consultations with loan officers occur as often as daily. Our performance evaluation program for our loan officers includes significant credit quality metric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180"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Our policies require rapid notification of delinquency and prompt initiation of collection actions. Loan officers, credit administration personnel, and senior management proactively support collection activities.</w:t>
      </w:r>
    </w:p>
    <w:p>
      <w:pPr>
        <w:spacing w:after="0" w:line="165"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In accordance with our credit risk management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180"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review of at least 60% of the total dollar amount of the loan portfolio.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216" w:lineRule="exact"/>
        <w:rPr>
          <w:sz w:val="20"/>
          <w:szCs w:val="20"/>
          <w:color w:val="auto"/>
        </w:rPr>
      </w:pPr>
    </w:p>
    <w:p>
      <w:pPr>
        <w:jc w:val="both"/>
        <w:ind w:firstLine="305"/>
        <w:spacing w:after="0" w:line="279" w:lineRule="auto"/>
        <w:rPr>
          <w:sz w:val="20"/>
          <w:szCs w:val="20"/>
          <w:color w:val="auto"/>
        </w:rPr>
      </w:pPr>
      <w:r>
        <w:rPr>
          <w:rFonts w:ascii="Arial" w:cs="Arial" w:eastAsia="Arial" w:hAnsi="Arial"/>
          <w:sz w:val="16"/>
          <w:szCs w:val="16"/>
          <w:color w:val="auto"/>
        </w:rPr>
        <w:t>We manage our securities portfolio primarily for liquidity purposes, including depositor and borrower funding requirements and availability as collateral for public fund deposits, with a secondary focus on interest income. Our securities portfolio is classified as either available-for-sale or held-to-maturity and can be used for pledging on public deposits, selling under repurchase agreements and meeting unforeseen liquidity needs. The investments in our securities portfolio are a variety of high-grade securities, including government agency securities, government guaranteed mortgage backed securities and municipal securities.</w:t>
      </w:r>
    </w:p>
    <w:p>
      <w:pPr>
        <w:spacing w:after="0" w:line="163" w:lineRule="exact"/>
        <w:rPr>
          <w:sz w:val="20"/>
          <w:szCs w:val="20"/>
          <w:color w:val="auto"/>
        </w:rPr>
      </w:pPr>
    </w:p>
    <w:p>
      <w:pPr>
        <w:jc w:val="both"/>
        <w:ind w:firstLine="305"/>
        <w:spacing w:after="0" w:line="342" w:lineRule="auto"/>
        <w:rPr>
          <w:sz w:val="20"/>
          <w:szCs w:val="20"/>
          <w:color w:val="auto"/>
        </w:rPr>
      </w:pPr>
      <w:r>
        <w:rPr>
          <w:rFonts w:ascii="Arial" w:cs="Arial" w:eastAsia="Arial" w:hAnsi="Arial"/>
          <w:sz w:val="15"/>
          <w:szCs w:val="15"/>
          <w:color w:val="auto"/>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Funds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w:t>
      </w:r>
    </w:p>
    <w:p>
      <w:pPr>
        <w:spacing w:after="0" w:line="212"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Borrowings</w:t>
      </w:r>
    </w:p>
    <w:p>
      <w:pPr>
        <w:spacing w:after="0" w:line="212"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In addition to deposits, we may utilize advances from the Federal Home Loan Bank of Dallas (the “FHLB”), and other borrowings, such as a line of credit with the Federal Reserve Bank of Dallas (the “FRB”), uncollateralized lines of credit with multiple banks, subordinated debt, and junior subordinated deferrable interest debentures as supplementary funding sources to finance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Banking Services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Mortgage Banking</w:t>
      </w:r>
    </w:p>
    <w:p>
      <w:pPr>
        <w:spacing w:after="0" w:line="212" w:lineRule="exact"/>
        <w:rPr>
          <w:sz w:val="20"/>
          <w:szCs w:val="20"/>
          <w:color w:val="auto"/>
        </w:rPr>
      </w:pPr>
    </w:p>
    <w:p>
      <w:pPr>
        <w:jc w:val="both"/>
        <w:ind w:firstLine="305"/>
        <w:spacing w:after="0" w:line="272" w:lineRule="auto"/>
        <w:rPr>
          <w:sz w:val="20"/>
          <w:szCs w:val="20"/>
          <w:color w:val="auto"/>
        </w:rPr>
      </w:pPr>
      <w:r>
        <w:rPr>
          <w:rFonts w:ascii="Arial" w:cs="Arial" w:eastAsia="Arial" w:hAnsi="Arial"/>
          <w:sz w:val="16"/>
          <w:szCs w:val="16"/>
          <w:color w:val="auto"/>
        </w:rPr>
        <w:t>Our mortgage originations totaled $719.4 million for the year ended December 31, 2022 and sold approximately 89% of those mortgages. We originate mortgages primarily from our branches or loan production offices in Lubbock, El Paso, College Station, Abilene, Arlington, Austin, Dallas, Dripping Springs, Forney, Fort Worth, Grand Prairie, Houston, Midland, Southlake, and Waco, Texas. We refer to our loan production offices as mortgage offices. While our mortgage operation represents a sizable component of our total noninterest income, comprising 41%, or $31.4 million, for the year ended December 31, 2022, we view the mortgage business as an ancillary part of our operations. Within our mortgage origination portfolio, refinances of existing mortgages represented 31% of total mortgage originations in the year ended December 31, 2022. We retain mortgage servicing rights from time to time when we sell mortgages to third parties. As of December 31, 2022, we serviced $2.0 billion of mortgages that we originated and sold to third parties.</w:t>
      </w:r>
    </w:p>
    <w:p>
      <w:pPr>
        <w:spacing w:after="0" w:line="170"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We leverage a variety of digital reporting tools to increase the efficiency of the underwriting process, enhance loan production and boost overall margins while keeping expenses to a minimum. New market expansion will depend primarily on opportunities to hire and retain high quality loan origination staff. Additionally, existing markets are monitored for profitability and efficiencies to determine if we would need to exit any locations.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w:t>
      </w:r>
    </w:p>
    <w:p>
      <w:pPr>
        <w:spacing w:after="0" w:line="212"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Windmark Insurance, a wholly-owned subsidiary of the Bank, offers a variety of crop insurance products through offices in Texas, Oklahoma, Nebraska, and Colorado and by acting as the general agency for independent agents in 17 states. Windmark Insurance’s operations contributed $10.6 million of total revenues for the year ended December 31, 2022. That revenue was derived from a total insurance premium base of over $211 million. Crop insurance is offered to producers of many different crops from 14 approved providers who operate under agreements with the U.S. Department of Agriculture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Trust Services</w:t>
      </w:r>
    </w:p>
    <w:p>
      <w:pPr>
        <w:spacing w:after="0" w:line="212"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6"/>
          <w:szCs w:val="16"/>
          <w:color w:val="auto"/>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individual retirement accounts (“IRAs”), simplified employee pensions plans, employee stock ownership plans (“ESOPs”), defined benefit plans, profit-sharing plans, Keoghs and managed IRAs. Our trust department had $411 million of assets under management at December 31, 2022, and contributed $2.4 million of fee income for the year ended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Services</w:t>
      </w:r>
    </w:p>
    <w:p>
      <w:pPr>
        <w:spacing w:after="0" w:line="212"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derived from our investment services for the year ended December 31, 2022 was $1.8 million with $509.3 million in assets under management at December 31,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SUPERVISION AND REGULATION</w:t>
      </w:r>
    </w:p>
    <w:p>
      <w:pPr>
        <w:spacing w:after="0" w:line="216"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16"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72"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168"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80"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Capital Requirements</w:t>
      </w:r>
    </w:p>
    <w:p>
      <w:pPr>
        <w:spacing w:after="0" w:line="216" w:lineRule="exact"/>
        <w:rPr>
          <w:sz w:val="20"/>
          <w:szCs w:val="20"/>
          <w:color w:val="auto"/>
        </w:rPr>
      </w:pPr>
    </w:p>
    <w:p>
      <w:pPr>
        <w:jc w:val="both"/>
        <w:ind w:firstLine="305"/>
        <w:spacing w:after="0" w:line="290" w:lineRule="auto"/>
        <w:rPr>
          <w:sz w:val="20"/>
          <w:szCs w:val="20"/>
          <w:color w:val="auto"/>
        </w:rPr>
      </w:pPr>
      <w:r>
        <w:rPr>
          <w:rFonts w:ascii="Arial" w:cs="Arial" w:eastAsia="Arial" w:hAnsi="Arial"/>
          <w:sz w:val="15"/>
          <w:szCs w:val="15"/>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The risk-based guidelines apply on a consolidated basis to bank holding companies with consolidated assets of $3 billion or more, such as the Company, or with a material amount of equity securities outstanding that are registered with the SEC. The federal banking agencies may change existing capital guidelines or adopt new capital guidelines in the future and often expect high growth or acquisitive bank holding companies to maintain capital positions substantially above the minimum supervisory levels. In addition, the federal banking agencies have required many banks and bank holding companies subject to enforcement actions to maintain capital ratios in excess of the minimum ratios otherwise required to be deemed “well-capitalized” and have subjected such institutions to restrictions on various activities, including a bank’s ability to accept or renew brokered deposits.</w:t>
      </w:r>
    </w:p>
    <w:p>
      <w:pPr>
        <w:spacing w:after="0" w:line="162"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175" w:lineRule="exact"/>
        <w:rPr>
          <w:sz w:val="20"/>
          <w:szCs w:val="20"/>
          <w:color w:val="auto"/>
        </w:rPr>
      </w:pPr>
    </w:p>
    <w:p>
      <w:pPr>
        <w:jc w:val="both"/>
        <w:ind w:firstLine="305"/>
        <w:spacing w:after="0" w:line="289" w:lineRule="auto"/>
        <w:rPr>
          <w:sz w:val="20"/>
          <w:szCs w:val="20"/>
          <w:color w:val="auto"/>
        </w:rPr>
      </w:pPr>
      <w:r>
        <w:rPr>
          <w:rFonts w:ascii="Arial" w:cs="Arial" w:eastAsia="Arial" w:hAnsi="Arial"/>
          <w:sz w:val="15"/>
          <w:szCs w:val="15"/>
          <w:color w:val="auto"/>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354"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240" w:type="dxa"/>
            <w:vAlign w:val="bottom"/>
          </w:tcPr>
          <w:p>
            <w:pPr>
              <w:ind w:left="280"/>
              <w:spacing w:after="0"/>
              <w:rPr>
                <w:sz w:val="20"/>
                <w:szCs w:val="20"/>
                <w:color w:val="auto"/>
              </w:rPr>
            </w:pPr>
            <w:r>
              <w:rPr>
                <w:rFonts w:ascii="Arial" w:cs="Arial" w:eastAsia="Arial" w:hAnsi="Arial"/>
                <w:sz w:val="17"/>
                <w:szCs w:val="17"/>
                <w:color w:val="auto"/>
              </w:rPr>
              <w:t>The Basel III minimum capital ratios are summarized in the table below.</w:t>
            </w: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340" w:type="dxa"/>
            <w:vAlign w:val="bottom"/>
          </w:tcPr>
          <w:p>
            <w:pPr>
              <w:jc w:val="center"/>
              <w:ind w:right="155"/>
              <w:spacing w:after="0"/>
              <w:rPr>
                <w:sz w:val="20"/>
                <w:szCs w:val="20"/>
                <w:color w:val="auto"/>
              </w:rPr>
            </w:pPr>
            <w:r>
              <w:rPr>
                <w:rFonts w:ascii="Arial" w:cs="Arial" w:eastAsia="Arial" w:hAnsi="Arial"/>
                <w:sz w:val="17"/>
                <w:szCs w:val="17"/>
                <w:b w:val="1"/>
                <w:bCs w:val="1"/>
                <w:color w:val="auto"/>
                <w:w w:val="96"/>
              </w:rPr>
              <w:t>Basel III</w:t>
            </w:r>
          </w:p>
        </w:tc>
        <w:tc>
          <w:tcPr>
            <w:tcW w:w="136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Basel III</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9"/>
              </w:rPr>
              <w:t>Basel III</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7"/>
                <w:szCs w:val="17"/>
                <w:b w:val="1"/>
                <w:bCs w:val="1"/>
                <w:color w:val="auto"/>
                <w:w w:val="96"/>
              </w:rPr>
              <w:t>Minimum</w:t>
            </w:r>
          </w:p>
        </w:tc>
        <w:tc>
          <w:tcPr>
            <w:tcW w:w="136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Additional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Ratio with</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7"/>
                <w:szCs w:val="17"/>
                <w:b w:val="1"/>
                <w:bCs w:val="1"/>
                <w:color w:val="auto"/>
                <w:w w:val="95"/>
              </w:rPr>
              <w:t>for Capital</w:t>
            </w:r>
          </w:p>
        </w:tc>
        <w:tc>
          <w:tcPr>
            <w:tcW w:w="1360" w:type="dxa"/>
            <w:vAlign w:val="bottom"/>
          </w:tcPr>
          <w:p>
            <w:pPr>
              <w:jc w:val="center"/>
              <w:ind w:right="135"/>
              <w:spacing w:after="0"/>
              <w:rPr>
                <w:sz w:val="20"/>
                <w:szCs w:val="20"/>
                <w:color w:val="auto"/>
              </w:rPr>
            </w:pPr>
            <w:r>
              <w:rPr>
                <w:rFonts w:ascii="Arial" w:cs="Arial" w:eastAsia="Arial" w:hAnsi="Arial"/>
                <w:sz w:val="17"/>
                <w:szCs w:val="17"/>
                <w:b w:val="1"/>
                <w:bCs w:val="1"/>
                <w:color w:val="auto"/>
                <w:w w:val="95"/>
              </w:rPr>
              <w:t>Capital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Capital</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Arial" w:cs="Arial" w:eastAsia="Arial" w:hAnsi="Arial"/>
                <w:sz w:val="17"/>
                <w:szCs w:val="17"/>
                <w:b w:val="1"/>
                <w:bCs w:val="1"/>
                <w:color w:val="auto"/>
                <w:w w:val="88"/>
              </w:rPr>
              <w:t>Adequacy</w:t>
            </w:r>
          </w:p>
        </w:tc>
        <w:tc>
          <w:tcPr>
            <w:tcW w:w="1360" w:type="dxa"/>
            <w:vAlign w:val="bottom"/>
          </w:tcPr>
          <w:p>
            <w:pPr>
              <w:jc w:val="center"/>
              <w:ind w:right="115"/>
              <w:spacing w:after="0"/>
              <w:rPr>
                <w:sz w:val="20"/>
                <w:szCs w:val="20"/>
                <w:color w:val="auto"/>
              </w:rPr>
            </w:pPr>
            <w:r>
              <w:rPr>
                <w:rFonts w:ascii="Arial" w:cs="Arial" w:eastAsia="Arial" w:hAnsi="Arial"/>
                <w:sz w:val="17"/>
                <w:szCs w:val="17"/>
                <w:b w:val="1"/>
                <w:bCs w:val="1"/>
                <w:color w:val="auto"/>
                <w:w w:val="88"/>
              </w:rPr>
              <w:t>Conservation</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Conservation</w:t>
            </w:r>
          </w:p>
        </w:tc>
      </w:tr>
      <w:tr>
        <w:trPr>
          <w:trHeight w:val="226"/>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5"/>
              </w:rPr>
              <w:t>Purposes</w:t>
            </w: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5"/>
              </w:rPr>
              <w:t>Buffer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Buffer</w:t>
            </w: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Total risk based capital (total capital to risk-weighted assets)</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8.00%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10.50%</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Tier 1 risk based capital (Tier 1 to risk-weighted assets)</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6.00%</w:t>
            </w:r>
          </w:p>
        </w:tc>
        <w:tc>
          <w:tcPr>
            <w:tcW w:w="1360" w:type="dxa"/>
            <w:vAlign w:val="bottom"/>
          </w:tcPr>
          <w:p>
            <w:pPr>
              <w:jc w:val="right"/>
              <w:spacing w:after="0"/>
              <w:rPr>
                <w:sz w:val="20"/>
                <w:szCs w:val="20"/>
                <w:color w:val="auto"/>
              </w:rPr>
            </w:pPr>
            <w:r>
              <w:rPr>
                <w:rFonts w:ascii="Arial" w:cs="Arial" w:eastAsia="Arial" w:hAnsi="Arial"/>
                <w:sz w:val="17"/>
                <w:szCs w:val="17"/>
                <w:color w:val="auto"/>
              </w:rPr>
              <w:t>2.50%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8.50%</w:t>
            </w: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Common equity Tier 1 risk based capital (CET1 to risk-weighted assets)</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15"/>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Tier 1 leverage ratio (Tier 1 to average assets)</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13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4.00%</w:t>
            </w:r>
          </w:p>
        </w:tc>
      </w:tr>
    </w:tbl>
    <w:p>
      <w:pPr>
        <w:spacing w:after="0" w:line="180"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spacing w:after="0" w:line="172" w:lineRule="exact"/>
        <w:rPr>
          <w:sz w:val="20"/>
          <w:szCs w:val="20"/>
          <w:color w:val="auto"/>
        </w:rPr>
      </w:pPr>
    </w:p>
    <w:p>
      <w:pPr>
        <w:ind w:left="620" w:hanging="313"/>
        <w:spacing w:after="0" w:line="274"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assigning exposures secured by single-family residential properties to either a 50% risk weight for first-lien mortgages that meet prudent underwriting standards or a 100% risk weight category for all other mortgages;</w:t>
      </w:r>
    </w:p>
    <w:p>
      <w:pPr>
        <w:spacing w:after="0" w:line="164"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164"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74"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applying a 150% risk weight instead of a 100% risk weight for certain high-volatility commercial real estate, or HVCRE, loans, or acquisition, development, and construction, or ADC, loans; and</w:t>
      </w:r>
    </w:p>
    <w:p>
      <w:pPr>
        <w:spacing w:after="0" w:line="164" w:lineRule="exact"/>
        <w:rPr>
          <w:rFonts w:ascii="Arial" w:cs="Arial" w:eastAsia="Arial" w:hAnsi="Arial"/>
          <w:sz w:val="17"/>
          <w:szCs w:val="17"/>
          <w:color w:val="auto"/>
        </w:rPr>
      </w:pPr>
    </w:p>
    <w:p>
      <w:pPr>
        <w:ind w:left="620" w:hanging="313"/>
        <w:spacing w:after="0" w:line="342"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120"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As of December 31, 2022, the Company’s and the Bank’s capital ratios exceeded the minimum capital adequacy guideline percentage requirements under the Basel III Capital Rules on a fully phased-in basis.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Community Bank Leverage Ratio</w:t>
      </w:r>
    </w:p>
    <w:p>
      <w:pPr>
        <w:spacing w:after="0" w:line="216"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QCBO, is defined as a bank, savings association, bank holding company or savings and loan holding company with:</w:t>
      </w:r>
    </w:p>
    <w:p>
      <w:pPr>
        <w:spacing w:after="0" w:line="212" w:lineRule="exact"/>
        <w:rPr>
          <w:sz w:val="20"/>
          <w:szCs w:val="20"/>
          <w:color w:val="auto"/>
        </w:rPr>
      </w:pPr>
    </w:p>
    <w:p>
      <w:pPr>
        <w:ind w:left="620" w:hanging="31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CBLR of greater than 9%;</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consolidated assets of less than $10 billion;</w:t>
      </w:r>
    </w:p>
    <w:p>
      <w:pPr>
        <w:spacing w:after="0" w:line="212" w:lineRule="exact"/>
        <w:rPr>
          <w:rFonts w:ascii="Arial" w:cs="Arial" w:eastAsia="Arial" w:hAnsi="Arial"/>
          <w:sz w:val="17"/>
          <w:szCs w:val="17"/>
          <w:color w:val="auto"/>
        </w:rPr>
      </w:pPr>
    </w:p>
    <w:p>
      <w:pPr>
        <w:ind w:left="620" w:hanging="313"/>
        <w:spacing w:after="0" w:line="274"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off-balance sheet exposures (excluding derivatives other than credit derivatives and unconditionally cancelable commitments) of 25% or less of total consolidated assets;</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trading assets and trading liabilities of 5% or less of total consolidated assets; and</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non-advanced approaches institution.</w:t>
      </w:r>
    </w:p>
    <w:p>
      <w:pPr>
        <w:spacing w:after="0" w:line="212" w:lineRule="exact"/>
        <w:rPr>
          <w:sz w:val="20"/>
          <w:szCs w:val="20"/>
          <w:color w:val="auto"/>
        </w:rPr>
      </w:pPr>
    </w:p>
    <w:p>
      <w:pPr>
        <w:ind w:firstLine="305"/>
        <w:spacing w:after="0" w:line="306" w:lineRule="auto"/>
        <w:rPr>
          <w:sz w:val="20"/>
          <w:szCs w:val="20"/>
          <w:color w:val="auto"/>
        </w:rPr>
      </w:pPr>
      <w:r>
        <w:rPr>
          <w:rFonts w:ascii="Arial" w:cs="Arial" w:eastAsia="Arial" w:hAnsi="Arial"/>
          <w:sz w:val="16"/>
          <w:szCs w:val="16"/>
          <w:color w:val="auto"/>
        </w:rPr>
        <w:t>The numerator of the CBLR is referred to as “CBLR tangible equity” and is calculated as the QCBO’s total capital as reported in compliance with the reporting instructions to the Call Report or the FR Y-9C, or Reporting Instructions (prior to including non-controlling interests in consolidated subsidiaries) less:</w:t>
      </w:r>
    </w:p>
    <w:p>
      <w:pPr>
        <w:spacing w:after="0" w:line="142" w:lineRule="exact"/>
        <w:rPr>
          <w:sz w:val="20"/>
          <w:szCs w:val="20"/>
          <w:color w:val="auto"/>
        </w:rPr>
      </w:pPr>
    </w:p>
    <w:p>
      <w:pPr>
        <w:ind w:left="620" w:hanging="313"/>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Accumulated other comprehensive income, or AOCI;</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Intangible assets, calculated in accordance with Reporting Instructions, other than mortgage servicing assets; and</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Deferred tax assets that arise from net operating loss and tax credit carry forwards net of any related valuations allowances.</w:t>
      </w:r>
    </w:p>
    <w:p>
      <w:pPr>
        <w:spacing w:after="0" w:line="212"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The denominator of the CBLR is the QCBO’s average assets, calculated in accordance with Reporting Instructions and less intangible assets and deferred tax assets deducted from CBLR tangible equity.</w:t>
      </w:r>
    </w:p>
    <w:p>
      <w:pPr>
        <w:spacing w:after="0" w:line="165"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Although the Company and the Bank are QCBOs, the Company and the Bank have currently not elected to opt in to the CBLR framework at this time and will continue to follow the capital requirements under the Basel III Capital Rules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Prompt Corrective Action</w:t>
      </w:r>
    </w:p>
    <w:p>
      <w:pPr>
        <w:spacing w:after="0" w:line="216" w:lineRule="exact"/>
        <w:rPr>
          <w:sz w:val="20"/>
          <w:szCs w:val="20"/>
          <w:color w:val="auto"/>
        </w:rPr>
      </w:pPr>
    </w:p>
    <w:p>
      <w:pPr>
        <w:jc w:val="both"/>
        <w:ind w:firstLine="305"/>
        <w:spacing w:after="0" w:line="287" w:lineRule="auto"/>
        <w:rPr>
          <w:sz w:val="20"/>
          <w:szCs w:val="20"/>
          <w:color w:val="auto"/>
        </w:rPr>
      </w:pPr>
      <w:r>
        <w:rPr>
          <w:rFonts w:ascii="Arial" w:cs="Arial" w:eastAsia="Arial" w:hAnsi="Arial"/>
          <w:sz w:val="15"/>
          <w:szCs w:val="15"/>
          <w:color w:val="auto"/>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w:t>
      </w:r>
    </w:p>
    <w:p>
      <w:pPr>
        <w:spacing w:after="0" w:line="1" w:lineRule="exact"/>
        <w:rPr>
          <w:sz w:val="20"/>
          <w:szCs w:val="20"/>
          <w:color w:val="auto"/>
        </w:rPr>
      </w:pPr>
    </w:p>
    <w:p>
      <w:pPr>
        <w:jc w:val="both"/>
        <w:ind w:firstLine="2"/>
        <w:spacing w:after="0" w:line="272" w:lineRule="auto"/>
        <w:tabs>
          <w:tab w:leader="none" w:pos="225"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 Accordingly, a financial institution may be considered “well-capitalized” under the prompt corrective action framework, but not satisfy the full Basel III capital ratios. Generally, a financial institution must be “well capitalized” before the Federal Reserve will approve an application by a bank holding company to acquire a bank or merge with a bank holding company. The FDIC applies the same requirement in approving bank merger applications.</w:t>
      </w:r>
    </w:p>
    <w:p>
      <w:pPr>
        <w:spacing w:after="0" w:line="168" w:lineRule="exact"/>
        <w:rPr>
          <w:sz w:val="20"/>
          <w:szCs w:val="20"/>
          <w:color w:val="auto"/>
        </w:rPr>
      </w:pPr>
    </w:p>
    <w:p>
      <w:pPr>
        <w:jc w:val="both"/>
        <w:ind w:firstLine="305"/>
        <w:spacing w:after="0" w:line="293" w:lineRule="auto"/>
        <w:rPr>
          <w:sz w:val="20"/>
          <w:szCs w:val="20"/>
          <w:color w:val="auto"/>
        </w:rPr>
      </w:pPr>
      <w:r>
        <w:rPr>
          <w:rFonts w:ascii="Arial" w:cs="Arial" w:eastAsia="Arial" w:hAnsi="Arial"/>
          <w:sz w:val="15"/>
          <w:szCs w:val="15"/>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156"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178"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2022, the Bank met the requirements for being deemed “well-capitalized” for purposes of the prompt corrective action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Enforcement Powers of Federal and State Banking Agencies</w:t>
      </w:r>
    </w:p>
    <w:p>
      <w:pPr>
        <w:spacing w:after="0" w:line="216" w:lineRule="exact"/>
        <w:rPr>
          <w:sz w:val="20"/>
          <w:szCs w:val="20"/>
          <w:color w:val="auto"/>
        </w:rPr>
      </w:pPr>
    </w:p>
    <w:p>
      <w:pPr>
        <w:jc w:val="both"/>
        <w:ind w:firstLine="305"/>
        <w:spacing w:after="0" w:line="292" w:lineRule="auto"/>
        <w:rPr>
          <w:sz w:val="20"/>
          <w:szCs w:val="20"/>
          <w:color w:val="auto"/>
        </w:rPr>
      </w:pPr>
      <w:r>
        <w:rPr>
          <w:rFonts w:ascii="Arial" w:cs="Arial" w:eastAsia="Arial" w:hAnsi="Arial"/>
          <w:sz w:val="15"/>
          <w:szCs w:val="15"/>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216" w:lineRule="exact"/>
        <w:rPr>
          <w:sz w:val="20"/>
          <w:szCs w:val="20"/>
          <w:color w:val="auto"/>
        </w:rPr>
      </w:pPr>
    </w:p>
    <w:p>
      <w:pPr>
        <w:jc w:val="both"/>
        <w:ind w:firstLine="306"/>
        <w:spacing w:after="0" w:line="286"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As a bank holding company, the Company is subject to regulation and supervision by the Federal Reserve under the Bank Holding Company Act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157"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b w:val="1"/>
          <w:bCs w:val="1"/>
          <w:i w:val="1"/>
          <w:iCs w:val="1"/>
          <w:color w:val="auto"/>
        </w:rPr>
        <w:t>Acquisitions, Activities and Change in Control</w:t>
      </w:r>
      <w:r>
        <w:rPr>
          <w:rFonts w:ascii="Arial" w:cs="Arial" w:eastAsia="Arial" w:hAnsi="Arial"/>
          <w:sz w:val="16"/>
          <w:szCs w:val="16"/>
          <w:color w:val="auto"/>
        </w:rPr>
        <w:t>. The BHCA generally requires the prior approval by the Federal Reserve for any merger involving a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172" w:lineRule="exact"/>
        <w:rPr>
          <w:sz w:val="20"/>
          <w:szCs w:val="20"/>
          <w:color w:val="auto"/>
        </w:rPr>
      </w:pPr>
    </w:p>
    <w:p>
      <w:pPr>
        <w:jc w:val="both"/>
        <w:ind w:firstLine="305"/>
        <w:spacing w:after="0" w:line="293" w:lineRule="auto"/>
        <w:rPr>
          <w:sz w:val="20"/>
          <w:szCs w:val="20"/>
          <w:color w:val="auto"/>
        </w:rPr>
      </w:pPr>
      <w:r>
        <w:rPr>
          <w:rFonts w:ascii="Arial" w:cs="Arial" w:eastAsia="Arial" w:hAnsi="Arial"/>
          <w:sz w:val="15"/>
          <w:szCs w:val="15"/>
          <w:color w:val="auto"/>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156"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The BHCA also prohibits any company from acquiring “control” of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The Federal Reserve’s regulations related to determinations of whether a company has “control” over another company, including a bank holding company or a bank, for purposes of the BHCA, include a tiered system of non-control presumptions based upon the percentage of any class of voting securities held by an acquirer and the presence of other indicia of control. The four categories of tiered presumptions of non-control, based upon the percentage of ownership of any class of voting securities held by an acquirer, are (i) less than 5%, (ii) 5% to 9.99%, (iii) 10% to 14.99%, and (iv) 15% to 24.99%. These regulations provide greater transparency with respect to the total level of equity, representative directors, management interlocks, limiting contractual provisions and business relationships that would be permissible to the Federal Reserve in order to avoid a determination of control. These regulations apply to control determinations under the BHCA, but do not apply to the Change in Bank Control Act, as amended (the “CIBC Act”).</w:t>
      </w:r>
    </w:p>
    <w:p>
      <w:pPr>
        <w:spacing w:after="0" w:line="171"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The CIBC Act and the related regulations of the Federal Reserve generally provide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Permissible Activities. The BHCA and the implementing regulations of the Federal Reserve generally prohibit the Company from controlling or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171"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spacing w:after="0" w:line="182"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82" w:lineRule="exact"/>
        <w:rPr>
          <w:sz w:val="20"/>
          <w:szCs w:val="20"/>
          <w:color w:val="auto"/>
        </w:rPr>
      </w:pPr>
    </w:p>
    <w:p>
      <w:pPr>
        <w:jc w:val="both"/>
        <w:ind w:firstLine="305"/>
        <w:spacing w:after="0" w:line="295" w:lineRule="auto"/>
        <w:rPr>
          <w:sz w:val="20"/>
          <w:szCs w:val="20"/>
          <w:color w:val="auto"/>
        </w:rPr>
      </w:pPr>
      <w:r>
        <w:rPr>
          <w:rFonts w:ascii="Arial" w:cs="Arial" w:eastAsia="Arial" w:hAnsi="Arial"/>
          <w:sz w:val="15"/>
          <w:szCs w:val="15"/>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54"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b w:val="1"/>
          <w:bCs w:val="1"/>
          <w:i w:val="1"/>
          <w:iCs w:val="1"/>
          <w:color w:val="auto"/>
        </w:rPr>
        <w:t>Source of Strength</w:t>
      </w:r>
      <w:r>
        <w:rPr>
          <w:rFonts w:ascii="Arial" w:cs="Arial" w:eastAsia="Arial" w:hAnsi="Arial"/>
          <w:sz w:val="16"/>
          <w:szCs w:val="16"/>
          <w:color w:val="auto"/>
        </w:rPr>
        <w:t>. Federal Reserve policy historically required bank holding companies to act as a source of financial and managerial strength to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b w:val="1"/>
          <w:bCs w:val="1"/>
          <w:i w:val="1"/>
          <w:iCs w:val="1"/>
          <w:color w:val="auto"/>
        </w:rPr>
        <w:t>Imposition of Liability for Undercapitalized Subsidiaries</w:t>
      </w:r>
      <w:r>
        <w:rPr>
          <w:rFonts w:ascii="Arial" w:cs="Arial" w:eastAsia="Arial" w:hAnsi="Arial"/>
          <w:sz w:val="17"/>
          <w:szCs w:val="17"/>
          <w:color w:val="auto"/>
        </w:rPr>
        <w:t>. Bank regulators are required to take “prompt corrective action” to resolve problems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spacing w:after="0" w:line="180"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spacing w:after="0" w:line="180"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b w:val="1"/>
          <w:bCs w:val="1"/>
          <w:i w:val="1"/>
          <w:iCs w:val="1"/>
          <w:color w:val="auto"/>
        </w:rPr>
        <w:t>Safe and Sound Banking Practices</w:t>
      </w:r>
      <w:r>
        <w:rPr>
          <w:rFonts w:ascii="Arial" w:cs="Arial" w:eastAsia="Arial" w:hAnsi="Arial"/>
          <w:sz w:val="17"/>
          <w:szCs w:val="17"/>
          <w:color w:val="auto"/>
        </w:rPr>
        <w:t>. Bank holding companies and their non-banking subsidiaries are prohibited from engaging in activities that represent unsafe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80" w:lineRule="exact"/>
        <w:rPr>
          <w:sz w:val="20"/>
          <w:szCs w:val="20"/>
          <w:color w:val="auto"/>
        </w:rPr>
      </w:pPr>
    </w:p>
    <w:p>
      <w:pPr>
        <w:jc w:val="both"/>
        <w:ind w:firstLine="306"/>
        <w:spacing w:after="0" w:line="298" w:lineRule="auto"/>
        <w:rPr>
          <w:sz w:val="20"/>
          <w:szCs w:val="20"/>
          <w:color w:val="auto"/>
        </w:rPr>
      </w:pPr>
      <w:r>
        <w:rPr>
          <w:rFonts w:ascii="Arial" w:cs="Arial" w:eastAsia="Arial" w:hAnsi="Arial"/>
          <w:sz w:val="15"/>
          <w:szCs w:val="15"/>
          <w:b w:val="1"/>
          <w:bCs w:val="1"/>
          <w:i w:val="1"/>
          <w:iCs w:val="1"/>
          <w:color w:val="auto"/>
        </w:rPr>
        <w:t>Tie in Arrangements</w:t>
      </w:r>
      <w:r>
        <w:rPr>
          <w:rFonts w:ascii="Arial" w:cs="Arial" w:eastAsia="Arial" w:hAnsi="Arial"/>
          <w:sz w:val="15"/>
          <w:szCs w:val="15"/>
          <w:color w:val="auto"/>
        </w:rPr>
        <w:t>. Federal law prohibits bank holding companies and any subsidiary banks from engaging in certain tie in arrangements in connection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15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b w:val="1"/>
          <w:bCs w:val="1"/>
          <w:i w:val="1"/>
          <w:iCs w:val="1"/>
          <w:color w:val="auto"/>
        </w:rPr>
        <w:t>Dividend Payments, Stock Redemptions and Repurchases</w:t>
      </w:r>
      <w:r>
        <w:rPr>
          <w:rFonts w:ascii="Arial" w:cs="Arial" w:eastAsia="Arial" w:hAnsi="Arial"/>
          <w:sz w:val="17"/>
          <w:szCs w:val="17"/>
          <w:color w:val="auto"/>
        </w:rPr>
        <w:t>. The Company’s ability to pay dividends to its shareholders is affected by both general corporate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180" w:lineRule="exact"/>
        <w:rPr>
          <w:sz w:val="20"/>
          <w:szCs w:val="20"/>
          <w:color w:val="auto"/>
        </w:rPr>
      </w:pPr>
    </w:p>
    <w:p>
      <w:pPr>
        <w:jc w:val="both"/>
        <w:ind w:firstLine="305"/>
        <w:spacing w:after="0" w:line="272" w:lineRule="auto"/>
        <w:rPr>
          <w:sz w:val="20"/>
          <w:szCs w:val="20"/>
          <w:color w:val="auto"/>
        </w:rPr>
      </w:pPr>
      <w:r>
        <w:rPr>
          <w:rFonts w:ascii="Arial" w:cs="Arial" w:eastAsia="Arial" w:hAnsi="Arial"/>
          <w:sz w:val="16"/>
          <w:szCs w:val="16"/>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70"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Bank</w:t>
      </w:r>
    </w:p>
    <w:p>
      <w:pPr>
        <w:spacing w:after="0" w:line="21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City Bank is a Texas banking association and is subject to supervision, regulation and examination by the TDB and the FDIC. City Bank is also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b w:val="1"/>
          <w:bCs w:val="1"/>
          <w:i w:val="1"/>
          <w:iCs w:val="1"/>
          <w:color w:val="auto"/>
        </w:rPr>
        <w:t>Depositor Preference</w:t>
      </w:r>
      <w:r>
        <w:rPr>
          <w:rFonts w:ascii="Arial" w:cs="Arial" w:eastAsia="Arial" w:hAnsi="Arial"/>
          <w:sz w:val="17"/>
          <w:szCs w:val="17"/>
          <w:color w:val="auto"/>
        </w:rPr>
        <w:t>. In the event of the “liquidation or other resolution” of an insured depository institution, the claims of depositors of the institution,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180"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b w:val="1"/>
          <w:bCs w:val="1"/>
          <w:i w:val="1"/>
          <w:iCs w:val="1"/>
          <w:color w:val="auto"/>
        </w:rPr>
        <w:t>Brokered Deposit Restrictions</w:t>
      </w:r>
      <w:r>
        <w:rPr>
          <w:rFonts w:ascii="Arial" w:cs="Arial" w:eastAsia="Arial" w:hAnsi="Arial"/>
          <w:sz w:val="17"/>
          <w:szCs w:val="17"/>
          <w:color w:val="auto"/>
        </w:rPr>
        <w:t>. Well-capitalized institutions are not subject to limitations on brokered deposits, while adequately capitalized institutions are 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accept, renew or roll over brokered deposits only with a waiver from the FDIC and subject to certain restrictions on the yield paid on such deposits. Undercapitalized institutions are generally not permitted to accept, renew or roll over brokered deposits. As of December 31, 2022, the Bank was eligible to accept brokered deposits without a waiver from the FDIC as the Bank was a well-capitalized institution.</w:t>
      </w:r>
    </w:p>
    <w:p>
      <w:pPr>
        <w:spacing w:after="0" w:line="178"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b w:val="1"/>
          <w:bCs w:val="1"/>
          <w:i w:val="1"/>
          <w:iCs w:val="1"/>
          <w:color w:val="auto"/>
        </w:rPr>
        <w:t>Deposit Insurance</w:t>
      </w:r>
      <w:r>
        <w:rPr>
          <w:rFonts w:ascii="Arial" w:cs="Arial" w:eastAsia="Arial" w:hAnsi="Arial"/>
          <w:sz w:val="17"/>
          <w:szCs w:val="17"/>
          <w:color w:val="auto"/>
        </w:rPr>
        <w:t>. As an FDIC-insured institution, the Bank is required to pay deposit insurance premiums to the FDIC. The FDIC has adopted a risk-based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spacing w:after="0" w:line="182"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On October 18, 2022, the FDIC adopted a final rule applicable to all insured depository institutions increasing initial base deposit insurance assessment rate schedules by 2 basis points, beginning in the first quarterly assessment period of 2023. The FDIC also issued a notice maintaining a DIF reserve ratio of 2.0% for 2023. The increase in assessment rate schedules is intended to increase the likelihood that the DIF reserve ratio reaches the statutory minimum of 1.35% by September 30, 2028, the statutory deadline set by the Dodd-Frank Act. The new assessment rate schedules will remain in effect unless and until the DIF reserve ratio meets or exceeds 2.0% in order to support growth in the DIF in progressing toward the FDIC’s long-term goal of a 2.0% designated reserve ratio for the DIF. FDIC staff may in the future recommend additional assessment rate adjustments if deemed necessary.</w:t>
      </w:r>
    </w:p>
    <w:p>
      <w:pPr>
        <w:spacing w:after="0" w:line="172"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2022, the Bank paid $1,199,000 in FDIC deposit insurance premiums.</w:t>
      </w:r>
    </w:p>
    <w:p>
      <w:pPr>
        <w:spacing w:after="0" w:line="175" w:lineRule="exact"/>
        <w:rPr>
          <w:sz w:val="20"/>
          <w:szCs w:val="20"/>
          <w:color w:val="auto"/>
        </w:rPr>
      </w:pPr>
    </w:p>
    <w:p>
      <w:pPr>
        <w:jc w:val="both"/>
        <w:ind w:firstLine="306"/>
        <w:spacing w:after="0" w:line="293" w:lineRule="auto"/>
        <w:rPr>
          <w:sz w:val="20"/>
          <w:szCs w:val="20"/>
          <w:color w:val="auto"/>
        </w:rPr>
      </w:pPr>
      <w:r>
        <w:rPr>
          <w:rFonts w:ascii="Arial" w:cs="Arial" w:eastAsia="Arial" w:hAnsi="Arial"/>
          <w:sz w:val="15"/>
          <w:szCs w:val="15"/>
          <w:b w:val="1"/>
          <w:bCs w:val="1"/>
          <w:i w:val="1"/>
          <w:iCs w:val="1"/>
          <w:color w:val="auto"/>
        </w:rPr>
        <w:t>Audit Reports</w:t>
      </w:r>
      <w:r>
        <w:rPr>
          <w:rFonts w:ascii="Arial" w:cs="Arial" w:eastAsia="Arial" w:hAnsi="Arial"/>
          <w:sz w:val="15"/>
          <w:szCs w:val="15"/>
          <w:color w:val="auto"/>
        </w:rPr>
        <w:t>. For insured institutions with total assets of $1.0 billion or more, financial statements prepared in accordance with generally accepted accounting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156" w:lineRule="exact"/>
        <w:rPr>
          <w:sz w:val="20"/>
          <w:szCs w:val="20"/>
          <w:color w:val="auto"/>
        </w:rPr>
      </w:pPr>
    </w:p>
    <w:p>
      <w:pPr>
        <w:jc w:val="both"/>
        <w:ind w:firstLine="306"/>
        <w:spacing w:after="0" w:line="262" w:lineRule="auto"/>
        <w:rPr>
          <w:sz w:val="20"/>
          <w:szCs w:val="20"/>
          <w:color w:val="auto"/>
        </w:rPr>
      </w:pPr>
      <w:r>
        <w:rPr>
          <w:rFonts w:ascii="Arial" w:cs="Arial" w:eastAsia="Arial" w:hAnsi="Arial"/>
          <w:sz w:val="17"/>
          <w:szCs w:val="17"/>
          <w:b w:val="1"/>
          <w:bCs w:val="1"/>
          <w:i w:val="1"/>
          <w:iCs w:val="1"/>
          <w:color w:val="auto"/>
        </w:rPr>
        <w:t>Examination Assessments</w:t>
      </w:r>
      <w:r>
        <w:rPr>
          <w:rFonts w:ascii="Arial" w:cs="Arial" w:eastAsia="Arial" w:hAnsi="Arial"/>
          <w:sz w:val="17"/>
          <w:szCs w:val="17"/>
          <w:color w:val="auto"/>
        </w:rPr>
        <w:t>. Texas-chartered banks are required to pay an annual assessment fee to the TDB to fund its operations. The fee is based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the bank’s assets at rates established by the Finance Commission of Texas. During the year ended December 31, 2022, the Bank paid examination assessments to the TDB totaling $261,000.</w:t>
      </w:r>
    </w:p>
    <w:p>
      <w:pPr>
        <w:spacing w:after="0" w:line="175"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7"/>
          <w:szCs w:val="17"/>
          <w:b w:val="1"/>
          <w:bCs w:val="1"/>
          <w:i w:val="1"/>
          <w:iCs w:val="1"/>
          <w:color w:val="auto"/>
        </w:rPr>
        <w:t>Capital Requirements</w:t>
      </w:r>
      <w:r>
        <w:rPr>
          <w:rFonts w:ascii="Arial" w:cs="Arial" w:eastAsia="Arial" w:hAnsi="Arial"/>
          <w:sz w:val="17"/>
          <w:szCs w:val="17"/>
          <w:color w:val="auto"/>
        </w:rPr>
        <w:t>. Banks are generally required to maintain minimum capital ratios. For a discussion of the capital requirements applicable to the Bank,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Capital Requirements” above.</w:t>
      </w:r>
    </w:p>
    <w:p>
      <w:pPr>
        <w:spacing w:after="0" w:line="165"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b w:val="1"/>
          <w:bCs w:val="1"/>
          <w:i w:val="1"/>
          <w:iCs w:val="1"/>
          <w:color w:val="auto"/>
        </w:rPr>
        <w:t>Bank Reserves</w:t>
      </w:r>
      <w:r>
        <w:rPr>
          <w:rFonts w:ascii="Arial" w:cs="Arial" w:eastAsia="Arial" w:hAnsi="Arial"/>
          <w:sz w:val="17"/>
          <w:szCs w:val="17"/>
          <w:color w:val="auto"/>
        </w:rPr>
        <w:t>. The Federal Reserve requires all depository institutions to maintain reserves against some transaction accounts (primarily NOW and Super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6"/>
          <w:szCs w:val="16"/>
          <w:b w:val="1"/>
          <w:bCs w:val="1"/>
          <w:i w:val="1"/>
          <w:iCs w:val="1"/>
          <w:color w:val="auto"/>
        </w:rPr>
        <w:t>Liquidity Requirements</w:t>
      </w:r>
      <w:r>
        <w:rPr>
          <w:rFonts w:ascii="Arial" w:cs="Arial" w:eastAsia="Arial" w:hAnsi="Arial"/>
          <w:sz w:val="16"/>
          <w:szCs w:val="16"/>
          <w:color w:val="auto"/>
        </w:rPr>
        <w:t>. Historically, regulation and monitoring of bank and bank holding company liquidity has been addressed as a supervisory matter,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171"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165"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b w:val="1"/>
          <w:bCs w:val="1"/>
          <w:i w:val="1"/>
          <w:iCs w:val="1"/>
          <w:color w:val="auto"/>
        </w:rPr>
        <w:t>Dividend Payments</w:t>
      </w:r>
      <w:r>
        <w:rPr>
          <w:rFonts w:ascii="Arial" w:cs="Arial" w:eastAsia="Arial" w:hAnsi="Arial"/>
          <w:sz w:val="16"/>
          <w:szCs w:val="16"/>
          <w:color w:val="auto"/>
        </w:rPr>
        <w:t>. The primary source of funds for the Company is dividends from the Bank. Unless the approval of the FDIC is obtained, the Bank may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170"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6"/>
          <w:szCs w:val="16"/>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2022.</w:t>
      </w:r>
    </w:p>
    <w:p>
      <w:pPr>
        <w:spacing w:after="0" w:line="157" w:lineRule="exact"/>
        <w:rPr>
          <w:sz w:val="20"/>
          <w:szCs w:val="20"/>
          <w:color w:val="auto"/>
        </w:rPr>
      </w:pPr>
    </w:p>
    <w:p>
      <w:pPr>
        <w:jc w:val="both"/>
        <w:ind w:firstLine="306"/>
        <w:spacing w:after="0" w:line="289" w:lineRule="auto"/>
        <w:rPr>
          <w:sz w:val="20"/>
          <w:szCs w:val="20"/>
          <w:color w:val="auto"/>
        </w:rPr>
      </w:pPr>
      <w:r>
        <w:rPr>
          <w:rFonts w:ascii="Arial" w:cs="Arial" w:eastAsia="Arial" w:hAnsi="Arial"/>
          <w:sz w:val="15"/>
          <w:szCs w:val="15"/>
          <w:b w:val="1"/>
          <w:bCs w:val="1"/>
          <w:i w:val="1"/>
          <w:iCs w:val="1"/>
          <w:color w:val="auto"/>
        </w:rPr>
        <w:t>Transactions with Affiliates</w:t>
      </w:r>
      <w:r>
        <w:rPr>
          <w:rFonts w:ascii="Arial" w:cs="Arial" w:eastAsia="Arial" w:hAnsi="Arial"/>
          <w:sz w:val="15"/>
          <w:szCs w:val="15"/>
          <w:color w:val="auto"/>
        </w:rPr>
        <w:t>. The Bank is subject to sections 23A and 23B of the Federal Reserve Act, or the Affiliates Act, and the Federal Reserve’s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160" w:lineRule="exact"/>
        <w:rPr>
          <w:sz w:val="20"/>
          <w:szCs w:val="20"/>
          <w:color w:val="auto"/>
        </w:rPr>
      </w:pPr>
    </w:p>
    <w:p>
      <w:pPr>
        <w:jc w:val="both"/>
        <w:ind w:firstLine="306"/>
        <w:spacing w:after="0" w:line="295" w:lineRule="auto"/>
        <w:rPr>
          <w:sz w:val="20"/>
          <w:szCs w:val="20"/>
          <w:color w:val="auto"/>
        </w:rPr>
      </w:pPr>
      <w:r>
        <w:rPr>
          <w:rFonts w:ascii="Arial" w:cs="Arial" w:eastAsia="Arial" w:hAnsi="Arial"/>
          <w:sz w:val="15"/>
          <w:szCs w:val="15"/>
          <w:b w:val="1"/>
          <w:bCs w:val="1"/>
          <w:i w:val="1"/>
          <w:iCs w:val="1"/>
          <w:color w:val="auto"/>
        </w:rPr>
        <w:t>Financial Subsidiaries</w:t>
      </w:r>
      <w:r>
        <w:rPr>
          <w:rFonts w:ascii="Arial" w:cs="Arial" w:eastAsia="Arial" w:hAnsi="Arial"/>
          <w:sz w:val="15"/>
          <w:szCs w:val="15"/>
          <w:color w:val="auto"/>
        </w:rPr>
        <w:t>. Under the Gramm-Leach-Bliley Act (“GLBA”), subject to certain conditions imposed by their respective banking regulators, national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2022, the Bank did not have any financial subsidiaries.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b w:val="1"/>
          <w:bCs w:val="1"/>
          <w:i w:val="1"/>
          <w:iCs w:val="1"/>
          <w:color w:val="auto"/>
        </w:rPr>
        <w:t>Loans to Directors, Executive Officers and Principal Shareholders</w:t>
      </w:r>
      <w:r>
        <w:rPr>
          <w:rFonts w:ascii="Arial" w:cs="Arial" w:eastAsia="Arial" w:hAnsi="Arial"/>
          <w:sz w:val="16"/>
          <w:szCs w:val="16"/>
          <w:color w:val="auto"/>
        </w:rPr>
        <w:t>. The authority of the Bank to extend credit to its directors, executive officers and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Furthermore, the Bank must periodically report all loans made to directors and other insiders to the bank regulators. As of December 31, 2022, the Bank’s total amount of lines of credit for loans to insiders and loans outstanding to insiders was $9.7 million.</w:t>
      </w:r>
    </w:p>
    <w:p>
      <w:pPr>
        <w:spacing w:after="0" w:line="175" w:lineRule="exact"/>
        <w:rPr>
          <w:sz w:val="20"/>
          <w:szCs w:val="20"/>
          <w:color w:val="auto"/>
        </w:rPr>
      </w:pPr>
    </w:p>
    <w:p>
      <w:pPr>
        <w:jc w:val="both"/>
        <w:ind w:firstLine="306"/>
        <w:spacing w:after="0" w:line="298" w:lineRule="auto"/>
        <w:rPr>
          <w:sz w:val="20"/>
          <w:szCs w:val="20"/>
          <w:color w:val="auto"/>
        </w:rPr>
      </w:pPr>
      <w:r>
        <w:rPr>
          <w:rFonts w:ascii="Arial" w:cs="Arial" w:eastAsia="Arial" w:hAnsi="Arial"/>
          <w:sz w:val="15"/>
          <w:szCs w:val="15"/>
          <w:b w:val="1"/>
          <w:bCs w:val="1"/>
          <w:i w:val="1"/>
          <w:iCs w:val="1"/>
          <w:color w:val="auto"/>
        </w:rPr>
        <w:t>Limits on Loans to One Borrower</w:t>
      </w:r>
      <w:r>
        <w:rPr>
          <w:rFonts w:ascii="Arial" w:cs="Arial" w:eastAsia="Arial" w:hAnsi="Arial"/>
          <w:sz w:val="15"/>
          <w:szCs w:val="15"/>
          <w:color w:val="auto"/>
        </w:rPr>
        <w:t>. As a Texas banking association, the Bank is subject to limits on the amount of loans it can make to one borrower.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$103.6 million as of December 31, 2022.</w:t>
      </w:r>
    </w:p>
    <w:p>
      <w:pPr>
        <w:spacing w:after="0" w:line="152" w:lineRule="exact"/>
        <w:rPr>
          <w:sz w:val="20"/>
          <w:szCs w:val="20"/>
          <w:color w:val="auto"/>
        </w:rPr>
      </w:pPr>
    </w:p>
    <w:p>
      <w:pPr>
        <w:jc w:val="both"/>
        <w:ind w:firstLine="306"/>
        <w:spacing w:after="0" w:line="313" w:lineRule="auto"/>
        <w:rPr>
          <w:sz w:val="20"/>
          <w:szCs w:val="20"/>
          <w:color w:val="auto"/>
        </w:rPr>
      </w:pPr>
      <w:r>
        <w:rPr>
          <w:rFonts w:ascii="Arial" w:cs="Arial" w:eastAsia="Arial" w:hAnsi="Arial"/>
          <w:sz w:val="15"/>
          <w:szCs w:val="15"/>
          <w:b w:val="1"/>
          <w:bCs w:val="1"/>
          <w:i w:val="1"/>
          <w:iCs w:val="1"/>
          <w:color w:val="auto"/>
        </w:rPr>
        <w:t>Safety and Soundness Standards / Risk Management</w:t>
      </w:r>
      <w:r>
        <w:rPr>
          <w:rFonts w:ascii="Arial" w:cs="Arial" w:eastAsia="Arial" w:hAnsi="Arial"/>
          <w:sz w:val="15"/>
          <w:szCs w:val="15"/>
          <w:color w:val="auto"/>
        </w:rPr>
        <w:t>. The federal banking agencies have adopted guidelines establishing operational and managerial standards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40" w:lineRule="exact"/>
        <w:rPr>
          <w:sz w:val="20"/>
          <w:szCs w:val="20"/>
          <w:color w:val="auto"/>
        </w:rPr>
      </w:pPr>
    </w:p>
    <w:p>
      <w:pPr>
        <w:jc w:val="both"/>
        <w:ind w:firstLine="305"/>
        <w:spacing w:after="0" w:line="292" w:lineRule="auto"/>
        <w:rPr>
          <w:sz w:val="20"/>
          <w:szCs w:val="20"/>
          <w:color w:val="auto"/>
        </w:rPr>
      </w:pPr>
      <w:r>
        <w:rPr>
          <w:rFonts w:ascii="Arial" w:cs="Arial" w:eastAsia="Arial" w:hAnsi="Arial"/>
          <w:sz w:val="15"/>
          <w:szCs w:val="15"/>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55" w:lineRule="exact"/>
        <w:rPr>
          <w:sz w:val="20"/>
          <w:szCs w:val="20"/>
          <w:color w:val="auto"/>
        </w:rPr>
      </w:pPr>
    </w:p>
    <w:p>
      <w:pPr>
        <w:jc w:val="both"/>
        <w:ind w:firstLine="305"/>
        <w:spacing w:after="0" w:line="270"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75" w:lineRule="exact"/>
        <w:rPr>
          <w:sz w:val="20"/>
          <w:szCs w:val="20"/>
          <w:color w:val="auto"/>
        </w:rPr>
      </w:pPr>
    </w:p>
    <w:p>
      <w:pPr>
        <w:jc w:val="both"/>
        <w:ind w:firstLine="306"/>
        <w:spacing w:after="0" w:line="275" w:lineRule="auto"/>
        <w:rPr>
          <w:sz w:val="20"/>
          <w:szCs w:val="20"/>
          <w:color w:val="auto"/>
        </w:rPr>
      </w:pPr>
      <w:r>
        <w:rPr>
          <w:rFonts w:ascii="Arial" w:cs="Arial" w:eastAsia="Arial" w:hAnsi="Arial"/>
          <w:sz w:val="16"/>
          <w:szCs w:val="16"/>
          <w:b w:val="1"/>
          <w:bCs w:val="1"/>
          <w:i w:val="1"/>
          <w:iCs w:val="1"/>
          <w:color w:val="auto"/>
        </w:rPr>
        <w:t>Branching Authority</w:t>
      </w:r>
      <w:r>
        <w:rPr>
          <w:rFonts w:ascii="Arial" w:cs="Arial" w:eastAsia="Arial" w:hAnsi="Arial"/>
          <w:sz w:val="16"/>
          <w:szCs w:val="16"/>
          <w:color w:val="auto"/>
        </w:rPr>
        <w:t>. Deposit-taking banking offices must be approved by the FDIC and, if such office is established within Texas, the TDB, which consider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spacing w:after="0" w:line="168" w:lineRule="exact"/>
        <w:rPr>
          <w:sz w:val="20"/>
          <w:szCs w:val="20"/>
          <w:color w:val="auto"/>
        </w:rPr>
      </w:pPr>
    </w:p>
    <w:p>
      <w:pPr>
        <w:jc w:val="both"/>
        <w:ind w:firstLine="306"/>
        <w:spacing w:after="0" w:line="262" w:lineRule="auto"/>
        <w:rPr>
          <w:sz w:val="20"/>
          <w:szCs w:val="20"/>
          <w:color w:val="auto"/>
        </w:rPr>
      </w:pPr>
      <w:r>
        <w:rPr>
          <w:rFonts w:ascii="Arial" w:cs="Arial" w:eastAsia="Arial" w:hAnsi="Arial"/>
          <w:sz w:val="17"/>
          <w:szCs w:val="17"/>
          <w:b w:val="1"/>
          <w:bCs w:val="1"/>
          <w:i w:val="1"/>
          <w:iCs w:val="1"/>
          <w:color w:val="auto"/>
        </w:rPr>
        <w:t>Interstate Deposit Restrictions</w:t>
      </w:r>
      <w:r>
        <w:rPr>
          <w:rFonts w:ascii="Arial" w:cs="Arial" w:eastAsia="Arial" w:hAnsi="Arial"/>
          <w:sz w:val="17"/>
          <w:szCs w:val="17"/>
          <w:color w:val="auto"/>
        </w:rPr>
        <w:t>. The Riegle-Neal Interstate Banking and Branching Efficiency Act of 1994 (“Interstate Act”), together with the Dodd-Frank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relaxed prior branching restrictions under federal law by permitting, subject to regulatory approval, banks to establish branches in states where the laws permit banks chartered in such states to establish branches.</w:t>
      </w:r>
    </w:p>
    <w:p>
      <w:pPr>
        <w:spacing w:after="0" w:line="175" w:lineRule="exact"/>
        <w:rPr>
          <w:sz w:val="20"/>
          <w:szCs w:val="20"/>
          <w:color w:val="auto"/>
        </w:rPr>
      </w:pPr>
    </w:p>
    <w:p>
      <w:pPr>
        <w:jc w:val="both"/>
        <w:ind w:firstLine="305"/>
        <w:spacing w:after="0" w:line="253" w:lineRule="auto"/>
        <w:rPr>
          <w:sz w:val="20"/>
          <w:szCs w:val="20"/>
          <w:color w:val="auto"/>
        </w:rPr>
      </w:pPr>
      <w:r>
        <w:rPr>
          <w:rFonts w:ascii="Arial" w:cs="Arial" w:eastAsia="Arial" w:hAnsi="Arial"/>
          <w:sz w:val="17"/>
          <w:szCs w:val="17"/>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185"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For purposes of Section 109, the Bank’s home state is Texas and the Bank operates branches in one host state: New Mexico. The most recently published host state loan-to-deposit ratio using data as of June 30, 2021 reflects a statewide loan-to-deposit ratio in New Mexico of 56%. As of December 31, 2022, the Bank’s statewide loan-to-deposit ratio in New Mexico was 39%. Accordingly, management believes that the Bank is in compliance with Section 109 in New Mexico after application of the first step of the two-step test.</w:t>
      </w:r>
    </w:p>
    <w:p>
      <w:pPr>
        <w:sectPr>
          <w:pgSz w:w="11900" w:h="16838" w:orient="portrait"/>
          <w:cols w:equalWidth="0" w:num="1">
            <w:col w:w="11240"/>
          </w:cols>
          <w:pgMar w:left="320" w:top="122"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98" w:lineRule="auto"/>
        <w:rPr>
          <w:sz w:val="20"/>
          <w:szCs w:val="20"/>
          <w:color w:val="auto"/>
        </w:rPr>
      </w:pPr>
      <w:r>
        <w:rPr>
          <w:rFonts w:ascii="Arial" w:cs="Arial" w:eastAsia="Arial" w:hAnsi="Arial"/>
          <w:sz w:val="15"/>
          <w:szCs w:val="15"/>
          <w:b w:val="1"/>
          <w:bCs w:val="1"/>
          <w:i w:val="1"/>
          <w:iCs w:val="1"/>
          <w:color w:val="auto"/>
        </w:rPr>
        <w:t>Community Reinvestment Act</w:t>
      </w:r>
      <w:r>
        <w:rPr>
          <w:rFonts w:ascii="Arial" w:cs="Arial" w:eastAsia="Arial" w:hAnsi="Arial"/>
          <w:sz w:val="15"/>
          <w:szCs w:val="15"/>
          <w:color w:val="auto"/>
        </w:rPr>
        <w:t>. The CRA and the regulations issued thereunder are intended to encourage insured depository institutions, while operating safely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52" w:lineRule="exact"/>
        <w:rPr>
          <w:sz w:val="20"/>
          <w:szCs w:val="20"/>
          <w:color w:val="auto"/>
        </w:rPr>
      </w:pPr>
    </w:p>
    <w:p>
      <w:pPr>
        <w:jc w:val="both"/>
        <w:ind w:firstLine="305"/>
        <w:spacing w:after="0" w:line="279" w:lineRule="auto"/>
        <w:rPr>
          <w:sz w:val="20"/>
          <w:szCs w:val="20"/>
          <w:color w:val="auto"/>
        </w:rPr>
      </w:pPr>
      <w:r>
        <w:rPr>
          <w:rFonts w:ascii="Arial" w:cs="Arial" w:eastAsia="Arial" w:hAnsi="Arial"/>
          <w:sz w:val="16"/>
          <w:szCs w:val="16"/>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163" w:lineRule="exact"/>
        <w:rPr>
          <w:sz w:val="20"/>
          <w:szCs w:val="20"/>
          <w:color w:val="auto"/>
        </w:rPr>
      </w:pPr>
    </w:p>
    <w:p>
      <w:pPr>
        <w:jc w:val="both"/>
        <w:ind w:firstLine="305"/>
        <w:spacing w:after="0" w:line="273" w:lineRule="auto"/>
        <w:rPr>
          <w:sz w:val="20"/>
          <w:szCs w:val="20"/>
          <w:color w:val="auto"/>
        </w:rPr>
      </w:pPr>
      <w:r>
        <w:rPr>
          <w:rFonts w:ascii="Arial" w:cs="Arial" w:eastAsia="Arial" w:hAnsi="Arial"/>
          <w:sz w:val="16"/>
          <w:szCs w:val="16"/>
          <w:color w:val="auto"/>
        </w:rPr>
        <w:t>On May 5, 2022, the federal banking regulators issued a joint proposed rule to revise regulations implementing the CRA, which seeks to strengthen the purpose of the CRA, adapt to changes in the banking industry, including the expanded role of mobile and online banking, provide clarity and consistency in the application of CRA regulations, tailor performance standards to account for differences in bank size, business model, and local conditions, tailor data collection and reporting requirements, promote transparency and public engagement, confirm that CRA and fair lending are mutually reinforcing, and create a consistent regulatory approach that applies to banks regulated by all of the federal banking regulators. While the comment period for the proposed rule expired in August 2022, a final rule has not yet been implemented by the federal banking regulators. The Company and the Bank will continue to monitor these developments.</w:t>
      </w:r>
    </w:p>
    <w:p>
      <w:pPr>
        <w:spacing w:after="0" w:line="171"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6"/>
          <w:szCs w:val="16"/>
          <w:b w:val="1"/>
          <w:bCs w:val="1"/>
          <w:i w:val="1"/>
          <w:iCs w:val="1"/>
          <w:color w:val="auto"/>
        </w:rPr>
        <w:t>Bank Secrecy Act, Anti-Money Laundering and the Office of Foreign Assets Control Regulation</w:t>
      </w:r>
      <w:r>
        <w:rPr>
          <w:rFonts w:ascii="Arial" w:cs="Arial" w:eastAsia="Arial" w:hAnsi="Arial"/>
          <w:sz w:val="16"/>
          <w:szCs w:val="16"/>
          <w:color w:val="auto"/>
        </w:rPr>
        <w:t>. The Uniting and Strengthening America by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172"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spacing w:after="0" w:line="175" w:lineRule="exact"/>
        <w:rPr>
          <w:sz w:val="20"/>
          <w:szCs w:val="20"/>
          <w:color w:val="auto"/>
        </w:rPr>
      </w:pPr>
    </w:p>
    <w:p>
      <w:pPr>
        <w:ind w:left="620" w:hanging="313"/>
        <w:spacing w:after="0" w:line="274"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internal policies, procedures and controls designed to implement and maintain the bank’s compliance with all of the requirements of the BSA, the USA PATRIOT Act, the National Defense Authorization Act and related laws and regulations;</w:t>
      </w:r>
    </w:p>
    <w:p>
      <w:pPr>
        <w:spacing w:after="0" w:line="164" w:lineRule="exact"/>
        <w:rPr>
          <w:rFonts w:ascii="Arial" w:cs="Arial" w:eastAsia="Arial" w:hAnsi="Arial"/>
          <w:sz w:val="17"/>
          <w:szCs w:val="17"/>
          <w:color w:val="auto"/>
        </w:rPr>
      </w:pPr>
    </w:p>
    <w:p>
      <w:pPr>
        <w:ind w:left="620" w:hanging="31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systems and procedures for monitoring and reporting suspicious transactions and activities;</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designated compliance officer;</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employee training;</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independent audit function to test the AML program;</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procedures to verify the identity of each customer upon the opening of accounts; and</w:t>
      </w:r>
    </w:p>
    <w:p>
      <w:pPr>
        <w:spacing w:after="0" w:line="212" w:lineRule="exact"/>
        <w:rPr>
          <w:rFonts w:ascii="Arial" w:cs="Arial" w:eastAsia="Arial" w:hAnsi="Arial"/>
          <w:sz w:val="17"/>
          <w:szCs w:val="17"/>
          <w:color w:val="auto"/>
        </w:rPr>
      </w:pPr>
    </w:p>
    <w:p>
      <w:pPr>
        <w:ind w:left="620" w:hanging="313"/>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heightened due diligence policies, procedures and controls applicable to certain foreign accounts and relationships.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5"/>
        <w:spacing w:after="0" w:line="271" w:lineRule="auto"/>
        <w:rPr>
          <w:sz w:val="20"/>
          <w:szCs w:val="20"/>
          <w:color w:val="auto"/>
        </w:rPr>
      </w:pPr>
      <w:r>
        <w:rPr>
          <w:rFonts w:ascii="Arial" w:cs="Arial" w:eastAsia="Arial" w:hAnsi="Arial"/>
          <w:sz w:val="16"/>
          <w:szCs w:val="16"/>
          <w:color w:val="auto"/>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72" w:lineRule="exact"/>
        <w:rPr>
          <w:sz w:val="20"/>
          <w:szCs w:val="20"/>
          <w:color w:val="auto"/>
        </w:rPr>
      </w:pPr>
    </w:p>
    <w:p>
      <w:pPr>
        <w:jc w:val="both"/>
        <w:ind w:firstLine="305"/>
        <w:spacing w:after="0" w:line="279" w:lineRule="auto"/>
        <w:rPr>
          <w:sz w:val="20"/>
          <w:szCs w:val="20"/>
          <w:color w:val="auto"/>
        </w:rPr>
      </w:pPr>
      <w:r>
        <w:rPr>
          <w:rFonts w:ascii="Arial" w:cs="Arial" w:eastAsia="Arial" w:hAnsi="Arial"/>
          <w:sz w:val="16"/>
          <w:szCs w:val="16"/>
          <w:color w:val="auto"/>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spacing w:after="0" w:line="163"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180" w:lineRule="exact"/>
        <w:rPr>
          <w:sz w:val="20"/>
          <w:szCs w:val="20"/>
          <w:color w:val="auto"/>
        </w:rPr>
      </w:pPr>
    </w:p>
    <w:p>
      <w:pPr>
        <w:jc w:val="both"/>
        <w:ind w:firstLine="305"/>
        <w:spacing w:after="0" w:line="285" w:lineRule="auto"/>
        <w:rPr>
          <w:sz w:val="20"/>
          <w:szCs w:val="20"/>
          <w:color w:val="auto"/>
        </w:rPr>
      </w:pPr>
      <w:r>
        <w:rPr>
          <w:rFonts w:ascii="Arial" w:cs="Arial" w:eastAsia="Arial" w:hAnsi="Arial"/>
          <w:sz w:val="15"/>
          <w:szCs w:val="15"/>
          <w:color w:val="auto"/>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w:t>
      </w:r>
    </w:p>
    <w:p>
      <w:pPr>
        <w:spacing w:after="0" w:line="3" w:lineRule="exact"/>
        <w:rPr>
          <w:sz w:val="20"/>
          <w:szCs w:val="20"/>
          <w:color w:val="auto"/>
        </w:rPr>
      </w:pPr>
    </w:p>
    <w:p>
      <w:pPr>
        <w:jc w:val="both"/>
        <w:ind w:firstLine="2"/>
        <w:spacing w:after="0" w:line="253" w:lineRule="auto"/>
        <w:tabs>
          <w:tab w:leader="none" w:pos="247"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183" w:lineRule="exact"/>
        <w:rPr>
          <w:sz w:val="20"/>
          <w:szCs w:val="20"/>
          <w:color w:val="auto"/>
        </w:rPr>
      </w:pPr>
    </w:p>
    <w:p>
      <w:pPr>
        <w:jc w:val="both"/>
        <w:ind w:firstLine="305"/>
        <w:spacing w:after="0" w:line="274" w:lineRule="auto"/>
        <w:rPr>
          <w:sz w:val="20"/>
          <w:szCs w:val="20"/>
          <w:color w:val="auto"/>
        </w:rPr>
      </w:pPr>
      <w:r>
        <w:rPr>
          <w:rFonts w:ascii="Arial" w:cs="Arial" w:eastAsia="Arial" w:hAnsi="Arial"/>
          <w:sz w:val="17"/>
          <w:szCs w:val="17"/>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165"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5"/>
          <w:szCs w:val="15"/>
          <w:b w:val="1"/>
          <w:bCs w:val="1"/>
          <w:i w:val="1"/>
          <w:iCs w:val="1"/>
          <w:color w:val="auto"/>
        </w:rPr>
        <w:t>Concentrations in Commercial Real Estate</w:t>
      </w:r>
      <w:r>
        <w:rPr>
          <w:rFonts w:ascii="Arial" w:cs="Arial" w:eastAsia="Arial" w:hAnsi="Arial"/>
          <w:sz w:val="15"/>
          <w:szCs w:val="15"/>
          <w:color w:val="auto"/>
        </w:rPr>
        <w:t>. The federal banking agencies have promulgated guidance governing financial institutions with concentrations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2022, the Company did not exceed the levels to be considered to have a concentration in commercial real estate lending and believes its credit administration to be consistent with the published policy statement.</w:t>
      </w:r>
    </w:p>
    <w:p>
      <w:pPr>
        <w:spacing w:after="0" w:line="157"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6"/>
          <w:szCs w:val="16"/>
          <w:color w:val="auto"/>
        </w:rPr>
        <w:t>The Basel III Capital Rules also require loans categorized as “high-volatility commercial real estate,” or HVCRE, to be assigned a 150% risk weighting and require additional capital support. However, the EGRRCPA prohibits federal banking regulators from imposing higher capital standards on HVCRE exposures unless they are for ADC and clarifying ADC status. As of December 31, 2022, we had $413.7 million in ADC loans and $6.3 million in HVCRE loans.</w:t>
      </w:r>
    </w:p>
    <w:p>
      <w:pPr>
        <w:spacing w:after="0" w:line="157"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Effective April 1, 2020, federal banking regulators implemented a final rule revising the definition of a HVCRE exposure and providing interpretations of certain aspects of Acquisition Development and Construction loans. This final rule became effective on April 1, 2020 and did not have a material impact on the Banks’ Consolidated Report of Condition and Income.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Financial Services</w:t>
      </w:r>
    </w:p>
    <w:p>
      <w:pPr>
        <w:spacing w:after="0" w:line="216" w:lineRule="exact"/>
        <w:rPr>
          <w:sz w:val="20"/>
          <w:szCs w:val="20"/>
          <w:color w:val="auto"/>
        </w:rPr>
      </w:pPr>
    </w:p>
    <w:p>
      <w:pPr>
        <w:jc w:val="both"/>
        <w:ind w:firstLine="305"/>
        <w:spacing w:after="0" w:line="288" w:lineRule="auto"/>
        <w:rPr>
          <w:sz w:val="20"/>
          <w:szCs w:val="20"/>
          <w:color w:val="auto"/>
        </w:rPr>
      </w:pPr>
      <w:r>
        <w:rPr>
          <w:rFonts w:ascii="Arial" w:cs="Arial" w:eastAsia="Arial" w:hAnsi="Arial"/>
          <w:sz w:val="15"/>
          <w:szCs w:val="15"/>
          <w:color w:val="auto"/>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165" w:lineRule="exact"/>
        <w:rPr>
          <w:sz w:val="20"/>
          <w:szCs w:val="20"/>
          <w:color w:val="auto"/>
        </w:rPr>
      </w:pPr>
    </w:p>
    <w:p>
      <w:pPr>
        <w:jc w:val="both"/>
        <w:ind w:firstLine="305"/>
        <w:spacing w:after="0" w:line="313" w:lineRule="auto"/>
        <w:rPr>
          <w:sz w:val="20"/>
          <w:szCs w:val="20"/>
          <w:color w:val="auto"/>
        </w:rPr>
      </w:pPr>
      <w:r>
        <w:rPr>
          <w:rFonts w:ascii="Arial" w:cs="Arial" w:eastAsia="Arial" w:hAnsi="Arial"/>
          <w:sz w:val="15"/>
          <w:szCs w:val="15"/>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40" w:lineRule="exact"/>
        <w:rPr>
          <w:sz w:val="20"/>
          <w:szCs w:val="20"/>
          <w:color w:val="auto"/>
        </w:rPr>
      </w:pPr>
    </w:p>
    <w:p>
      <w:pPr>
        <w:jc w:val="both"/>
        <w:ind w:firstLine="305"/>
        <w:spacing w:after="0" w:line="298" w:lineRule="auto"/>
        <w:rPr>
          <w:sz w:val="20"/>
          <w:szCs w:val="20"/>
          <w:color w:val="auto"/>
        </w:rPr>
      </w:pPr>
      <w:r>
        <w:rPr>
          <w:rFonts w:ascii="Arial" w:cs="Arial" w:eastAsia="Arial" w:hAnsi="Arial"/>
          <w:sz w:val="15"/>
          <w:szCs w:val="15"/>
          <w:color w:val="auto"/>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152" w:lineRule="exact"/>
        <w:rPr>
          <w:sz w:val="20"/>
          <w:szCs w:val="20"/>
          <w:color w:val="auto"/>
        </w:rPr>
      </w:pPr>
    </w:p>
    <w:p>
      <w:pPr>
        <w:jc w:val="both"/>
        <w:ind w:firstLine="305"/>
        <w:spacing w:after="0" w:line="289" w:lineRule="auto"/>
        <w:rPr>
          <w:sz w:val="20"/>
          <w:szCs w:val="20"/>
          <w:color w:val="auto"/>
        </w:rPr>
      </w:pPr>
      <w:r>
        <w:rPr>
          <w:rFonts w:ascii="Arial" w:cs="Arial" w:eastAsia="Arial" w:hAnsi="Arial"/>
          <w:sz w:val="15"/>
          <w:szCs w:val="15"/>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 Significant recent CFPB developments include:</w:t>
      </w:r>
    </w:p>
    <w:p>
      <w:pPr>
        <w:spacing w:after="0" w:line="160" w:lineRule="exact"/>
        <w:rPr>
          <w:sz w:val="20"/>
          <w:szCs w:val="20"/>
          <w:color w:val="auto"/>
        </w:rPr>
      </w:pPr>
    </w:p>
    <w:p>
      <w:pPr>
        <w:ind w:left="620" w:hanging="313"/>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continued focus on fair lending, including promoting racial and economic equity for underserved, vulnerable and marginalized communities;</w:t>
      </w:r>
    </w:p>
    <w:p>
      <w:pPr>
        <w:spacing w:after="0" w:line="212" w:lineRule="exact"/>
        <w:rPr>
          <w:rFonts w:ascii="Arial" w:cs="Arial" w:eastAsia="Arial" w:hAnsi="Arial"/>
          <w:sz w:val="17"/>
          <w:szCs w:val="17"/>
          <w:color w:val="auto"/>
        </w:rPr>
      </w:pPr>
    </w:p>
    <w:p>
      <w:pPr>
        <w:ind w:left="620" w:hanging="313"/>
        <w:spacing w:after="0" w:line="306"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focused efforts on enforcing certain compliance obligations the CFPB deems a priority, such as automobile loan servicing, debt collection, deposit, overdraft, non-sufficient funds, representment fees and other services fees, mortgage origination and servicing, and remittances, among others; and</w:t>
      </w:r>
    </w:p>
    <w:p>
      <w:pPr>
        <w:spacing w:after="0" w:line="142" w:lineRule="exact"/>
        <w:rPr>
          <w:rFonts w:ascii="Arial" w:cs="Arial" w:eastAsia="Arial" w:hAnsi="Arial"/>
          <w:sz w:val="16"/>
          <w:szCs w:val="16"/>
          <w:color w:val="auto"/>
        </w:rPr>
      </w:pPr>
    </w:p>
    <w:p>
      <w:pPr>
        <w:ind w:left="620" w:hanging="313"/>
        <w:spacing w:after="0" w:line="306"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rulemaking plans concerning, among others, consumers’ access to their financial information and requirements for financial institutions to collect, report and make public certain information concerning credit applications made by women-owned, minority-owned and small businesses.</w:t>
      </w:r>
    </w:p>
    <w:p>
      <w:pPr>
        <w:spacing w:after="0" w:line="142" w:lineRule="exact"/>
        <w:rPr>
          <w:sz w:val="20"/>
          <w:szCs w:val="20"/>
          <w:color w:val="auto"/>
        </w:rPr>
      </w:pPr>
    </w:p>
    <w:p>
      <w:pPr>
        <w:ind w:firstLine="305"/>
        <w:spacing w:after="0" w:line="274" w:lineRule="auto"/>
        <w:rPr>
          <w:sz w:val="20"/>
          <w:szCs w:val="20"/>
          <w:color w:val="auto"/>
        </w:rPr>
      </w:pPr>
      <w:r>
        <w:rPr>
          <w:rFonts w:ascii="Arial" w:cs="Arial" w:eastAsia="Arial" w:hAnsi="Arial"/>
          <w:sz w:val="17"/>
          <w:szCs w:val="17"/>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b w:val="1"/>
          <w:bCs w:val="1"/>
          <w:i w:val="1"/>
          <w:iCs w:val="1"/>
          <w:color w:val="auto"/>
        </w:rPr>
        <w:t>Mortgage and Mortgage-Related Products, Generally</w:t>
      </w:r>
      <w:r>
        <w:rPr>
          <w:rFonts w:ascii="Arial" w:cs="Arial" w:eastAsia="Arial" w:hAnsi="Arial"/>
          <w:sz w:val="16"/>
          <w:szCs w:val="16"/>
          <w:color w:val="auto"/>
        </w:rPr>
        <w:t>. Because abuses in connection with home mortgages were a significant factor contributing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175"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b w:val="1"/>
          <w:bCs w:val="1"/>
          <w:i w:val="1"/>
          <w:iCs w:val="1"/>
          <w:color w:val="auto"/>
        </w:rPr>
        <w:t>Ability-to-Repay Requirement and Qualified Mortgage Rule</w:t>
      </w:r>
      <w:r>
        <w:rPr>
          <w:rFonts w:ascii="Arial" w:cs="Arial" w:eastAsia="Arial" w:hAnsi="Arial"/>
          <w:sz w:val="17"/>
          <w:szCs w:val="17"/>
          <w:color w:val="auto"/>
        </w:rPr>
        <w:t>. In January 2013, the CFPB issued a final rule implementing 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83"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6"/>
          <w:szCs w:val="16"/>
          <w:b w:val="1"/>
          <w:bCs w:val="1"/>
          <w:i w:val="1"/>
          <w:iCs w:val="1"/>
          <w:color w:val="auto"/>
        </w:rPr>
        <w:t>Home Mortgage Disclosure Act (“HMDA”)</w:t>
      </w:r>
      <w:r>
        <w:rPr>
          <w:rFonts w:ascii="Arial" w:cs="Arial" w:eastAsia="Arial" w:hAnsi="Arial"/>
          <w:sz w:val="16"/>
          <w:szCs w:val="16"/>
          <w:color w:val="auto"/>
        </w:rPr>
        <w:t>. On October 15, 2015, pursuant to Section 1094 of the Dodd-Frank Act, the CFPB issued amended rules in regard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Most of the provisions of the HMDA Rule went into effect on January 1, 2018 and apply to data collected in 2018 and reporting in 2019 and later years. The HMDA Rule adopts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 to exempt certain insured institutions from most of the expanded data collection requirements required of the Dodd-Frank Act. The CFPB further amended the HMDA Rules in April 2020 so that, effective January 1, 2022, institutions originating fewer than 100 dwelling secured closed-end mortgage loans or fewer than 200 dwelling secured open-end lines are exempt from the expanded data collection requirements that went into effect January 1, 2018. On February 1, 2023, the Office of the Comptroller of the Currency issued OCC Bulletin 2023-5 which clarified that, following a recent court decision vacating the 2020 HMDA Final Rule as to the loan volume reporting threshold for closed-end mortgage loans, the loan origination threshold for reporting HMDA data on closed-end mortgage loans reverted to the 25 loan threshold established by the 2015 HMDA Final Rule. The Bank does not receive this reporting relief based on the number of dwelling secured mortgage loans reported annually.</w:t>
      </w:r>
    </w:p>
    <w:p>
      <w:pPr>
        <w:spacing w:after="0" w:line="172"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b w:val="1"/>
          <w:bCs w:val="1"/>
          <w:i w:val="1"/>
          <w:iCs w:val="1"/>
          <w:color w:val="auto"/>
        </w:rPr>
        <w:t>UDAP and UDAAP</w:t>
      </w:r>
      <w:r>
        <w:rPr>
          <w:rFonts w:ascii="Arial" w:cs="Arial" w:eastAsia="Arial" w:hAnsi="Arial"/>
          <w:sz w:val="16"/>
          <w:szCs w:val="16"/>
          <w:color w:val="auto"/>
        </w:rPr>
        <w:t>. Banking regulatory agencies have increasingly used a general consumer protection statute to address “unfair,” “deceptive” or “abusive”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acts and business practices that may not necessarily fall directly under the purview of a specific banking or consumer finance law. The law of choice for enforcement against such business practices has been Section 5 of the Federal Trade Commission Act, referred to as the FTC Act, which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and were delegated to the CFPB for rule-making. The federal banking agencies have the authority to enforce such rules and regulations. Under the Dodd-Frank Act, the CFPB looks to various factors to assess whether an act or practice is unfair, including whether it causes or is likely to cause substantial injury to consumers, the injury is not reasonably avoidable by consumers, and the injury is not outweighed by countervailing benefits to consumers or to competition. A key focus of the CFPB is whether an act or practice hinders a consumer’s decision-making.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Incentive Compensation Guidance</w:t>
      </w:r>
    </w:p>
    <w:p>
      <w:pPr>
        <w:spacing w:after="0" w:line="216" w:lineRule="exact"/>
        <w:rPr>
          <w:sz w:val="20"/>
          <w:szCs w:val="20"/>
          <w:color w:val="auto"/>
        </w:rPr>
      </w:pPr>
    </w:p>
    <w:p>
      <w:pPr>
        <w:jc w:val="both"/>
        <w:ind w:firstLine="305"/>
        <w:spacing w:after="0" w:line="290" w:lineRule="auto"/>
        <w:rPr>
          <w:sz w:val="20"/>
          <w:szCs w:val="20"/>
          <w:color w:val="auto"/>
        </w:rPr>
      </w:pPr>
      <w:r>
        <w:rPr>
          <w:rFonts w:ascii="Arial" w:cs="Arial" w:eastAsia="Arial" w:hAnsi="Arial"/>
          <w:sz w:val="15"/>
          <w:szCs w:val="15"/>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5"/>
        <w:spacing w:after="0" w:line="253" w:lineRule="auto"/>
        <w:rPr>
          <w:sz w:val="20"/>
          <w:szCs w:val="20"/>
          <w:color w:val="auto"/>
        </w:rPr>
      </w:pPr>
      <w:r>
        <w:rPr>
          <w:rFonts w:ascii="Arial" w:cs="Arial" w:eastAsia="Arial" w:hAnsi="Arial"/>
          <w:sz w:val="17"/>
          <w:szCs w:val="17"/>
          <w:color w:val="auto"/>
        </w:rPr>
        <w:t>The Dodd-Frank Act directs the federal banking regulators to promulgate rules prohibiting excessive compensation paid to executives of depository institutions and their holding companies with assets in excess of $1 billion, regardless of whether the company is publicly traded or not. In May 2016, the federal banking regulators, joined by the SEC, proposed such a rule that is tailored based on the asset size of the institution. All covered financial institutions would be subject to a prohibition on paying compensation, fees, and benefits that are “unreasonable” or “disproportionate” to the value of the services performed by a person covered by the proposed rule (generally, senior executive officers and employees who are significant risk-takers). As of the date of this Form 10-K, the federal banking regulators have not yet implemented a final rule with respect to excessive compensation paid to executives of depository institutions and their holding companies. The scope and content of the U.S. banking regulators’ policies on executive compensation are continuing to develop and are likely to continue evolving in the near future.</w:t>
      </w:r>
    </w:p>
    <w:p>
      <w:pPr>
        <w:spacing w:after="0" w:line="185" w:lineRule="exact"/>
        <w:rPr>
          <w:sz w:val="20"/>
          <w:szCs w:val="20"/>
          <w:color w:val="auto"/>
        </w:rPr>
      </w:pPr>
    </w:p>
    <w:p>
      <w:pPr>
        <w:jc w:val="both"/>
        <w:ind w:firstLine="305"/>
        <w:spacing w:after="0" w:line="254" w:lineRule="auto"/>
        <w:rPr>
          <w:sz w:val="20"/>
          <w:szCs w:val="20"/>
          <w:color w:val="auto"/>
        </w:rPr>
      </w:pPr>
      <w:r>
        <w:rPr>
          <w:rFonts w:ascii="Arial" w:cs="Arial" w:eastAsia="Arial" w:hAnsi="Arial"/>
          <w:sz w:val="17"/>
          <w:szCs w:val="17"/>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w:t>
      </w:r>
    </w:p>
    <w:p>
      <w:pPr>
        <w:spacing w:after="0" w:line="182" w:lineRule="exact"/>
        <w:rPr>
          <w:sz w:val="20"/>
          <w:szCs w:val="20"/>
          <w:color w:val="auto"/>
        </w:rPr>
      </w:pPr>
    </w:p>
    <w:p>
      <w:pPr>
        <w:jc w:val="both"/>
        <w:ind w:firstLine="305"/>
        <w:spacing w:after="0" w:line="298" w:lineRule="auto"/>
        <w:rPr>
          <w:sz w:val="20"/>
          <w:szCs w:val="20"/>
          <w:color w:val="auto"/>
        </w:rPr>
      </w:pPr>
      <w:r>
        <w:rPr>
          <w:rFonts w:ascii="Arial" w:cs="Arial" w:eastAsia="Arial" w:hAnsi="Arial"/>
          <w:sz w:val="15"/>
          <w:szCs w:val="15"/>
          <w:color w:val="auto"/>
        </w:rPr>
        <w:t>In August 2022, the SEC adopted the final “pay versus performance” rule mandated by the Dodd-Frank Act. Among other disclosure requirements, the rule requires public companies (other than emerging growth companies, registered investment companies and foreign private issuers) to disclose the relationships among named executive officer compensation “actually paid,” total shareholder return and certain financial performance measures that the company uses to link compensation to company performance for its five most recent fiscal years. The rule will not apply to the Company while it is an emerging growth company and, accordingly, management anticipates that the rule will first apply to disclosures in the Company’s proxy statement for the 2025 annual meeting of shareholders.</w:t>
      </w:r>
    </w:p>
    <w:p>
      <w:pPr>
        <w:spacing w:after="0" w:line="152"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6"/>
          <w:szCs w:val="16"/>
          <w:color w:val="auto"/>
        </w:rPr>
        <w:t>In October 2022, the SEC adopted a final rule directing national securities exchanges and associations, including the NASDAQ, to implement listing standards that require listed companies to adopt policies mandating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The final rule requires the Company to adopt a clawback policy within 60 days after such listing standard becomes effective.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Privacy</w:t>
      </w:r>
    </w:p>
    <w:p>
      <w:pPr>
        <w:spacing w:after="0" w:line="216" w:lineRule="exact"/>
        <w:rPr>
          <w:sz w:val="20"/>
          <w:szCs w:val="20"/>
          <w:color w:val="auto"/>
        </w:rPr>
      </w:pPr>
    </w:p>
    <w:p>
      <w:pPr>
        <w:jc w:val="both"/>
        <w:ind w:firstLine="305"/>
        <w:spacing w:after="0" w:line="272"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Monetary Policy</w:t>
      </w:r>
    </w:p>
    <w:p>
      <w:pPr>
        <w:spacing w:after="0" w:line="216" w:lineRule="exact"/>
        <w:rPr>
          <w:sz w:val="20"/>
          <w:szCs w:val="20"/>
          <w:color w:val="auto"/>
        </w:rPr>
      </w:pPr>
    </w:p>
    <w:p>
      <w:pPr>
        <w:jc w:val="both"/>
        <w:ind w:firstLine="305"/>
        <w:spacing w:after="0" w:line="303" w:lineRule="auto"/>
        <w:rPr>
          <w:sz w:val="20"/>
          <w:szCs w:val="20"/>
          <w:color w:val="auto"/>
        </w:rPr>
      </w:pPr>
      <w:r>
        <w:rPr>
          <w:rFonts w:ascii="Arial" w:cs="Arial" w:eastAsia="Arial" w:hAnsi="Arial"/>
          <w:sz w:val="15"/>
          <w:szCs w:val="15"/>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Potentially Impacting the Bank</w:t>
      </w:r>
    </w:p>
    <w:p>
      <w:pPr>
        <w:spacing w:after="0" w:line="216"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Banking Reform Legislation</w:t>
      </w:r>
    </w:p>
    <w:p>
      <w:pPr>
        <w:spacing w:after="0" w:line="216"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Other key provisions of the EGRRCPA as it relates to community banks and bank holding companies include, but are not limited to: (i) assisting smaller banks with obtaining stable funding by providing an exception for reciprocal deposits from FDIC restrictions on acceptance of brokered deposits; (ii) raising the eligibility for use of short-form Call Reports from $1 billion to $5 billion in assets; and (iii) changing the eligibility for use of the small bank holding company policy statement from institutions with under $1 billion in assets to institutions with under $3 billion in assets.</w:t>
      </w:r>
    </w:p>
    <w:p>
      <w:pPr>
        <w:spacing w:after="0" w:line="178"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Pending and Proposed Legislation</w:t>
      </w:r>
    </w:p>
    <w:p>
      <w:pPr>
        <w:spacing w:after="0" w:line="216" w:lineRule="exact"/>
        <w:rPr>
          <w:sz w:val="20"/>
          <w:szCs w:val="20"/>
          <w:color w:val="auto"/>
        </w:rPr>
      </w:pPr>
    </w:p>
    <w:p>
      <w:pPr>
        <w:jc w:val="both"/>
        <w:ind w:firstLine="305"/>
        <w:spacing w:after="0" w:line="298" w:lineRule="auto"/>
        <w:rPr>
          <w:sz w:val="20"/>
          <w:szCs w:val="20"/>
          <w:color w:val="auto"/>
        </w:rPr>
      </w:pPr>
      <w:r>
        <w:rPr>
          <w:rFonts w:ascii="Arial" w:cs="Arial" w:eastAsia="Arial" w:hAnsi="Arial"/>
          <w:sz w:val="15"/>
          <w:szCs w:val="15"/>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152" w:lineRule="exact"/>
        <w:rPr>
          <w:sz w:val="20"/>
          <w:szCs w:val="20"/>
          <w:color w:val="auto"/>
        </w:rPr>
      </w:pPr>
    </w:p>
    <w:p>
      <w:pPr>
        <w:jc w:val="both"/>
        <w:ind w:firstLine="305"/>
        <w:spacing w:after="0" w:line="256" w:lineRule="auto"/>
        <w:rPr>
          <w:sz w:val="20"/>
          <w:szCs w:val="20"/>
          <w:color w:val="auto"/>
        </w:rPr>
      </w:pPr>
      <w:r>
        <w:rPr>
          <w:rFonts w:ascii="Arial" w:cs="Arial" w:eastAsia="Arial" w:hAnsi="Arial"/>
          <w:sz w:val="17"/>
          <w:szCs w:val="17"/>
          <w:color w:val="auto"/>
        </w:rPr>
        <w:t>Although the majority of the Dodd-Frank Act’s rulemaking requirements have been met with finalized rules, approximately one-fifth of the rulemaking requirements are either still in the proposal stage or have not yet been proposed. On February 2, 2017, President Donald Trump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AVAILABLE INFORMATION</w:t>
      </w:r>
    </w:p>
    <w:p>
      <w:pPr>
        <w:spacing w:after="0" w:line="216" w:lineRule="exact"/>
        <w:rPr>
          <w:sz w:val="20"/>
          <w:szCs w:val="20"/>
          <w:color w:val="auto"/>
        </w:rPr>
      </w:pPr>
    </w:p>
    <w:p>
      <w:pPr>
        <w:jc w:val="both"/>
        <w:ind w:firstLine="305"/>
        <w:spacing w:after="0" w:line="295" w:lineRule="auto"/>
        <w:rPr>
          <w:sz w:val="20"/>
          <w:szCs w:val="20"/>
          <w:color w:val="auto"/>
        </w:rPr>
      </w:pPr>
      <w:r>
        <w:rPr>
          <w:rFonts w:ascii="Arial" w:cs="Arial" w:eastAsia="Arial" w:hAnsi="Arial"/>
          <w:sz w:val="15"/>
          <w:szCs w:val="15"/>
          <w:color w:val="auto"/>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spacing w:after="0" w:line="154"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information contained on, or that may be accessed through, the Company’s web site is not incorporated by reference into, and is not a part of, this Report.</w:t>
      </w: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The Company is subject to interest rate risk and changes in market interest rates or capital markets could affect our revenues and expenses, the value of assets and obligations, and the availability and cost of capital or liquidity.</w:t>
      </w:r>
    </w:p>
    <w:p>
      <w:pPr>
        <w:spacing w:after="0" w:line="165"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Given our business mix, and the fact that most of our assets and liabilities are financial in nature, we tend to be sensitive to market interest rate movements and the performance of the financial markets. Our primary source of income is net interest income, meaning the difference or spread between interest income earned and interest expense paid.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175" w:lineRule="exact"/>
        <w:rPr>
          <w:sz w:val="20"/>
          <w:szCs w:val="20"/>
          <w:color w:val="auto"/>
        </w:rPr>
      </w:pPr>
    </w:p>
    <w:p>
      <w:pPr>
        <w:jc w:val="both"/>
        <w:ind w:firstLine="306"/>
        <w:spacing w:after="0" w:line="286" w:lineRule="auto"/>
        <w:rPr>
          <w:sz w:val="20"/>
          <w:szCs w:val="20"/>
          <w:color w:val="auto"/>
        </w:rPr>
      </w:pPr>
      <w:r>
        <w:rPr>
          <w:rFonts w:ascii="Arial" w:cs="Arial" w:eastAsia="Arial" w:hAnsi="Arial"/>
          <w:sz w:val="16"/>
          <w:szCs w:val="16"/>
          <w:color w:val="auto"/>
        </w:rPr>
        <w:t>Interest rates are highly sensitive to many factors that are beyond the Company’s control, including competition, the monetary policy of the Federal Reserve, inflation and deflation, and volatility of domestic and global financial and credit markets, due to any number of factors including, among other things, the persistence of the ongoing inflationary environment in the United States and in our market areas and current geopolitical tensions.</w:t>
      </w:r>
    </w:p>
    <w:p>
      <w:pPr>
        <w:spacing w:after="0" w:line="157"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color w:val="auto"/>
        </w:rPr>
        <w:t>In the current environment of increasing interest rates,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periods of decreasing interest rates, our borrowers may experience difficulties meeting their obligations or seek to refinance their loans for lower rates, which may adversely affect income from these lending activities and negatively impact our net interest margin.</w:t>
      </w:r>
    </w:p>
    <w:p>
      <w:pPr>
        <w:spacing w:after="0" w:line="170"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A prolonged period of volatile and unstable financial market conditions could increase our funding costs and negatively affect our asset-liability management strategies. Higher volatility in interest rates and spreads to benchmark indices could cause decreases in the fair market values of our investment portfolio, and of assets the Company manages for others and may impair our ability to attract and retain funds from current and prospective customers, which could lower fee income. Fluctuations in interest rates could impact both the level of income and expense recorded on most of our assets and liabilities, and the market value of all interest-earning assets and interest-bearing liabilities, any of which in turn could have a material adverse effect on our liquidity and ability to fund future growth, our operating results, and financial condition.</w:t>
      </w:r>
    </w:p>
    <w:p>
      <w:pPr>
        <w:spacing w:after="0" w:line="180" w:lineRule="exact"/>
        <w:rPr>
          <w:sz w:val="20"/>
          <w:szCs w:val="20"/>
          <w:color w:val="auto"/>
        </w:rPr>
      </w:pPr>
    </w:p>
    <w:p>
      <w:pPr>
        <w:jc w:val="both"/>
        <w:ind w:firstLine="306"/>
        <w:spacing w:after="0" w:line="262" w:lineRule="auto"/>
        <w:rPr>
          <w:sz w:val="20"/>
          <w:szCs w:val="20"/>
          <w:color w:val="auto"/>
        </w:rPr>
      </w:pPr>
      <w:r>
        <w:rPr>
          <w:rFonts w:ascii="Arial" w:cs="Arial" w:eastAsia="Arial" w:hAnsi="Arial"/>
          <w:sz w:val="17"/>
          <w:szCs w:val="17"/>
          <w:color w:val="auto"/>
        </w:rPr>
        <w:t>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has been and may continue to be adversely affected by current conditions in the financial markets and economic conditions generally.</w:t>
      </w:r>
    </w:p>
    <w:p>
      <w:pPr>
        <w:spacing w:after="0" w:line="235"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5"/>
          <w:szCs w:val="15"/>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During the year ended December 31, 2022, the Federal Open Market Committee (“FOMC”) of the Federal Reserve repeatedly raised their target benchmark interest rate in response to the ongoing inflationary environment in the United States, resulting in subsequent prime rate increases of 425 basis points between March and December of 2022. Further increases in market interest rates may have an adverse effect on our business, financial condition and results of operations as it could reduce the demand for loans and affect the ability of our borrowers to repay their indebtedness subjecting us to potential loan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In addition, the inflationary outlook in the United States remains uncertain. Inflation, which at December 31, 2022, has been reported at the highest level in nearly 40 years, and could result in higher interest rates, which expose the Company to interest rate risk. In addition, higher interest rates could slow economic growth and lead to a recessionary environment, which could negatively impact the Company’s growth, credit quality, net interest margin and its financial results. The risks to our business from inflation depends on the durability of the current inflationary pressures in our markets. Transitory increases in inflation are unlikely to have a material impact on our business or earnings. However, more persistent inflation could lead to tighter-than-expected monetary policy which could, in turn, increase the borrowings costs of our customers, making it more difficult for them to repay their loans or other obligations. High interest rates may be needed to tame persistent inflationary price pressures, which could also push down asset prices and weaken economic activity. A deterioration in economic conditions in the United States and our markets could result in an increase in loan delinquencies and non-performing assets, decreases in loan collateral values and a decrease in demand for our products and services, all of which, in turn, would adversely affect our business, financial condition and results of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Investment Portfolio Could Incur Additional Losses or Fair Value Could Deteriorate.</w:t>
      </w:r>
    </w:p>
    <w:p>
      <w:pPr>
        <w:spacing w:after="0" w:line="21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There are inherent risks associated with the Company’s investment activities. These risks include the impact from changes in interest rates, credit risk related to weakness in real estate values, municipalities, government sponsored enterprises, or other industries, the impact of changes in income tax rates on the value of tax-exempt securities, adverse changes in regional or national economic conditions, and general turbulence in domestic and foreign financial markets, among other things. If an investment’s value is in an unrealized loss position, the Company is required to assess the security to determine if a valuation allowance for the credit exposure of the debt security is necessary, which is recorded as a charge to earnings. These conditions could adversely impact the ultimate collectability of the Company’s investments.</w:t>
      </w:r>
    </w:p>
    <w:p>
      <w:pPr>
        <w:spacing w:after="0" w:line="180"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color w:val="auto"/>
        </w:rPr>
        <w:t>As discussed above, the FOMC repeatedly raised their target benchmark interest rate in 2022, resulting in subsequent prime rate increases of 425 basis points between March and December of 2022, and further resulting in a significant increase in market interest rates during the year ended December 31, 2022. If market interest rates continue to rise, the market value of the fixed income bond portfolio will decrease, resulting in unrealized losses, and depending on the extent of the rise in interest rates, the increase in unrealized losses could be significant over the short-term. The non-credit portion of unrealized losses are booked to Accumulated Other Comprehensive Income (“AOCI”), a component of shareholders’ equity. A significant increase in market rates may have a negative impact on book value per common share and return on average shareholders’ equity ratios. The Company’s bond portfolio is expected to mature at par and therefore the unrealized losses in the portfolio that result from higher market interest rates will decrease as the bonds become closer to maturity.</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grow through acquisitions, a strategy which may not be successful or, if successful, may produce risks in successfully integrating and managing the acquisitions and may dilute our shareholders.</w:t>
      </w:r>
    </w:p>
    <w:p>
      <w:pPr>
        <w:spacing w:after="0" w:line="165" w:lineRule="exact"/>
        <w:rPr>
          <w:sz w:val="20"/>
          <w:szCs w:val="20"/>
          <w:color w:val="auto"/>
        </w:rPr>
      </w:pPr>
    </w:p>
    <w:p>
      <w:pPr>
        <w:jc w:val="both"/>
        <w:ind w:firstLine="306"/>
        <w:spacing w:after="0" w:line="298" w:lineRule="auto"/>
        <w:rPr>
          <w:sz w:val="20"/>
          <w:szCs w:val="20"/>
          <w:color w:val="auto"/>
        </w:rPr>
      </w:pPr>
      <w:r>
        <w:rPr>
          <w:rFonts w:ascii="Arial" w:cs="Arial" w:eastAsia="Arial" w:hAnsi="Arial"/>
          <w:sz w:val="15"/>
          <w:szCs w:val="15"/>
          <w:color w:val="auto"/>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152"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6"/>
          <w:szCs w:val="16"/>
          <w:color w:val="auto"/>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measure and limit our credit risk, which could lead to unexpected losses.</w:t>
      </w:r>
    </w:p>
    <w:p>
      <w:pPr>
        <w:spacing w:after="0" w:line="212" w:lineRule="exact"/>
        <w:rPr>
          <w:sz w:val="20"/>
          <w:szCs w:val="20"/>
          <w:color w:val="auto"/>
        </w:rPr>
      </w:pPr>
    </w:p>
    <w:p>
      <w:pPr>
        <w:jc w:val="both"/>
        <w:ind w:firstLine="306"/>
        <w:spacing w:after="0" w:line="295" w:lineRule="auto"/>
        <w:rPr>
          <w:sz w:val="20"/>
          <w:szCs w:val="20"/>
          <w:color w:val="auto"/>
        </w:rPr>
      </w:pPr>
      <w:r>
        <w:rPr>
          <w:rFonts w:ascii="Arial" w:cs="Arial" w:eastAsia="Arial" w:hAnsi="Arial"/>
          <w:sz w:val="15"/>
          <w:szCs w:val="15"/>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154"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Accordingly, we maintain an allowance for loan losses that represents management’s judgment of probable losses and risks inherent in our loan portfolio. 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172"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color w:val="auto"/>
        </w:rPr>
        <w:t>In addition, we may further experience increased delinquencies, credit losses, and corresponding charges to capital, which could require us to increase our provision for loan losses associated with impacts related to the coronavirus outbreak due to inflationary pressures, quarantines, market downturns, increased unemployment rates, changes in consumer behavior related to pandemic fears, and related emergency response legislation, including the Families First Coronavirus Response Act. Further, 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In addition, effective January 1, 2023, our methodology for determining our allowance for loan losses changed due to the implementation of the Current Expected Credit Losses, or CECL, accounting standard. As a result, we anticipate recognizing a one-time, after tax cumulative effect charge of approximately $900 thousand to retained earnings at the beginning of the first quarter of 2023, increasing the allowance for credit losses by approximately $100 thousand and increasing the off-balance sheet reserve for unfunded commitments by approximately $1.0 million. Our adjustment to the allowance for credit losses at the transition date may vary from our estimate due to refinements in the loss estimation models or factors.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Many of our loans are to commercial borrowers, which have a higher degree of risk than other types of loans.</w:t>
      </w:r>
    </w:p>
    <w:p>
      <w:pPr>
        <w:spacing w:after="0" w:line="212"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6"/>
          <w:szCs w:val="16"/>
          <w:color w:val="auto"/>
        </w:rPr>
        <w:t>As of December 31, 2022, loans to commercial borrowers represent approximately 68.6%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additional credit risk with respect to loans that we make to other lenders.</w:t>
      </w:r>
    </w:p>
    <w:p>
      <w:pPr>
        <w:spacing w:after="0" w:line="212"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color w:val="auto"/>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65"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As of December 31, 2022, approximately 69.8%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commercial real estate loan portfolio exposes us to risks that may be greater than the risks related to other mortgage loans.</w:t>
      </w:r>
    </w:p>
    <w:p>
      <w:pPr>
        <w:spacing w:after="0" w:line="212"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Our loan portfolio includes non-owner-occupied commercial real estate loans for individuals and businesses for various purposes, which are secured by commercial properties, as well as real estate construction and development loans. As of December 31, 2022, our non-owner-occupied commercial real estate loans totaled approximately 38.7%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portfolio of indirect dealer lending exposes us to increased credit risks.</w:t>
      </w:r>
    </w:p>
    <w:p>
      <w:pPr>
        <w:spacing w:after="0" w:line="212" w:lineRule="exact"/>
        <w:rPr>
          <w:sz w:val="20"/>
          <w:szCs w:val="20"/>
          <w:color w:val="auto"/>
        </w:rPr>
      </w:pPr>
    </w:p>
    <w:p>
      <w:pPr>
        <w:jc w:val="both"/>
        <w:ind w:firstLine="306"/>
        <w:spacing w:after="0" w:line="293" w:lineRule="auto"/>
        <w:rPr>
          <w:sz w:val="20"/>
          <w:szCs w:val="20"/>
          <w:color w:val="auto"/>
        </w:rPr>
      </w:pPr>
      <w:r>
        <w:rPr>
          <w:rFonts w:ascii="Arial" w:cs="Arial" w:eastAsia="Arial" w:hAnsi="Arial"/>
          <w:sz w:val="15"/>
          <w:szCs w:val="15"/>
          <w:color w:val="auto"/>
        </w:rPr>
        <w:t>At December 31, 2022, approximately 10.5%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165" w:lineRule="exact"/>
        <w:rPr>
          <w:sz w:val="20"/>
          <w:szCs w:val="20"/>
          <w:color w:val="auto"/>
        </w:rPr>
      </w:pPr>
    </w:p>
    <w:p>
      <w:pPr>
        <w:jc w:val="both"/>
        <w:ind w:firstLine="306"/>
        <w:spacing w:after="0" w:line="292" w:lineRule="auto"/>
        <w:rPr>
          <w:sz w:val="20"/>
          <w:szCs w:val="20"/>
          <w:color w:val="auto"/>
        </w:rPr>
      </w:pPr>
      <w:r>
        <w:rPr>
          <w:rFonts w:ascii="Arial" w:cs="Arial" w:eastAsia="Arial" w:hAnsi="Arial"/>
          <w:sz w:val="15"/>
          <w:szCs w:val="15"/>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Agricultural lending and volatility in commodity prices may adversely affect our financial condition and results of operations.</w:t>
      </w:r>
    </w:p>
    <w:p>
      <w:pPr>
        <w:spacing w:after="0" w:line="212" w:lineRule="exact"/>
        <w:rPr>
          <w:sz w:val="20"/>
          <w:szCs w:val="20"/>
          <w:color w:val="auto"/>
        </w:rPr>
      </w:pPr>
    </w:p>
    <w:p>
      <w:pPr>
        <w:jc w:val="both"/>
        <w:ind w:firstLine="306"/>
        <w:spacing w:after="0" w:line="288" w:lineRule="auto"/>
        <w:rPr>
          <w:sz w:val="20"/>
          <w:szCs w:val="20"/>
          <w:color w:val="auto"/>
        </w:rPr>
      </w:pPr>
      <w:r>
        <w:rPr>
          <w:rFonts w:ascii="Arial" w:cs="Arial" w:eastAsia="Arial" w:hAnsi="Arial"/>
          <w:sz w:val="15"/>
          <w:szCs w:val="15"/>
          <w:color w:val="auto"/>
        </w:rPr>
        <w:t>At December 31, 2022, agricultural loans were approximately 2.4%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165"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Through the Federal Crop Insurance Corporation, the federal government subsidizes insurance companies by assuming an increasingly higher portion of losses incurred by farmers as a result of weather-related and other 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2022, the Bank had approximately $10.6 million in noninterest income attributable to sales of crop insurance.</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Sustained volatility in oil prices and the energy industry, including in Texas, could lead to increased credit losses in our energy portfolio, weaker demand for energy lending, and adversely affect our business, results of operations and financial condition.</w:t>
      </w:r>
    </w:p>
    <w:p>
      <w:pPr>
        <w:spacing w:after="0" w:line="165" w:lineRule="exact"/>
        <w:rPr>
          <w:sz w:val="20"/>
          <w:szCs w:val="20"/>
          <w:color w:val="auto"/>
        </w:rPr>
      </w:pPr>
    </w:p>
    <w:p>
      <w:pPr>
        <w:jc w:val="both"/>
        <w:ind w:firstLine="306"/>
        <w:spacing w:after="0" w:line="288" w:lineRule="auto"/>
        <w:rPr>
          <w:sz w:val="20"/>
          <w:szCs w:val="20"/>
          <w:color w:val="auto"/>
        </w:rPr>
      </w:pPr>
      <w:r>
        <w:rPr>
          <w:rFonts w:ascii="Arial" w:cs="Arial" w:eastAsia="Arial" w:hAnsi="Arial"/>
          <w:sz w:val="15"/>
          <w:szCs w:val="15"/>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While oil prices have increased in 2022, the oil and gas industry has remained volatile and prolonged volatility may cause further worsening conditions of energy industry and overall economic activities in the Company’s primary markets and could lead to increased credit stress in its loan portfolio, increased losses and weaker demand for lending. More significantly for the Company, prolonged pricing pressure on oil and gas or general uncertainty resulting from energy price volatility could lead to increased credit stress in our energy portfolio, increased losses associated with our energy portfolio, increased utilization of our contractual obligations to extend credit and weaker demand for energy lending. Such a decline or general uncertainty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sectPr>
          <w:pgSz w:w="11900" w:h="16838" w:orient="portrait"/>
          <w:cols w:equalWidth="0" w:num="1">
            <w:col w:w="11240"/>
          </w:cols>
          <w:pgMar w:left="320" w:top="121"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165"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 our and/or our customers’ costs, demand for our customers’ products, and/or the U.S. economy or certain sectors thereof and, thus,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and related legislative and regulatory initiatives may materially affect the Company’s business and results of operations.</w:t>
      </w:r>
    </w:p>
    <w:p>
      <w:pPr>
        <w:spacing w:after="0" w:line="212" w:lineRule="exact"/>
        <w:rPr>
          <w:sz w:val="20"/>
          <w:szCs w:val="20"/>
          <w:color w:val="auto"/>
        </w:rPr>
      </w:pPr>
    </w:p>
    <w:p>
      <w:pPr>
        <w:jc w:val="both"/>
        <w:ind w:firstLine="306"/>
        <w:spacing w:after="0" w:line="288" w:lineRule="auto"/>
        <w:rPr>
          <w:sz w:val="20"/>
          <w:szCs w:val="20"/>
          <w:color w:val="auto"/>
        </w:rPr>
      </w:pPr>
      <w:r>
        <w:rPr>
          <w:rFonts w:ascii="Arial" w:cs="Arial" w:eastAsia="Arial" w:hAnsi="Arial"/>
          <w:sz w:val="15"/>
          <w:szCs w:val="15"/>
          <w:color w:val="auto"/>
        </w:rPr>
        <w:t>The effects of climate change continue to create an alarming level of concern for the state of the global environment. As a result, the global business community has increased its political and social awareness surrounding the issue. Further, the U.S. Congress, state legislatures and federal and state regulatory agencies continue to propose numerous initiatives to supplement the global effort to combat climate change. Similar and even more expansive initiatives are expected under the current administration,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impossible to predict how specifically climate change may impact our financial condition and results of operations; however, the physical effects of climate change may also directly impact us. Specifically, unpredictable and more frequent weather disasters may adversely impact the value of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which could impact our financial condition and results of operations. Further, the effects of climate change may negatively impact regional and local economic activity, which could lead to an adverse effect on our customers and impact the communities in which we operate. Overall, climate change, its effects and the resulting, unknown impact could have a material adverse effect on our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amount of nonperforming assets may increase and can take significant time and resources to resolve.</w:t>
      </w:r>
    </w:p>
    <w:p>
      <w:pPr>
        <w:spacing w:after="0" w:line="212"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properties that we own and certain foreclosed real estate assets could subject us to environmental risks and associated costs.</w:t>
      </w:r>
    </w:p>
    <w:p>
      <w:pPr>
        <w:spacing w:after="0" w:line="212"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6"/>
          <w:szCs w:val="16"/>
          <w:color w:val="auto"/>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175" w:lineRule="exact"/>
        <w:rPr>
          <w:sz w:val="20"/>
          <w:szCs w:val="20"/>
          <w:color w:val="auto"/>
        </w:rPr>
      </w:pPr>
    </w:p>
    <w:p>
      <w:pPr>
        <w:jc w:val="both"/>
        <w:ind w:firstLine="306"/>
        <w:spacing w:after="0" w:line="262" w:lineRule="auto"/>
        <w:rPr>
          <w:sz w:val="20"/>
          <w:szCs w:val="20"/>
          <w:color w:val="auto"/>
        </w:rPr>
      </w:pPr>
      <w:r>
        <w:rPr>
          <w:rFonts w:ascii="Arial" w:cs="Arial" w:eastAsia="Arial" w:hAnsi="Arial"/>
          <w:sz w:val="17"/>
          <w:szCs w:val="17"/>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175"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spacing w:after="0" w:line="178" w:lineRule="exact"/>
        <w:rPr>
          <w:sz w:val="20"/>
          <w:szCs w:val="20"/>
          <w:color w:val="auto"/>
        </w:rPr>
      </w:pPr>
    </w:p>
    <w:p>
      <w:pPr>
        <w:jc w:val="both"/>
        <w:ind w:firstLine="306"/>
        <w:spacing w:after="0" w:line="303" w:lineRule="auto"/>
        <w:rPr>
          <w:sz w:val="20"/>
          <w:szCs w:val="20"/>
          <w:color w:val="auto"/>
        </w:rPr>
      </w:pPr>
      <w:r>
        <w:rPr>
          <w:rFonts w:ascii="Arial" w:cs="Arial" w:eastAsia="Arial" w:hAnsi="Arial"/>
          <w:sz w:val="15"/>
          <w:szCs w:val="15"/>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largest loan relationships make up a material percentage of our total loan portfolio.</w:t>
      </w:r>
    </w:p>
    <w:p>
      <w:pPr>
        <w:spacing w:after="0" w:line="212"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color w:val="auto"/>
        </w:rPr>
        <w:t>We have extended significant amounts of credit to a limited number of borrowers As of December 31, 2022, our 20 largest borrowing relationships ranged from approximately $22.2 million to $50.9 million (including unfunded commitments) and totaled approximately 18.1% of our outstanding commitments. If any of these relationships become delinquent or suffer default, we could be exposed to material losses which may have a material adverse effect on our business, financial condition and results of operations.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65" w:lineRule="exact"/>
        <w:rPr>
          <w:sz w:val="20"/>
          <w:szCs w:val="20"/>
          <w:color w:val="auto"/>
        </w:rPr>
      </w:pPr>
    </w:p>
    <w:p>
      <w:pPr>
        <w:jc w:val="both"/>
        <w:ind w:firstLine="306"/>
        <w:spacing w:after="0" w:line="275" w:lineRule="auto"/>
        <w:rPr>
          <w:sz w:val="20"/>
          <w:szCs w:val="20"/>
          <w:color w:val="auto"/>
        </w:rPr>
      </w:pPr>
      <w:r>
        <w:rPr>
          <w:rFonts w:ascii="Arial" w:cs="Arial" w:eastAsia="Arial" w:hAnsi="Arial"/>
          <w:sz w:val="16"/>
          <w:szCs w:val="16"/>
          <w:color w:val="auto"/>
        </w:rPr>
        <w:t>At December 31, 2022, our 20 largest deposit relationships accounted for approximately 16.7%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risk could impair our ability to fund operations and meet our obligations as they become due and could jeopardize our financial condition.</w:t>
      </w:r>
    </w:p>
    <w:p>
      <w:pPr>
        <w:spacing w:after="0" w:line="224"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Liquidity is essential to the business of the Bank.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spacing w:after="0" w:line="172"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If, as a result of general economic conditions or other events, sources of external funding become restricted or are eliminated, the Company may not be able to raise adequate funds or may incur substantially higher funding costs in order to raise the necessary funds to support the Company’s operations and growth or may be required to sell or restrict operations, or restrict the payment of dividends. Furthermore, if the Company is unable to raise adequate funds through external sources, the Company may need to sell assets with unrealized losses in order to generate additional liquidity, which could decrease the capital of the Company and have an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 could pursue alternatives to bank deposits, causing us to lose a relatively inexpensive source of funding.</w:t>
      </w:r>
    </w:p>
    <w:p>
      <w:pPr>
        <w:spacing w:after="0" w:line="21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Technology has made it more convenient for bank customers to transfer funds into alternative investments or other deposit accounts, including products offered by other financial institutions or non-bank service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continually encounter technological changes which could result in us having fewer resources than many of our competitors to continue to invest in technological improvements.</w:t>
      </w:r>
    </w:p>
    <w:p>
      <w:pPr>
        <w:spacing w:after="0" w:line="165"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impacted by the transition from LIBOR as a reference rate.</w:t>
      </w:r>
    </w:p>
    <w:p>
      <w:pPr>
        <w:spacing w:after="0" w:line="212" w:lineRule="exact"/>
        <w:rPr>
          <w:sz w:val="20"/>
          <w:szCs w:val="20"/>
          <w:color w:val="auto"/>
        </w:rPr>
      </w:pPr>
    </w:p>
    <w:p>
      <w:pPr>
        <w:jc w:val="both"/>
        <w:ind w:firstLine="305"/>
        <w:spacing w:after="0" w:line="295" w:lineRule="auto"/>
        <w:rPr>
          <w:sz w:val="20"/>
          <w:szCs w:val="20"/>
          <w:color w:val="auto"/>
        </w:rPr>
      </w:pPr>
      <w:r>
        <w:rPr>
          <w:rFonts w:ascii="Arial" w:cs="Arial" w:eastAsia="Arial" w:hAnsi="Arial"/>
          <w:sz w:val="15"/>
          <w:szCs w:val="15"/>
          <w:color w:val="auto"/>
        </w:rPr>
        <w:t>The United Kingdom’s Financial Conduct Authority (the authority that regulates LIBOR) previously announced it intends to stop compelling banks to submit rates for the calculation of LIBOR after December 31, 2021 and the publication of the most commonly used U.S. dollar LIBOR settings will cease to be published after June 2023. While there is no consensus on what rate or rates may become accepted alternatives to LIBOR, the Alternative Reference Rates Committee has proposed the Secured Overnight Financing Rate (“SOFR”) as the alternative rate for use in derivatives and other financial contracts currently being indexed to LIBOR. SOFR is a daily index of the interest rate banks and hedge funds pay to borrow money overnight, secured by U.S. Treasury securities. At this time, it is not possible to predict whether SOFR will attain market traction as a LIBOR replacement tool, and the future of LIBOR is still uncertain.</w:t>
      </w:r>
    </w:p>
    <w:p>
      <w:pPr>
        <w:spacing w:after="0" w:line="154"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In October 2021, the federal bank regulatory agencies issued a Joint Statement on Managing the LIBOR Transition. In that guidance, the agencies offered their regulatory expectations and outlined potential supervisory and enforcement consequences for banks that fail to adequately plan for and implement the transition away from LIBOR. The failure to properly transition away from LIBOR may result in increased supervisory scrutiny. In addition, the implementation of LIBOR reform proposals may result in increased compliance costs and operational costs, including costs related to continued participation in LIBOR and the transition to a replacement reference rate or rates. We cannot reasonably estimate the expected cost. At December 31, 2022, we had interest-rate swap contracts and other borrowings indexed to LIBOR.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 outflows may increase reliance on borrowings and brokered deposits as sources of funds.</w:t>
      </w:r>
    </w:p>
    <w:p>
      <w:pPr>
        <w:spacing w:after="0" w:line="212" w:lineRule="exact"/>
        <w:rPr>
          <w:sz w:val="20"/>
          <w:szCs w:val="20"/>
          <w:color w:val="auto"/>
        </w:rPr>
      </w:pPr>
    </w:p>
    <w:p>
      <w:pPr>
        <w:jc w:val="both"/>
        <w:ind w:firstLine="305"/>
        <w:spacing w:after="0" w:line="272" w:lineRule="auto"/>
        <w:rPr>
          <w:sz w:val="20"/>
          <w:szCs w:val="20"/>
          <w:color w:val="auto"/>
        </w:rPr>
      </w:pPr>
      <w:r>
        <w:rPr>
          <w:rFonts w:ascii="Arial" w:cs="Arial" w:eastAsia="Arial" w:hAnsi="Arial"/>
          <w:sz w:val="16"/>
          <w:szCs w:val="16"/>
          <w:color w:val="auto"/>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impacted by an economic downturn or a natural disaster affecting one or more of our market areas.</w:t>
      </w:r>
    </w:p>
    <w:p>
      <w:pPr>
        <w:spacing w:after="0" w:line="212" w:lineRule="exact"/>
        <w:rPr>
          <w:sz w:val="20"/>
          <w:szCs w:val="20"/>
          <w:color w:val="auto"/>
        </w:rPr>
      </w:pPr>
    </w:p>
    <w:p>
      <w:pPr>
        <w:jc w:val="both"/>
        <w:ind w:firstLine="305"/>
        <w:spacing w:after="0" w:line="273" w:lineRule="auto"/>
        <w:rPr>
          <w:sz w:val="20"/>
          <w:szCs w:val="20"/>
          <w:color w:val="auto"/>
        </w:rPr>
      </w:pPr>
      <w:r>
        <w:rPr>
          <w:rFonts w:ascii="Arial" w:cs="Arial" w:eastAsia="Arial" w:hAnsi="Arial"/>
          <w:sz w:val="16"/>
          <w:szCs w:val="16"/>
          <w:color w:val="auto"/>
        </w:rPr>
        <w:t>Because most of our business activities are conducted in Texas and New Mexico and most of our credit exposure is there, we are at risk to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Mortgage originations have decreased due to declines in refinance activity, and this trend may continue.</w:t>
      </w:r>
    </w:p>
    <w:p>
      <w:pPr>
        <w:spacing w:after="0" w:line="212"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Mortgage revenues, which are primarily recognized from the sale in the secondary market of mortgage loans, are a source of noninterest income for the Bank and a contributor to the Bank’s net income. Mortgage revenues for the year ended December 31, 2022 were $31.4 million. As market interest rates have increased from the prior low rate environment, there may be fewer opportunities for financial institutions to originate loans to refinance existing mortgages. If mortgage originations continue to decrease, projected mortgage revenues and noninterest income will decrease.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conditions could have a material impact on our ability to sell originated mortgages in the secondary market.</w:t>
      </w:r>
    </w:p>
    <w:p>
      <w:pPr>
        <w:spacing w:after="0" w:line="212"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6"/>
          <w:szCs w:val="16"/>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value of our mortgage servicing rights can be volatile.</w:t>
      </w:r>
    </w:p>
    <w:p>
      <w:pPr>
        <w:spacing w:after="0" w:line="212" w:lineRule="exact"/>
        <w:rPr>
          <w:sz w:val="20"/>
          <w:szCs w:val="20"/>
          <w:color w:val="auto"/>
        </w:rPr>
      </w:pPr>
    </w:p>
    <w:p>
      <w:pPr>
        <w:jc w:val="both"/>
        <w:ind w:firstLine="305"/>
        <w:spacing w:after="0" w:line="262" w:lineRule="auto"/>
        <w:rPr>
          <w:sz w:val="20"/>
          <w:szCs w:val="20"/>
          <w:color w:val="auto"/>
        </w:rPr>
      </w:pPr>
      <w:r>
        <w:rPr>
          <w:rFonts w:ascii="Arial" w:cs="Arial" w:eastAsia="Arial" w:hAnsi="Arial"/>
          <w:sz w:val="17"/>
          <w:szCs w:val="17"/>
          <w:color w:val="auto"/>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175" w:lineRule="exact"/>
        <w:rPr>
          <w:sz w:val="20"/>
          <w:szCs w:val="20"/>
          <w:color w:val="auto"/>
        </w:rPr>
      </w:pPr>
    </w:p>
    <w:p>
      <w:pPr>
        <w:jc w:val="both"/>
        <w:ind w:firstLine="305"/>
        <w:spacing w:after="0" w:line="293" w:lineRule="auto"/>
        <w:rPr>
          <w:sz w:val="20"/>
          <w:szCs w:val="20"/>
          <w:color w:val="auto"/>
        </w:rPr>
      </w:pPr>
      <w:r>
        <w:rPr>
          <w:rFonts w:ascii="Arial" w:cs="Arial" w:eastAsia="Arial" w:hAnsi="Arial"/>
          <w:sz w:val="15"/>
          <w:szCs w:val="15"/>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$27.5 million of mortgage servicing rights as of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risk management framework may not be effective in mitigating risks or losses to us.</w:t>
      </w:r>
    </w:p>
    <w:p>
      <w:pPr>
        <w:spacing w:after="0" w:line="212" w:lineRule="exact"/>
        <w:rPr>
          <w:sz w:val="20"/>
          <w:szCs w:val="20"/>
          <w:color w:val="auto"/>
        </w:rPr>
      </w:pPr>
    </w:p>
    <w:p>
      <w:pPr>
        <w:jc w:val="both"/>
        <w:ind w:firstLine="305"/>
        <w:spacing w:after="0" w:line="275" w:lineRule="auto"/>
        <w:rPr>
          <w:sz w:val="20"/>
          <w:szCs w:val="20"/>
          <w:color w:val="auto"/>
        </w:rPr>
      </w:pPr>
      <w:r>
        <w:rPr>
          <w:rFonts w:ascii="Arial" w:cs="Arial" w:eastAsia="Arial" w:hAnsi="Arial"/>
          <w:sz w:val="16"/>
          <w:szCs w:val="16"/>
          <w:color w:val="auto"/>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65" w:lineRule="exact"/>
        <w:rPr>
          <w:sz w:val="20"/>
          <w:szCs w:val="20"/>
          <w:color w:val="auto"/>
        </w:rPr>
      </w:pPr>
    </w:p>
    <w:p>
      <w:pPr>
        <w:jc w:val="both"/>
        <w:ind w:firstLine="305"/>
        <w:spacing w:after="0" w:line="256" w:lineRule="auto"/>
        <w:rPr>
          <w:sz w:val="20"/>
          <w:szCs w:val="20"/>
          <w:color w:val="auto"/>
        </w:rPr>
      </w:pPr>
      <w:r>
        <w:rPr>
          <w:rFonts w:ascii="Arial" w:cs="Arial" w:eastAsia="Arial" w:hAnsi="Arial"/>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180"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7"/>
          <w:szCs w:val="17"/>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investment performance, fiduciary and asset servicing risks associated with our trust operations.</w:t>
      </w:r>
    </w:p>
    <w:p>
      <w:pPr>
        <w:spacing w:after="0" w:line="212" w:lineRule="exact"/>
        <w:rPr>
          <w:sz w:val="20"/>
          <w:szCs w:val="20"/>
          <w:color w:val="auto"/>
        </w:rPr>
      </w:pPr>
    </w:p>
    <w:p>
      <w:pPr>
        <w:jc w:val="both"/>
        <w:ind w:firstLine="305"/>
        <w:spacing w:after="0" w:line="256" w:lineRule="auto"/>
        <w:rPr>
          <w:sz w:val="20"/>
          <w:szCs w:val="20"/>
          <w:color w:val="auto"/>
        </w:rPr>
      </w:pPr>
      <w:r>
        <w:rPr>
          <w:rFonts w:ascii="Arial" w:cs="Arial" w:eastAsia="Arial" w:hAnsi="Arial"/>
          <w:sz w:val="17"/>
          <w:szCs w:val="17"/>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cybersecurity risks associated with our internet-based systems and online commerce security.</w:t>
      </w:r>
    </w:p>
    <w:p>
      <w:pPr>
        <w:spacing w:after="0" w:line="212" w:lineRule="exact"/>
        <w:rPr>
          <w:sz w:val="20"/>
          <w:szCs w:val="20"/>
          <w:color w:val="auto"/>
        </w:rPr>
      </w:pPr>
    </w:p>
    <w:p>
      <w:pPr>
        <w:jc w:val="both"/>
        <w:ind w:firstLine="305"/>
        <w:spacing w:after="0" w:line="272" w:lineRule="auto"/>
        <w:rPr>
          <w:sz w:val="20"/>
          <w:szCs w:val="20"/>
          <w:color w:val="auto"/>
        </w:rPr>
      </w:pPr>
      <w:r>
        <w:rPr>
          <w:rFonts w:ascii="Arial" w:cs="Arial" w:eastAsia="Arial" w:hAnsi="Arial"/>
          <w:sz w:val="16"/>
          <w:szCs w:val="16"/>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170" w:lineRule="exact"/>
        <w:rPr>
          <w:sz w:val="20"/>
          <w:szCs w:val="20"/>
          <w:color w:val="auto"/>
        </w:rPr>
      </w:pPr>
    </w:p>
    <w:p>
      <w:pPr>
        <w:jc w:val="both"/>
        <w:ind w:firstLine="305"/>
        <w:spacing w:after="0" w:line="256" w:lineRule="auto"/>
        <w:rPr>
          <w:sz w:val="20"/>
          <w:szCs w:val="20"/>
          <w:color w:val="auto"/>
        </w:rPr>
      </w:pPr>
      <w:r>
        <w:rPr>
          <w:rFonts w:ascii="Arial" w:cs="Arial" w:eastAsia="Arial" w:hAnsi="Arial"/>
          <w:sz w:val="17"/>
          <w:szCs w:val="17"/>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operations could be interrupted if our third-party service providers experience difficulty, terminate their services or fail to comply with banking regulations.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are subject to certain operating risks related to employee error and customer, employee and third party misconduct, which could harm our reputation and business.</w:t>
      </w:r>
    </w:p>
    <w:p>
      <w:pPr>
        <w:spacing w:after="0" w:line="165"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Employee error or employee and customer misconduct could subject us to financial losses or regulatory sanctions and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heavily on our management team and the unexpected loss of key officers may adversely affect our operations.</w:t>
      </w:r>
    </w:p>
    <w:p>
      <w:pPr>
        <w:spacing w:after="0" w:line="212"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ability to develop, retain and recruit additional successful bankers is critical to the success of our business strategy, and any failure to do so could adversely affect our business, financial condition, results of operations and future prospects.</w:t>
      </w:r>
    </w:p>
    <w:p>
      <w:pPr>
        <w:spacing w:after="0" w:line="165"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Our ability to retain and grow our loans, deposits and fee income depends upon the business generation capabilities, reputation and relationship management skills of our bankers, many of whom we develop internally. If we lose the services of any of our bankers, including successful bankers employed by financial institutions that we may acquire, to a new or existing competitor or otherwise, or fail to successfully recruit bankers or develop bankers internally, we may not be able to implement our growth strategy, retain valuable relationships and some of our customers could choose to use the services of a competitor instead of our services. Additionally, we may incur significant expenses and expend significant time and resources on training, integration and business development before it is able to determine whether a new banker will be profitable or effective. If we are unable to develop, attract or retain successful bankers, or if our bankers fail to meet our expectations in terms of customer relationships and profitability, we may be unable to execute our business strategy and our business, financial condition, results of operations and future prospects may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 from other financial intermediaries may adversely affect our profitability.</w:t>
      </w:r>
    </w:p>
    <w:p>
      <w:pPr>
        <w:spacing w:after="0" w:line="212"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we may not be able to accurately report its financial results or prevent fraud.</w:t>
      </w:r>
    </w:p>
    <w:p>
      <w:pPr>
        <w:spacing w:after="0" w:line="224"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obligations associated with being a public company require significant resources and management attention.</w:t>
      </w:r>
    </w:p>
    <w:p>
      <w:pPr>
        <w:spacing w:after="0" w:line="212"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5"/>
          <w:szCs w:val="15"/>
          <w:color w:val="auto"/>
        </w:rPr>
        <w:t>We expect to incur significant incremental costs related to operating as a public company, particularly when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equity compensation plan will cause dilution and increase our costs, which will reduce our income.</w:t>
      </w:r>
    </w:p>
    <w:p>
      <w:pPr>
        <w:spacing w:after="0" w:line="21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Negative public opinion could damage our reputation and adversely impact our earnings.</w:t>
      </w:r>
    </w:p>
    <w:p>
      <w:pPr>
        <w:spacing w:after="0" w:line="212" w:lineRule="exact"/>
        <w:rPr>
          <w:sz w:val="20"/>
          <w:szCs w:val="20"/>
          <w:color w:val="auto"/>
        </w:rPr>
      </w:pPr>
    </w:p>
    <w:p>
      <w:pPr>
        <w:jc w:val="both"/>
        <w:ind w:firstLine="306"/>
        <w:spacing w:after="0" w:line="288" w:lineRule="auto"/>
        <w:rPr>
          <w:sz w:val="20"/>
          <w:szCs w:val="20"/>
          <w:color w:val="auto"/>
        </w:rPr>
      </w:pPr>
      <w:r>
        <w:rPr>
          <w:rFonts w:ascii="Arial" w:cs="Arial" w:eastAsia="Arial" w:hAnsi="Arial"/>
          <w:sz w:val="15"/>
          <w:szCs w:val="15"/>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companies are facing increased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 In addition, new government regulations could also result in new or more stringent forms of ESG oversight and expanding mandatory and voluntary reporting, diligence, and disclosure. Increased ESG-related compliance costs could result in increases to our overall operational costs.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the soundness of other financial institutions.</w:t>
      </w:r>
    </w:p>
    <w:p>
      <w:pPr>
        <w:spacing w:after="0" w:line="21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Until May 31, 2018, our Company was an S Corporation, and claims of taxing authorities related to our prior status as an S Corporation could harm us. </w:t>
      </w:r>
    </w:p>
    <w:p>
      <w:pPr>
        <w:spacing w:after="0" w:line="235"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color w:val="auto"/>
        </w:rPr>
        <w:t>Until May 31, 2018, our Company was an S Corporation. Effective May 31, 2018, the Company revoked its S Corporation election and the Company became taxed as a C Corporation under the provisions of Sections 301 to 385 of the Internal Revenue Code of 1986, as amended (the “Code”) (which treat the corporation as an entity that is subject to an entity level U.S. federal income tax). If the unaudited, open tax years in which we were an S Corporation are audited by the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operate in a highly regulated environment and the laws and regulations that govern our operations, corporate governance, executive compensation and accounting principles, or changes in them, or failure to comply with them, could adversely affect us.</w:t>
      </w:r>
    </w:p>
    <w:p>
      <w:pPr>
        <w:spacing w:after="0" w:line="165"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6"/>
          <w:szCs w:val="16"/>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For example, the Dodd-Frank Act and related regulations, including the Home Mortgage Disclosure Act, subject us to additional restrictions, oversight and reporting obligations, which have significantly increased costs. And over the last several years, state and federal regulators have focused on enhanced risk management practices, mortgage law and regulation, compliance with the BSA and AML laws, data integrity and security, use of service providers, and fair lending and other consumer protection issues, which has increased our need to build additional processes and infrastructure. Government agencies charged with adopting and interpreting laws and regulations may do so in an unforeseen manner, including in ways that potentially expand the reach of the laws or regulations more than initially contemplated or currently anticipated. We cannot predict the substance or impact of pending or future legislation or regulation, or the application thereof.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commercial real estate lending guidance issued by the federal banking regulators that impacts our operations and capital requirements.</w:t>
      </w:r>
    </w:p>
    <w:p>
      <w:pPr>
        <w:spacing w:after="0" w:line="235"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5"/>
          <w:szCs w:val="15"/>
          <w:color w:val="auto"/>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As of December 31, 2022, our ADC loans comprised 99.8% of the Bank’s capital, and our non-owner occupied commercial real estate loans comprised 256.2% of the Bank’s capital.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Legislative and regulatory actions taken now or in the future may increase our costs and impact our business, governance structure, financial condition or results of operations.</w:t>
      </w:r>
    </w:p>
    <w:p>
      <w:pPr>
        <w:spacing w:after="0" w:line="165"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5"/>
          <w:szCs w:val="15"/>
          <w:color w:val="auto"/>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Many of our new activities and expansion plans require regulatory approvals, and failure to obtain them may restrict our growth.</w:t>
      </w:r>
    </w:p>
    <w:p>
      <w:pPr>
        <w:spacing w:after="0" w:line="21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Federal Reserve may require the Company to commit capital resources to support the Bank.</w:t>
      </w:r>
    </w:p>
    <w:p>
      <w:pPr>
        <w:spacing w:after="0" w:line="212" w:lineRule="exact"/>
        <w:rPr>
          <w:sz w:val="20"/>
          <w:szCs w:val="20"/>
          <w:color w:val="auto"/>
        </w:rPr>
      </w:pPr>
    </w:p>
    <w:p>
      <w:pPr>
        <w:jc w:val="both"/>
        <w:ind w:firstLine="306"/>
        <w:spacing w:after="0" w:line="275" w:lineRule="auto"/>
        <w:rPr>
          <w:sz w:val="20"/>
          <w:szCs w:val="20"/>
          <w:color w:val="auto"/>
        </w:rPr>
      </w:pPr>
      <w:r>
        <w:rPr>
          <w:rFonts w:ascii="Arial" w:cs="Arial" w:eastAsia="Arial" w:hAnsi="Arial"/>
          <w:sz w:val="16"/>
          <w:szCs w:val="16"/>
          <w:color w:val="auto"/>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As a regulated entity, we and the Bank must maintain certain required levels of regulatory capital that may limit our and the Bank’s operations and potential growth.</w:t>
      </w:r>
    </w:p>
    <w:p>
      <w:pPr>
        <w:spacing w:after="0" w:line="165" w:lineRule="exact"/>
        <w:rPr>
          <w:sz w:val="20"/>
          <w:szCs w:val="20"/>
          <w:color w:val="auto"/>
        </w:rPr>
      </w:pPr>
    </w:p>
    <w:p>
      <w:pPr>
        <w:jc w:val="both"/>
        <w:ind w:firstLine="306"/>
        <w:spacing w:after="0" w:line="290" w:lineRule="auto"/>
        <w:rPr>
          <w:sz w:val="20"/>
          <w:szCs w:val="20"/>
          <w:color w:val="auto"/>
        </w:rPr>
      </w:pPr>
      <w:r>
        <w:rPr>
          <w:rFonts w:ascii="Arial" w:cs="Arial" w:eastAsia="Arial" w:hAnsi="Arial"/>
          <w:sz w:val="15"/>
          <w:szCs w:val="15"/>
          <w:color w:val="auto"/>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165"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120" w:lineRule="exact"/>
        <w:rPr>
          <w:sz w:val="20"/>
          <w:szCs w:val="20"/>
          <w:color w:val="auto"/>
        </w:rPr>
      </w:pPr>
    </w:p>
    <w:p>
      <w:pPr>
        <w:jc w:val="both"/>
        <w:ind w:firstLine="306"/>
        <w:spacing w:after="0" w:line="298" w:lineRule="auto"/>
        <w:rPr>
          <w:sz w:val="20"/>
          <w:szCs w:val="20"/>
          <w:color w:val="auto"/>
        </w:rPr>
      </w:pPr>
      <w:r>
        <w:rPr>
          <w:rFonts w:ascii="Arial" w:cs="Arial" w:eastAsia="Arial" w:hAnsi="Arial"/>
          <w:sz w:val="15"/>
          <w:szCs w:val="15"/>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Failure to maintain and implement adequate programs to combat money laundering and terrorist financing could have serious reputational consequences for us.</w:t>
      </w:r>
    </w:p>
    <w:p>
      <w:pPr>
        <w:spacing w:after="0" w:line="165"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306"/>
        <w:spacing w:after="0" w:line="288" w:lineRule="auto"/>
        <w:rPr>
          <w:sz w:val="20"/>
          <w:szCs w:val="20"/>
          <w:color w:val="auto"/>
        </w:rPr>
      </w:pPr>
      <w:r>
        <w:rPr>
          <w:rFonts w:ascii="Arial" w:cs="Arial" w:eastAsia="Arial" w:hAnsi="Arial"/>
          <w:sz w:val="15"/>
          <w:szCs w:val="15"/>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increased risk under the terms of the CRA, as we accept additional deposits in new geographic markets.</w:t>
      </w:r>
    </w:p>
    <w:p>
      <w:pPr>
        <w:spacing w:after="0" w:line="212"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federal and state fair lending laws, and failure to comply with these laws could lead to material penalties.</w:t>
      </w:r>
    </w:p>
    <w:p>
      <w:pPr>
        <w:spacing w:after="0" w:line="212"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financial condition, earnings and asset quality could be adversely affected if our consumer facing operations do not operate in compliance with applicable regulations.</w:t>
      </w:r>
    </w:p>
    <w:p>
      <w:pPr>
        <w:spacing w:after="0" w:line="165" w:lineRule="exact"/>
        <w:rPr>
          <w:sz w:val="20"/>
          <w:szCs w:val="20"/>
          <w:color w:val="auto"/>
        </w:rPr>
      </w:pPr>
    </w:p>
    <w:p>
      <w:pPr>
        <w:jc w:val="both"/>
        <w:ind w:firstLine="306"/>
        <w:spacing w:after="0" w:line="293" w:lineRule="auto"/>
        <w:rPr>
          <w:sz w:val="20"/>
          <w:szCs w:val="20"/>
          <w:color w:val="auto"/>
        </w:rPr>
      </w:pPr>
      <w:r>
        <w:rPr>
          <w:rFonts w:ascii="Arial" w:cs="Arial" w:eastAsia="Arial" w:hAnsi="Arial"/>
          <w:sz w:val="15"/>
          <w:szCs w:val="15"/>
          <w:color w:val="auto"/>
        </w:rPr>
        <w:t>While all aspects of our operations are subject to detailed and complex compliance regimes, those portions of our lending operations which most directly deal with consumers pose particular challenges given the emphasis on consumer compliance by bank regulators at all levels. Residential mortgage lending raises significant compliance risks resulting from the detailed and complex nature of mortgage lending regulations imposed by federal regulatory agencies, and the relatively independent operating environment in which mortgage lending officers operate. In addition, some regulatory frameworks provide for the imposition of fines or penalties for noncompliance, even if noncompliance was inadvertent or unintentional. As a result, despite the education, compliance training, supervision and oversight we exercise in these areas, failure to comply with applicable laws and regulations, even if noncompliance is inadvertent or unintentional, could result in the Bank being strictly liable for restitution or damages to individual borrowers and could expose the Bank to other regulatory enforcement activity.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public trading market may not be sustained.</w:t>
      </w:r>
    </w:p>
    <w:p>
      <w:pPr>
        <w:spacing w:after="0" w:line="212" w:lineRule="exact"/>
        <w:rPr>
          <w:sz w:val="20"/>
          <w:szCs w:val="20"/>
          <w:color w:val="auto"/>
        </w:rPr>
      </w:pPr>
    </w:p>
    <w:p>
      <w:pPr>
        <w:jc w:val="both"/>
        <w:ind w:firstLine="306"/>
        <w:spacing w:after="0" w:line="258" w:lineRule="auto"/>
        <w:rPr>
          <w:sz w:val="20"/>
          <w:szCs w:val="20"/>
          <w:color w:val="auto"/>
        </w:rPr>
      </w:pPr>
      <w:r>
        <w:rPr>
          <w:rFonts w:ascii="Arial" w:cs="Arial" w:eastAsia="Arial" w:hAnsi="Arial"/>
          <w:sz w:val="17"/>
          <w:szCs w:val="17"/>
          <w:color w:val="auto"/>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The market price of our common stock could be volatile and may fluctuate significantly, which could cause the value of an investment in our common stock to decline, result in losses to our shareholders and litigation against us.</w:t>
      </w:r>
    </w:p>
    <w:p>
      <w:pPr>
        <w:spacing w:after="0" w:line="165" w:lineRule="exact"/>
        <w:rPr>
          <w:sz w:val="20"/>
          <w:szCs w:val="20"/>
          <w:color w:val="auto"/>
        </w:rPr>
      </w:pPr>
    </w:p>
    <w:p>
      <w:pPr>
        <w:jc w:val="both"/>
        <w:ind w:firstLine="306"/>
        <w:spacing w:after="0" w:line="254" w:lineRule="auto"/>
        <w:rPr>
          <w:sz w:val="20"/>
          <w:szCs w:val="20"/>
          <w:color w:val="auto"/>
        </w:rPr>
      </w:pPr>
      <w:r>
        <w:rPr>
          <w:rFonts w:ascii="Arial" w:cs="Arial" w:eastAsia="Arial" w:hAnsi="Arial"/>
          <w:sz w:val="17"/>
          <w:szCs w:val="17"/>
          <w:color w:val="auto"/>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sectPr>
          <w:pgSz w:w="11900" w:h="16838" w:orient="portrait"/>
          <w:cols w:equalWidth="0" w:num="1">
            <w:col w:w="11240"/>
          </w:cols>
          <w:pgMar w:left="320" w:top="121"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Future equity issuances, including through our current or any future equity compensation plans, could result in dilution, which could cause the price of our shares of common stock to decline.</w:t>
      </w:r>
    </w:p>
    <w:p>
      <w:pPr>
        <w:spacing w:after="0" w:line="165"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65"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 and executive officers have significant control over our business.</w:t>
      </w:r>
    </w:p>
    <w:p>
      <w:pPr>
        <w:spacing w:after="0" w:line="212" w:lineRule="exact"/>
        <w:rPr>
          <w:sz w:val="20"/>
          <w:szCs w:val="20"/>
          <w:color w:val="auto"/>
        </w:rPr>
      </w:pPr>
    </w:p>
    <w:p>
      <w:pPr>
        <w:jc w:val="both"/>
        <w:ind w:firstLine="306"/>
        <w:spacing w:after="0" w:line="293" w:lineRule="auto"/>
        <w:rPr>
          <w:sz w:val="20"/>
          <w:szCs w:val="20"/>
          <w:color w:val="auto"/>
        </w:rPr>
      </w:pPr>
      <w:r>
        <w:rPr>
          <w:rFonts w:ascii="Arial" w:cs="Arial" w:eastAsia="Arial" w:hAnsi="Arial"/>
          <w:sz w:val="15"/>
          <w:szCs w:val="15"/>
          <w:color w:val="auto"/>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165"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6"/>
          <w:szCs w:val="16"/>
          <w:color w:val="auto"/>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dividend policy may change without notice, and our future ability to pay dividends is subject to restrictions.</w:t>
      </w:r>
    </w:p>
    <w:p>
      <w:pPr>
        <w:spacing w:after="0" w:line="21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 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bank holding company and our only source of cash, other than issuances of securities, is distributions from the Bank.</w:t>
      </w:r>
    </w:p>
    <w:p>
      <w:pPr>
        <w:spacing w:after="0" w:line="212" w:lineRule="exact"/>
        <w:rPr>
          <w:sz w:val="20"/>
          <w:szCs w:val="20"/>
          <w:color w:val="auto"/>
        </w:rPr>
      </w:pPr>
    </w:p>
    <w:p>
      <w:pPr>
        <w:jc w:val="both"/>
        <w:ind w:firstLine="306"/>
        <w:spacing w:after="0" w:line="262" w:lineRule="auto"/>
        <w:rPr>
          <w:sz w:val="20"/>
          <w:szCs w:val="20"/>
          <w:color w:val="auto"/>
        </w:rPr>
      </w:pPr>
      <w:r>
        <w:rPr>
          <w:rFonts w:ascii="Arial" w:cs="Arial" w:eastAsia="Arial" w:hAnsi="Arial"/>
          <w:sz w:val="17"/>
          <w:szCs w:val="17"/>
          <w:color w:val="auto"/>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are an “emerging growth company,” and the reduced reporting requirements applicable to emerging growth companies may make our common stock less attractive to investors.</w:t>
      </w:r>
    </w:p>
    <w:p>
      <w:pPr>
        <w:spacing w:after="0" w:line="165" w:lineRule="exact"/>
        <w:rPr>
          <w:sz w:val="20"/>
          <w:szCs w:val="20"/>
          <w:color w:val="auto"/>
        </w:rPr>
      </w:pPr>
    </w:p>
    <w:p>
      <w:pPr>
        <w:jc w:val="both"/>
        <w:ind w:firstLine="306"/>
        <w:spacing w:after="0" w:line="272" w:lineRule="auto"/>
        <w:rPr>
          <w:sz w:val="20"/>
          <w:szCs w:val="20"/>
          <w:color w:val="auto"/>
        </w:rPr>
      </w:pPr>
      <w:r>
        <w:rPr>
          <w:rFonts w:ascii="Arial" w:cs="Arial" w:eastAsia="Arial" w:hAnsi="Arial"/>
          <w:sz w:val="16"/>
          <w:szCs w:val="16"/>
          <w:color w:val="auto"/>
        </w:rPr>
        <w:t>We are an “emerging growth company,” as defined in The Jumpstart Our Business Startups Act (“JOBS Act”), and we have taken advantage of certain reduced regulatory and reporting requirements that are otherwise generally applicable to public companies that are not emerging growth companies. We may take advantage of these provisions for up to five years after the date of our initial public offering,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Investors and securities analysts may find it more difficult to evaluate our common stock because we may rely on one or more of these exemptions, and, as a result, investor confidence and the market price of our common stock may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our common stock is not an insured deposit and is subject to risk of loss.</w:t>
      </w:r>
    </w:p>
    <w:p>
      <w:pPr>
        <w:spacing w:after="0" w:line="212"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7"/>
          <w:szCs w:val="17"/>
          <w:color w:val="auto"/>
        </w:rPr>
        <w:t>An investment in our common stock is not a bank deposit and is not insured against loss or guaranteed by the FDIC, any deposit insurance fund or by any other public or private entity. As a result, you could lose some or all of your investment.</w:t>
      </w:r>
    </w:p>
    <w:p>
      <w:pPr>
        <w:spacing w:after="0" w:line="365"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16" w:lineRule="exact"/>
        <w:rPr>
          <w:sz w:val="20"/>
          <w:szCs w:val="20"/>
          <w:color w:val="auto"/>
        </w:rPr>
      </w:pPr>
    </w:p>
    <w:p>
      <w:pPr>
        <w:jc w:val="both"/>
        <w:ind w:firstLine="305"/>
        <w:spacing w:after="0" w:line="306" w:lineRule="auto"/>
        <w:rPr>
          <w:sz w:val="20"/>
          <w:szCs w:val="20"/>
          <w:color w:val="auto"/>
        </w:rPr>
      </w:pPr>
      <w:r>
        <w:rPr>
          <w:rFonts w:ascii="Arial" w:cs="Arial" w:eastAsia="Arial" w:hAnsi="Arial"/>
          <w:sz w:val="16"/>
          <w:szCs w:val="16"/>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ectPr>
          <w:pgSz w:w="11900" w:h="16838" w:orient="portrait"/>
          <w:cols w:equalWidth="0" w:num="1">
            <w:col w:w="11240"/>
          </w:cols>
          <w:pgMar w:left="320" w:top="122" w:right="339" w:bottom="1440" w:gutter="0" w:footer="0" w:header="0"/>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Lubbock/South Plains</w:t>
            </w:r>
          </w:p>
        </w:tc>
      </w:tr>
      <w:tr>
        <w:trPr>
          <w:trHeight w:val="209"/>
        </w:trPr>
        <w:tc>
          <w:tcPr>
            <w:tcW w:w="20" w:type="dxa"/>
            <w:vAlign w:val="bottom"/>
          </w:tcPr>
          <w:p>
            <w:pPr>
              <w:spacing w:after="0"/>
              <w:rPr>
                <w:sz w:val="18"/>
                <w:szCs w:val="18"/>
                <w:color w:val="auto"/>
              </w:rPr>
            </w:pPr>
          </w:p>
        </w:tc>
        <w:tc>
          <w:tcPr>
            <w:tcW w:w="188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Location</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80"/>
        </w:trPr>
        <w:tc>
          <w:tcPr>
            <w:tcW w:w="20" w:type="dxa"/>
            <w:vAlign w:val="bottom"/>
          </w:tcPr>
          <w:p>
            <w:pPr>
              <w:spacing w:after="0"/>
              <w:rPr>
                <w:sz w:val="15"/>
                <w:szCs w:val="15"/>
                <w:color w:val="auto"/>
              </w:rPr>
            </w:pPr>
          </w:p>
        </w:tc>
        <w:tc>
          <w:tcPr>
            <w:tcW w:w="1880" w:type="dxa"/>
            <w:vAlign w:val="bottom"/>
          </w:tcPr>
          <w:p>
            <w:pPr>
              <w:spacing w:after="0" w:line="180" w:lineRule="exact"/>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80" w:lineRule="exact"/>
              <w:rPr>
                <w:sz w:val="20"/>
                <w:szCs w:val="20"/>
                <w:color w:val="auto"/>
              </w:rPr>
            </w:pPr>
            <w:r>
              <w:rPr>
                <w:rFonts w:ascii="Arial" w:cs="Arial" w:eastAsia="Arial" w:hAnsi="Arial"/>
                <w:sz w:val="17"/>
                <w:szCs w:val="17"/>
                <w:color w:val="auto"/>
                <w:w w:val="92"/>
              </w:rPr>
              <w:t>Main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line="203" w:lineRule="exact"/>
              <w:rPr>
                <w:sz w:val="20"/>
                <w:szCs w:val="20"/>
                <w:color w:val="auto"/>
              </w:rPr>
            </w:pPr>
            <w:r>
              <w:rPr>
                <w:rFonts w:ascii="Arial" w:cs="Arial" w:eastAsia="Arial" w:hAnsi="Arial"/>
                <w:sz w:val="14"/>
                <w:szCs w:val="14"/>
                <w:color w:val="auto"/>
              </w:rPr>
              <w:t>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Branch</w:t>
            </w:r>
          </w:p>
        </w:tc>
      </w:tr>
      <w:tr>
        <w:trPr>
          <w:trHeight w:val="215"/>
        </w:trPr>
        <w:tc>
          <w:tcPr>
            <w:tcW w:w="1900" w:type="dxa"/>
            <w:vAlign w:val="bottom"/>
            <w:gridSpan w:val="2"/>
          </w:tcPr>
          <w:p>
            <w:pPr>
              <w:spacing w:after="0"/>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line="214" w:lineRule="exact"/>
              <w:rPr>
                <w:sz w:val="20"/>
                <w:szCs w:val="20"/>
                <w:color w:val="auto"/>
              </w:rPr>
            </w:pPr>
            <w:r>
              <w:rPr>
                <w:rFonts w:ascii="Arial" w:cs="Arial" w:eastAsia="Arial" w:hAnsi="Arial"/>
                <w:sz w:val="15"/>
                <w:szCs w:val="15"/>
                <w:color w:val="auto"/>
                <w:w w:val="99"/>
              </w:rPr>
              <w:t>50</w:t>
            </w:r>
            <w:r>
              <w:rPr>
                <w:rFonts w:ascii="Arial" w:cs="Arial" w:eastAsia="Arial" w:hAnsi="Arial"/>
                <w:sz w:val="24"/>
                <w:szCs w:val="24"/>
                <w:color w:val="auto"/>
                <w:w w:val="99"/>
                <w:vertAlign w:val="superscript"/>
              </w:rPr>
              <w:t>th</w:t>
            </w:r>
            <w:r>
              <w:rPr>
                <w:rFonts w:ascii="Arial" w:cs="Arial" w:eastAsia="Arial" w:hAnsi="Arial"/>
                <w:sz w:val="15"/>
                <w:szCs w:val="15"/>
                <w:color w:val="auto"/>
                <w:w w:val="99"/>
              </w:rPr>
              <w:t xml:space="preserve"> and Indiana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0"/>
              </w:rPr>
              <w:t>Kingsgate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Milwaukee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0"/>
              </w:rPr>
              <w:t>Overton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Lubbock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University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Morton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Idalou</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215"/>
        </w:trPr>
        <w:tc>
          <w:tcPr>
            <w:tcW w:w="1900" w:type="dxa"/>
            <w:vAlign w:val="bottom"/>
            <w:gridSpan w:val="2"/>
          </w:tcPr>
          <w:p>
            <w:pPr>
              <w:spacing w:after="0"/>
              <w:rPr>
                <w:sz w:val="20"/>
                <w:szCs w:val="20"/>
                <w:color w:val="auto"/>
              </w:rPr>
            </w:pPr>
            <w:r>
              <w:rPr>
                <w:rFonts w:ascii="Arial" w:cs="Arial" w:eastAsia="Arial" w:hAnsi="Arial"/>
                <w:sz w:val="17"/>
                <w:szCs w:val="17"/>
                <w:color w:val="auto"/>
              </w:rPr>
              <w:t>Levelland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-1300480</wp:posOffset>
            </wp:positionV>
            <wp:extent cx="713994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-1033780</wp:posOffset>
            </wp:positionV>
            <wp:extent cx="7139940" cy="129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-775335</wp:posOffset>
            </wp:positionV>
            <wp:extent cx="7139940" cy="129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-516255</wp:posOffset>
            </wp:positionV>
            <wp:extent cx="7139940" cy="129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-257810</wp:posOffset>
            </wp:positionV>
            <wp:extent cx="7139940" cy="129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3"/>
          </w:tcPr>
          <w:p>
            <w:pPr>
              <w:ind w:left="440"/>
              <w:spacing w:after="0"/>
              <w:rPr>
                <w:sz w:val="20"/>
                <w:szCs w:val="20"/>
                <w:color w:val="auto"/>
              </w:rPr>
            </w:pPr>
            <w:r>
              <w:rPr>
                <w:rFonts w:ascii="Arial" w:cs="Arial" w:eastAsia="Arial" w:hAnsi="Arial"/>
                <w:sz w:val="17"/>
                <w:szCs w:val="17"/>
                <w:b w:val="1"/>
                <w:bCs w:val="1"/>
                <w:color w:val="auto"/>
              </w:rPr>
              <w:t>El Paso</w:t>
            </w:r>
          </w:p>
        </w:tc>
      </w:tr>
      <w:tr>
        <w:trPr>
          <w:trHeight w:val="209"/>
        </w:trPr>
        <w:tc>
          <w:tcPr>
            <w:tcW w:w="20" w:type="dxa"/>
            <w:vAlign w:val="bottom"/>
          </w:tcPr>
          <w:p>
            <w:pPr>
              <w:spacing w:after="0"/>
              <w:rPr>
                <w:sz w:val="18"/>
                <w:szCs w:val="18"/>
                <w:color w:val="auto"/>
              </w:rPr>
            </w:pPr>
          </w:p>
        </w:tc>
        <w:tc>
          <w:tcPr>
            <w:tcW w:w="214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Location</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91"/>
        </w:trPr>
        <w:tc>
          <w:tcPr>
            <w:tcW w:w="20" w:type="dxa"/>
            <w:vAlign w:val="bottom"/>
          </w:tcPr>
          <w:p>
            <w:pPr>
              <w:spacing w:after="0"/>
              <w:rPr>
                <w:sz w:val="16"/>
                <w:szCs w:val="16"/>
                <w:color w:val="auto"/>
              </w:rPr>
            </w:pPr>
          </w:p>
        </w:tc>
        <w:tc>
          <w:tcPr>
            <w:tcW w:w="2140" w:type="dxa"/>
            <w:vAlign w:val="bottom"/>
          </w:tcPr>
          <w:p>
            <w:pPr>
              <w:spacing w:after="0" w:line="191" w:lineRule="exact"/>
              <w:rPr>
                <w:sz w:val="20"/>
                <w:szCs w:val="20"/>
                <w:color w:val="auto"/>
              </w:rPr>
            </w:pPr>
            <w:r>
              <w:rPr>
                <w:rFonts w:ascii="Arial" w:cs="Arial" w:eastAsia="Arial" w:hAnsi="Arial"/>
                <w:sz w:val="17"/>
                <w:szCs w:val="17"/>
                <w:color w:val="auto"/>
              </w:rPr>
              <w:t>El Paso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Arial" w:cs="Arial" w:eastAsia="Arial" w:hAnsi="Arial"/>
                <w:sz w:val="17"/>
                <w:szCs w:val="17"/>
                <w:color w:val="auto"/>
                <w:w w:val="90"/>
              </w:rPr>
              <w:t>East Branch</w:t>
            </w:r>
          </w:p>
        </w:tc>
      </w:tr>
      <w:tr>
        <w:trPr>
          <w:trHeight w:val="204"/>
        </w:trPr>
        <w:tc>
          <w:tcPr>
            <w:tcW w:w="2160" w:type="dxa"/>
            <w:vAlign w:val="bottom"/>
            <w:gridSpan w:val="2"/>
          </w:tcPr>
          <w:p>
            <w:pPr>
              <w:spacing w:after="0"/>
              <w:rPr>
                <w:sz w:val="20"/>
                <w:szCs w:val="20"/>
                <w:color w:val="auto"/>
              </w:rPr>
            </w:pPr>
            <w:r>
              <w:rPr>
                <w:rFonts w:ascii="Arial" w:cs="Arial" w:eastAsia="Arial" w:hAnsi="Arial"/>
                <w:sz w:val="17"/>
                <w:szCs w:val="17"/>
                <w:color w:val="auto"/>
              </w:rPr>
              <w:t>El Paso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0"/>
              </w:rPr>
              <w:t>West Branch</w:t>
            </w:r>
          </w:p>
        </w:tc>
      </w:tr>
      <w:tr>
        <w:trPr>
          <w:trHeight w:val="215"/>
        </w:trPr>
        <w:tc>
          <w:tcPr>
            <w:tcW w:w="2160" w:type="dxa"/>
            <w:vAlign w:val="bottom"/>
            <w:gridSpan w:val="2"/>
          </w:tcPr>
          <w:p>
            <w:pPr>
              <w:spacing w:after="0"/>
              <w:rPr>
                <w:sz w:val="20"/>
                <w:szCs w:val="20"/>
                <w:color w:val="auto"/>
              </w:rPr>
            </w:pPr>
            <w:r>
              <w:rPr>
                <w:rFonts w:ascii="Arial" w:cs="Arial" w:eastAsia="Arial" w:hAnsi="Arial"/>
                <w:sz w:val="17"/>
                <w:szCs w:val="17"/>
                <w:color w:val="auto"/>
              </w:rPr>
              <w:t>El Paso</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Mesa Hills LPO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13994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-128270</wp:posOffset>
            </wp:positionV>
            <wp:extent cx="7139940"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center"/>
              <w:ind w:right="1795"/>
              <w:spacing w:after="0"/>
              <w:rPr>
                <w:sz w:val="20"/>
                <w:szCs w:val="20"/>
                <w:color w:val="auto"/>
              </w:rPr>
            </w:pPr>
            <w:r>
              <w:rPr>
                <w:rFonts w:ascii="Arial" w:cs="Arial" w:eastAsia="Arial" w:hAnsi="Arial"/>
                <w:sz w:val="17"/>
                <w:szCs w:val="17"/>
                <w:b w:val="1"/>
                <w:bCs w:val="1"/>
                <w:color w:val="auto"/>
                <w:w w:val="90"/>
              </w:rPr>
              <w:t>Bryan/College Station</w:t>
            </w:r>
          </w:p>
        </w:tc>
      </w:tr>
      <w:tr>
        <w:trPr>
          <w:trHeight w:val="209"/>
        </w:trPr>
        <w:tc>
          <w:tcPr>
            <w:tcW w:w="20" w:type="dxa"/>
            <w:vAlign w:val="bottom"/>
          </w:tcPr>
          <w:p>
            <w:pPr>
              <w:spacing w:after="0"/>
              <w:rPr>
                <w:sz w:val="18"/>
                <w:szCs w:val="18"/>
                <w:color w:val="auto"/>
              </w:rPr>
            </w:pPr>
          </w:p>
        </w:tc>
        <w:tc>
          <w:tcPr>
            <w:tcW w:w="188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Location</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91"/>
        </w:trPr>
        <w:tc>
          <w:tcPr>
            <w:tcW w:w="20" w:type="dxa"/>
            <w:vAlign w:val="bottom"/>
          </w:tcPr>
          <w:p>
            <w:pPr>
              <w:spacing w:after="0"/>
              <w:rPr>
                <w:sz w:val="16"/>
                <w:szCs w:val="16"/>
                <w:color w:val="auto"/>
              </w:rPr>
            </w:pPr>
          </w:p>
        </w:tc>
        <w:tc>
          <w:tcPr>
            <w:tcW w:w="1880" w:type="dxa"/>
            <w:vAlign w:val="bottom"/>
          </w:tcPr>
          <w:p>
            <w:pPr>
              <w:spacing w:after="0" w:line="191" w:lineRule="exact"/>
              <w:rPr>
                <w:sz w:val="20"/>
                <w:szCs w:val="20"/>
                <w:color w:val="auto"/>
              </w:rPr>
            </w:pPr>
            <w:r>
              <w:rPr>
                <w:rFonts w:ascii="Arial" w:cs="Arial" w:eastAsia="Arial" w:hAnsi="Arial"/>
                <w:sz w:val="17"/>
                <w:szCs w:val="17"/>
                <w:color w:val="auto"/>
              </w:rPr>
              <w:t>College Station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Arial" w:cs="Arial" w:eastAsia="Arial" w:hAnsi="Arial"/>
                <w:sz w:val="17"/>
                <w:szCs w:val="17"/>
                <w:color w:val="auto"/>
                <w:w w:val="89"/>
              </w:rPr>
              <w:t>Branch</w:t>
            </w:r>
          </w:p>
        </w:tc>
      </w:tr>
      <w:tr>
        <w:trPr>
          <w:trHeight w:val="215"/>
        </w:trPr>
        <w:tc>
          <w:tcPr>
            <w:tcW w:w="1900" w:type="dxa"/>
            <w:vAlign w:val="bottom"/>
            <w:gridSpan w:val="2"/>
          </w:tcPr>
          <w:p>
            <w:pPr>
              <w:spacing w:after="0"/>
              <w:rPr>
                <w:sz w:val="20"/>
                <w:szCs w:val="20"/>
                <w:color w:val="auto"/>
              </w:rPr>
            </w:pPr>
            <w:r>
              <w:rPr>
                <w:rFonts w:ascii="Arial" w:cs="Arial" w:eastAsia="Arial" w:hAnsi="Arial"/>
                <w:sz w:val="17"/>
                <w:szCs w:val="17"/>
                <w:color w:val="auto"/>
              </w:rPr>
              <w:t>College Station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LPO</w:t>
            </w:r>
          </w:p>
        </w:tc>
      </w:tr>
      <w:tr>
        <w:trPr>
          <w:trHeight w:val="414"/>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jc w:val="center"/>
              <w:ind w:right="1795"/>
              <w:spacing w:after="0"/>
              <w:rPr>
                <w:sz w:val="20"/>
                <w:szCs w:val="20"/>
                <w:color w:val="auto"/>
              </w:rPr>
            </w:pPr>
            <w:r>
              <w:rPr>
                <w:rFonts w:ascii="Arial" w:cs="Arial" w:eastAsia="Arial" w:hAnsi="Arial"/>
                <w:sz w:val="17"/>
                <w:szCs w:val="17"/>
                <w:b w:val="1"/>
                <w:bCs w:val="1"/>
                <w:color w:val="auto"/>
                <w:w w:val="91"/>
              </w:rPr>
              <w:t>The Permian Basin</w:t>
            </w:r>
          </w:p>
        </w:tc>
      </w:tr>
      <w:tr>
        <w:trPr>
          <w:trHeight w:val="209"/>
        </w:trPr>
        <w:tc>
          <w:tcPr>
            <w:tcW w:w="20" w:type="dxa"/>
            <w:vAlign w:val="bottom"/>
          </w:tcPr>
          <w:p>
            <w:pPr>
              <w:spacing w:after="0"/>
              <w:rPr>
                <w:sz w:val="18"/>
                <w:szCs w:val="18"/>
                <w:color w:val="auto"/>
              </w:rPr>
            </w:pPr>
          </w:p>
        </w:tc>
        <w:tc>
          <w:tcPr>
            <w:tcW w:w="188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Location</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91"/>
        </w:trPr>
        <w:tc>
          <w:tcPr>
            <w:tcW w:w="20" w:type="dxa"/>
            <w:vAlign w:val="bottom"/>
          </w:tcPr>
          <w:p>
            <w:pPr>
              <w:spacing w:after="0"/>
              <w:rPr>
                <w:sz w:val="16"/>
                <w:szCs w:val="16"/>
                <w:color w:val="auto"/>
              </w:rPr>
            </w:pPr>
          </w:p>
        </w:tc>
        <w:tc>
          <w:tcPr>
            <w:tcW w:w="1880" w:type="dxa"/>
            <w:vAlign w:val="bottom"/>
          </w:tcPr>
          <w:p>
            <w:pPr>
              <w:spacing w:after="0" w:line="191" w:lineRule="exact"/>
              <w:rPr>
                <w:sz w:val="20"/>
                <w:szCs w:val="20"/>
                <w:color w:val="auto"/>
              </w:rPr>
            </w:pPr>
            <w:r>
              <w:rPr>
                <w:rFonts w:ascii="Arial" w:cs="Arial" w:eastAsia="Arial" w:hAnsi="Arial"/>
                <w:sz w:val="17"/>
                <w:szCs w:val="17"/>
                <w:color w:val="auto"/>
              </w:rPr>
              <w:t>Odessa</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Arial" w:cs="Arial" w:eastAsia="Arial" w:hAnsi="Arial"/>
                <w:sz w:val="17"/>
                <w:szCs w:val="17"/>
                <w:color w:val="auto"/>
                <w:w w:val="93"/>
              </w:rPr>
              <w:t>University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Odessa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1"/>
              </w:rPr>
              <w:t>Grandview 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Midland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Kermit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204"/>
        </w:trPr>
        <w:tc>
          <w:tcPr>
            <w:tcW w:w="1900" w:type="dxa"/>
            <w:vAlign w:val="bottom"/>
            <w:gridSpan w:val="2"/>
          </w:tcPr>
          <w:p>
            <w:pPr>
              <w:spacing w:after="0"/>
              <w:rPr>
                <w:sz w:val="20"/>
                <w:szCs w:val="20"/>
                <w:color w:val="auto"/>
              </w:rPr>
            </w:pPr>
            <w:r>
              <w:rPr>
                <w:rFonts w:ascii="Arial" w:cs="Arial" w:eastAsia="Arial" w:hAnsi="Arial"/>
                <w:sz w:val="17"/>
                <w:szCs w:val="17"/>
                <w:color w:val="auto"/>
              </w:rPr>
              <w:t>Fort Stockton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215"/>
        </w:trPr>
        <w:tc>
          <w:tcPr>
            <w:tcW w:w="1900" w:type="dxa"/>
            <w:vAlign w:val="bottom"/>
            <w:gridSpan w:val="2"/>
          </w:tcPr>
          <w:p>
            <w:pPr>
              <w:spacing w:after="0"/>
              <w:rPr>
                <w:sz w:val="20"/>
                <w:szCs w:val="20"/>
                <w:color w:val="auto"/>
              </w:rPr>
            </w:pPr>
            <w:r>
              <w:rPr>
                <w:rFonts w:ascii="Arial" w:cs="Arial" w:eastAsia="Arial" w:hAnsi="Arial"/>
                <w:sz w:val="17"/>
                <w:szCs w:val="17"/>
                <w:color w:val="auto"/>
              </w:rPr>
              <w:t>Monahans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89"/>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-1462405</wp:posOffset>
            </wp:positionV>
            <wp:extent cx="713994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-782955</wp:posOffset>
            </wp:positionV>
            <wp:extent cx="713994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-516255</wp:posOffset>
            </wp:positionV>
            <wp:extent cx="7139940" cy="129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-257810</wp:posOffset>
            </wp:positionV>
            <wp:extent cx="7139940"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8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rPr>
              <w:t>Dallas/Ft. Worth</w:t>
            </w:r>
          </w:p>
        </w:tc>
      </w:tr>
      <w:tr>
        <w:trPr>
          <w:trHeight w:val="209"/>
        </w:trPr>
        <w:tc>
          <w:tcPr>
            <w:tcW w:w="186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Location</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91"/>
        </w:trPr>
        <w:tc>
          <w:tcPr>
            <w:tcW w:w="1860" w:type="dxa"/>
            <w:vAlign w:val="bottom"/>
          </w:tcPr>
          <w:p>
            <w:pPr>
              <w:spacing w:after="0" w:line="191" w:lineRule="exact"/>
              <w:rPr>
                <w:sz w:val="20"/>
                <w:szCs w:val="20"/>
                <w:color w:val="auto"/>
              </w:rPr>
            </w:pPr>
            <w:r>
              <w:rPr>
                <w:rFonts w:ascii="Arial" w:cs="Arial" w:eastAsia="Arial" w:hAnsi="Arial"/>
                <w:sz w:val="17"/>
                <w:szCs w:val="17"/>
                <w:color w:val="auto"/>
              </w:rPr>
              <w:t>Plano</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Arial" w:cs="Arial" w:eastAsia="Arial" w:hAnsi="Arial"/>
                <w:sz w:val="17"/>
                <w:szCs w:val="17"/>
                <w:color w:val="auto"/>
                <w:w w:val="89"/>
              </w:rPr>
              <w:t>Branch</w:t>
            </w:r>
          </w:p>
        </w:tc>
      </w:tr>
      <w:tr>
        <w:trPr>
          <w:trHeight w:val="204"/>
        </w:trPr>
        <w:tc>
          <w:tcPr>
            <w:tcW w:w="1860" w:type="dxa"/>
            <w:vAlign w:val="bottom"/>
          </w:tcPr>
          <w:p>
            <w:pPr>
              <w:spacing w:after="0"/>
              <w:rPr>
                <w:sz w:val="20"/>
                <w:szCs w:val="20"/>
                <w:color w:val="auto"/>
              </w:rPr>
            </w:pPr>
            <w:r>
              <w:rPr>
                <w:rFonts w:ascii="Arial" w:cs="Arial" w:eastAsia="Arial" w:hAnsi="Arial"/>
                <w:sz w:val="17"/>
                <w:szCs w:val="17"/>
                <w:color w:val="auto"/>
              </w:rPr>
              <w:t>Dallas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2"/>
              </w:rPr>
              <w:t>Uptown Branch</w:t>
            </w:r>
          </w:p>
        </w:tc>
      </w:tr>
      <w:tr>
        <w:trPr>
          <w:trHeight w:val="204"/>
        </w:trPr>
        <w:tc>
          <w:tcPr>
            <w:tcW w:w="1860" w:type="dxa"/>
            <w:vAlign w:val="bottom"/>
          </w:tcPr>
          <w:p>
            <w:pPr>
              <w:spacing w:after="0"/>
              <w:rPr>
                <w:sz w:val="20"/>
                <w:szCs w:val="20"/>
                <w:color w:val="auto"/>
              </w:rPr>
            </w:pPr>
            <w:r>
              <w:rPr>
                <w:rFonts w:ascii="Arial" w:cs="Arial" w:eastAsia="Arial" w:hAnsi="Arial"/>
                <w:sz w:val="17"/>
                <w:szCs w:val="17"/>
                <w:color w:val="auto"/>
              </w:rPr>
              <w:t>Forney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204"/>
        </w:trPr>
        <w:tc>
          <w:tcPr>
            <w:tcW w:w="1860" w:type="dxa"/>
            <w:vAlign w:val="bottom"/>
          </w:tcPr>
          <w:p>
            <w:pPr>
              <w:spacing w:after="0"/>
              <w:rPr>
                <w:sz w:val="20"/>
                <w:szCs w:val="20"/>
                <w:color w:val="auto"/>
              </w:rPr>
            </w:pPr>
            <w:r>
              <w:rPr>
                <w:rFonts w:ascii="Arial" w:cs="Arial" w:eastAsia="Arial" w:hAnsi="Arial"/>
                <w:sz w:val="17"/>
                <w:szCs w:val="17"/>
                <w:color w:val="auto"/>
              </w:rPr>
              <w:t>Arlington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r>
        <w:trPr>
          <w:trHeight w:val="204"/>
        </w:trPr>
        <w:tc>
          <w:tcPr>
            <w:tcW w:w="1860" w:type="dxa"/>
            <w:vAlign w:val="bottom"/>
          </w:tcPr>
          <w:p>
            <w:pPr>
              <w:spacing w:after="0"/>
              <w:rPr>
                <w:sz w:val="20"/>
                <w:szCs w:val="20"/>
                <w:color w:val="auto"/>
              </w:rPr>
            </w:pPr>
            <w:r>
              <w:rPr>
                <w:rFonts w:ascii="Arial" w:cs="Arial" w:eastAsia="Arial" w:hAnsi="Arial"/>
                <w:sz w:val="17"/>
                <w:szCs w:val="17"/>
                <w:color w:val="auto"/>
              </w:rPr>
              <w:t>Dallas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6"/>
              </w:rPr>
              <w:t>Hillcrest LPO</w:t>
            </w:r>
          </w:p>
        </w:tc>
      </w:tr>
      <w:tr>
        <w:trPr>
          <w:trHeight w:val="204"/>
        </w:trPr>
        <w:tc>
          <w:tcPr>
            <w:tcW w:w="1860" w:type="dxa"/>
            <w:vAlign w:val="bottom"/>
          </w:tcPr>
          <w:p>
            <w:pPr>
              <w:spacing w:after="0"/>
              <w:rPr>
                <w:sz w:val="20"/>
                <w:szCs w:val="20"/>
                <w:color w:val="auto"/>
              </w:rPr>
            </w:pPr>
            <w:r>
              <w:rPr>
                <w:rFonts w:ascii="Arial" w:cs="Arial" w:eastAsia="Arial" w:hAnsi="Arial"/>
                <w:sz w:val="17"/>
                <w:szCs w:val="17"/>
                <w:color w:val="auto"/>
              </w:rPr>
              <w:t>Ft. Worth</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r>
        <w:trPr>
          <w:trHeight w:val="204"/>
        </w:trPr>
        <w:tc>
          <w:tcPr>
            <w:tcW w:w="1860" w:type="dxa"/>
            <w:vAlign w:val="bottom"/>
          </w:tcPr>
          <w:p>
            <w:pPr>
              <w:spacing w:after="0"/>
              <w:rPr>
                <w:sz w:val="20"/>
                <w:szCs w:val="20"/>
                <w:color w:val="auto"/>
              </w:rPr>
            </w:pPr>
            <w:r>
              <w:rPr>
                <w:rFonts w:ascii="Arial" w:cs="Arial" w:eastAsia="Arial" w:hAnsi="Arial"/>
                <w:sz w:val="17"/>
                <w:szCs w:val="17"/>
                <w:color w:val="auto"/>
              </w:rPr>
              <w:t>Grand Prairie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r>
        <w:trPr>
          <w:trHeight w:val="215"/>
        </w:trPr>
        <w:tc>
          <w:tcPr>
            <w:tcW w:w="1860" w:type="dxa"/>
            <w:vAlign w:val="bottom"/>
          </w:tcPr>
          <w:p>
            <w:pPr>
              <w:spacing w:after="0"/>
              <w:rPr>
                <w:sz w:val="20"/>
                <w:szCs w:val="20"/>
                <w:color w:val="auto"/>
              </w:rPr>
            </w:pPr>
            <w:r>
              <w:rPr>
                <w:rFonts w:ascii="Arial" w:cs="Arial" w:eastAsia="Arial" w:hAnsi="Arial"/>
                <w:sz w:val="17"/>
                <w:szCs w:val="17"/>
                <w:color w:val="auto"/>
              </w:rPr>
              <w:t>Southlake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bl>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7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3"/>
          </w:tcPr>
          <w:p>
            <w:pPr>
              <w:jc w:val="center"/>
              <w:ind w:right="1695"/>
              <w:spacing w:after="0"/>
              <w:rPr>
                <w:sz w:val="20"/>
                <w:szCs w:val="20"/>
                <w:color w:val="auto"/>
              </w:rPr>
            </w:pPr>
            <w:r>
              <w:rPr>
                <w:rFonts w:ascii="Arial" w:cs="Arial" w:eastAsia="Arial" w:hAnsi="Arial"/>
                <w:sz w:val="17"/>
                <w:szCs w:val="17"/>
                <w:b w:val="1"/>
                <w:bCs w:val="1"/>
                <w:color w:val="auto"/>
                <w:w w:val="89"/>
              </w:rPr>
              <w:t>Houston</w:t>
            </w:r>
          </w:p>
        </w:tc>
      </w:tr>
      <w:tr>
        <w:trPr>
          <w:trHeight w:val="209"/>
        </w:trPr>
        <w:tc>
          <w:tcPr>
            <w:tcW w:w="178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Location</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215"/>
        </w:trPr>
        <w:tc>
          <w:tcPr>
            <w:tcW w:w="1780" w:type="dxa"/>
            <w:vAlign w:val="bottom"/>
          </w:tcPr>
          <w:p>
            <w:pPr>
              <w:spacing w:after="0"/>
              <w:rPr>
                <w:sz w:val="20"/>
                <w:szCs w:val="20"/>
                <w:color w:val="auto"/>
              </w:rPr>
            </w:pPr>
            <w:r>
              <w:rPr>
                <w:rFonts w:ascii="Arial" w:cs="Arial" w:eastAsia="Arial" w:hAnsi="Arial"/>
                <w:sz w:val="17"/>
                <w:szCs w:val="17"/>
                <w:color w:val="auto"/>
              </w:rPr>
              <w:t>Houston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89"/>
              </w:rPr>
              <w:t>Branch</w:t>
            </w:r>
          </w:p>
        </w:tc>
      </w:tr>
      <w:tr>
        <w:trPr>
          <w:trHeight w:val="809"/>
        </w:trPr>
        <w:tc>
          <w:tcPr>
            <w:tcW w:w="1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1695"/>
              <w:spacing w:after="0"/>
              <w:rPr>
                <w:sz w:val="20"/>
                <w:szCs w:val="20"/>
                <w:color w:val="auto"/>
              </w:rPr>
            </w:pPr>
            <w:r>
              <w:rPr>
                <w:rFonts w:ascii="Arial" w:cs="Arial" w:eastAsia="Arial" w:hAnsi="Arial"/>
                <w:sz w:val="17"/>
                <w:szCs w:val="17"/>
                <w:b w:val="1"/>
                <w:bCs w:val="1"/>
                <w:color w:val="auto"/>
                <w:w w:val="90"/>
              </w:rPr>
              <w:t>Ruidoso, New Mexico</w:t>
            </w:r>
          </w:p>
        </w:tc>
      </w:tr>
      <w:tr>
        <w:trPr>
          <w:trHeight w:val="209"/>
        </w:trPr>
        <w:tc>
          <w:tcPr>
            <w:tcW w:w="178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Location</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91"/>
        </w:trPr>
        <w:tc>
          <w:tcPr>
            <w:tcW w:w="1780" w:type="dxa"/>
            <w:vAlign w:val="bottom"/>
          </w:tcPr>
          <w:p>
            <w:pPr>
              <w:spacing w:after="0" w:line="191" w:lineRule="exact"/>
              <w:rPr>
                <w:sz w:val="20"/>
                <w:szCs w:val="20"/>
                <w:color w:val="auto"/>
              </w:rPr>
            </w:pPr>
            <w:r>
              <w:rPr>
                <w:rFonts w:ascii="Arial" w:cs="Arial" w:eastAsia="Arial" w:hAnsi="Arial"/>
                <w:sz w:val="17"/>
                <w:szCs w:val="17"/>
                <w:color w:val="auto"/>
              </w:rPr>
              <w:t>Ruidoso</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Arial" w:cs="Arial" w:eastAsia="Arial" w:hAnsi="Arial"/>
                <w:sz w:val="17"/>
                <w:szCs w:val="17"/>
                <w:color w:val="auto"/>
                <w:w w:val="90"/>
              </w:rPr>
              <w:t>Gateway Branch</w:t>
            </w:r>
          </w:p>
        </w:tc>
      </w:tr>
      <w:tr>
        <w:trPr>
          <w:trHeight w:val="215"/>
        </w:trPr>
        <w:tc>
          <w:tcPr>
            <w:tcW w:w="1780" w:type="dxa"/>
            <w:vAlign w:val="bottom"/>
          </w:tcPr>
          <w:p>
            <w:pPr>
              <w:spacing w:after="0"/>
              <w:rPr>
                <w:sz w:val="20"/>
                <w:szCs w:val="20"/>
                <w:color w:val="auto"/>
              </w:rPr>
            </w:pPr>
            <w:r>
              <w:rPr>
                <w:rFonts w:ascii="Arial" w:cs="Arial" w:eastAsia="Arial" w:hAnsi="Arial"/>
                <w:sz w:val="17"/>
                <w:szCs w:val="17"/>
                <w:color w:val="auto"/>
              </w:rPr>
              <w:t>Ruidoso</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1"/>
              </w:rPr>
              <w:t>River Crossing Branch</w:t>
            </w:r>
          </w:p>
        </w:tc>
      </w:tr>
      <w:tr>
        <w:trPr>
          <w:trHeight w:val="414"/>
        </w:trPr>
        <w:tc>
          <w:tcPr>
            <w:tcW w:w="1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jc w:val="center"/>
              <w:ind w:right="1695"/>
              <w:spacing w:after="0"/>
              <w:rPr>
                <w:sz w:val="20"/>
                <w:szCs w:val="20"/>
                <w:color w:val="auto"/>
              </w:rPr>
            </w:pPr>
            <w:r>
              <w:rPr>
                <w:rFonts w:ascii="Arial" w:cs="Arial" w:eastAsia="Arial" w:hAnsi="Arial"/>
                <w:sz w:val="17"/>
                <w:szCs w:val="17"/>
                <w:b w:val="1"/>
                <w:bCs w:val="1"/>
                <w:color w:val="auto"/>
                <w:w w:val="96"/>
              </w:rPr>
              <w:t>Other Markets</w:t>
            </w:r>
          </w:p>
        </w:tc>
      </w:tr>
      <w:tr>
        <w:trPr>
          <w:trHeight w:val="209"/>
        </w:trPr>
        <w:tc>
          <w:tcPr>
            <w:tcW w:w="178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Location</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Branch or LPO</w:t>
            </w:r>
          </w:p>
        </w:tc>
      </w:tr>
      <w:tr>
        <w:trPr>
          <w:trHeight w:val="191"/>
        </w:trPr>
        <w:tc>
          <w:tcPr>
            <w:tcW w:w="1780" w:type="dxa"/>
            <w:vAlign w:val="bottom"/>
          </w:tcPr>
          <w:p>
            <w:pPr>
              <w:spacing w:after="0" w:line="191" w:lineRule="exact"/>
              <w:rPr>
                <w:sz w:val="20"/>
                <w:szCs w:val="20"/>
                <w:color w:val="auto"/>
              </w:rPr>
            </w:pPr>
            <w:r>
              <w:rPr>
                <w:rFonts w:ascii="Arial" w:cs="Arial" w:eastAsia="Arial" w:hAnsi="Arial"/>
                <w:sz w:val="17"/>
                <w:szCs w:val="17"/>
                <w:color w:val="auto"/>
              </w:rPr>
              <w:t>Abilene, Texas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Arial" w:cs="Arial" w:eastAsia="Arial" w:hAnsi="Arial"/>
                <w:sz w:val="17"/>
                <w:szCs w:val="17"/>
                <w:color w:val="auto"/>
                <w:w w:val="93"/>
              </w:rPr>
              <w:t>LPO</w:t>
            </w:r>
          </w:p>
        </w:tc>
      </w:tr>
      <w:tr>
        <w:trPr>
          <w:trHeight w:val="204"/>
        </w:trPr>
        <w:tc>
          <w:tcPr>
            <w:tcW w:w="1780" w:type="dxa"/>
            <w:vAlign w:val="bottom"/>
          </w:tcPr>
          <w:p>
            <w:pPr>
              <w:spacing w:after="0"/>
              <w:rPr>
                <w:sz w:val="20"/>
                <w:szCs w:val="20"/>
                <w:color w:val="auto"/>
              </w:rPr>
            </w:pPr>
            <w:r>
              <w:rPr>
                <w:rFonts w:ascii="Arial" w:cs="Arial" w:eastAsia="Arial" w:hAnsi="Arial"/>
                <w:sz w:val="17"/>
                <w:szCs w:val="17"/>
                <w:color w:val="auto"/>
              </w:rPr>
              <w:t>Austin, Texas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r>
        <w:trPr>
          <w:trHeight w:val="204"/>
        </w:trPr>
        <w:tc>
          <w:tcPr>
            <w:tcW w:w="1780" w:type="dxa"/>
            <w:vAlign w:val="bottom"/>
          </w:tcPr>
          <w:p>
            <w:pPr>
              <w:spacing w:after="0"/>
              <w:rPr>
                <w:sz w:val="20"/>
                <w:szCs w:val="20"/>
                <w:color w:val="auto"/>
              </w:rPr>
            </w:pPr>
            <w:r>
              <w:rPr>
                <w:rFonts w:ascii="Arial" w:cs="Arial" w:eastAsia="Arial" w:hAnsi="Arial"/>
                <w:sz w:val="17"/>
                <w:szCs w:val="17"/>
                <w:color w:val="auto"/>
                <w:w w:val="97"/>
              </w:rPr>
              <w:t>Dripping Springs, Texas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r>
        <w:trPr>
          <w:trHeight w:val="215"/>
        </w:trPr>
        <w:tc>
          <w:tcPr>
            <w:tcW w:w="1780" w:type="dxa"/>
            <w:vAlign w:val="bottom"/>
          </w:tcPr>
          <w:p>
            <w:pPr>
              <w:spacing w:after="0"/>
              <w:rPr>
                <w:sz w:val="20"/>
                <w:szCs w:val="20"/>
                <w:color w:val="auto"/>
              </w:rPr>
            </w:pPr>
            <w:r>
              <w:rPr>
                <w:rFonts w:ascii="Arial" w:cs="Arial" w:eastAsia="Arial" w:hAnsi="Arial"/>
                <w:sz w:val="17"/>
                <w:szCs w:val="17"/>
                <w:color w:val="auto"/>
              </w:rPr>
              <w:t>Waco, Texas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auto"/>
                <w:w w:val="93"/>
              </w:rPr>
              <w:t>LPO</w:t>
            </w:r>
          </w:p>
        </w:tc>
      </w:tr>
    </w:tbl>
    <w:p>
      <w:pPr>
        <w:spacing w:after="0" w:line="599" w:lineRule="exact"/>
        <w:rPr>
          <w:sz w:val="20"/>
          <w:szCs w:val="20"/>
          <w:color w:val="auto"/>
        </w:rPr>
      </w:pPr>
    </w:p>
    <w:p>
      <w:pPr>
        <w:sectPr>
          <w:pgSz w:w="11900" w:h="16838" w:orient="portrait"/>
          <w:cols w:equalWidth="0" w:num="2">
            <w:col w:w="5740" w:space="120"/>
            <w:col w:w="5380"/>
          </w:cols>
          <w:pgMar w:left="320" w:top="122" w:right="339" w:bottom="1440" w:gutter="0" w:footer="0" w:header="0"/>
          <w:type w:val="continuous"/>
        </w:sectPr>
      </w:pPr>
    </w:p>
    <w:p>
      <w:pPr>
        <w:ind w:right="80" w:firstLine="305"/>
        <w:spacing w:after="0" w:line="262" w:lineRule="auto"/>
        <w:rPr>
          <w:sz w:val="20"/>
          <w:szCs w:val="20"/>
          <w:color w:val="auto"/>
        </w:rPr>
      </w:pPr>
      <w:r>
        <w:rPr>
          <w:rFonts w:ascii="Arial" w:cs="Arial" w:eastAsia="Arial" w:hAnsi="Arial"/>
          <w:sz w:val="17"/>
          <w:szCs w:val="17"/>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ectPr>
          <w:pgSz w:w="11900" w:h="16838" w:orient="portrait"/>
          <w:cols w:equalWidth="0" w:num="1">
            <w:col w:w="11240"/>
          </w:cols>
          <w:pgMar w:left="320" w:top="122" w:right="339"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16" w:lineRule="exact"/>
        <w:rPr>
          <w:sz w:val="20"/>
          <w:szCs w:val="20"/>
          <w:color w:val="auto"/>
        </w:rPr>
      </w:pPr>
    </w:p>
    <w:p>
      <w:pPr>
        <w:jc w:val="both"/>
        <w:ind w:firstLine="305"/>
        <w:spacing w:after="0" w:line="256" w:lineRule="auto"/>
        <w:rPr>
          <w:sz w:val="20"/>
          <w:szCs w:val="20"/>
          <w:color w:val="auto"/>
        </w:rPr>
      </w:pPr>
      <w:r>
        <w:rPr>
          <w:rFonts w:ascii="Arial" w:cs="Arial" w:eastAsia="Arial" w:hAnsi="Arial"/>
          <w:sz w:val="17"/>
          <w:szCs w:val="17"/>
          <w:color w:val="auto"/>
        </w:rPr>
        <w:t>As previously disclosed, in response to a Notice of Termination received from Kasasa, Ltd. f/k/a Moneyvue Financial, Inc., Bankvue Financial, Inc., and BancVue, Ltd. (“Kasasa”) purporting to terminate a Software License and Maintenance Agreement (the “Software License Agreement”), Trademark License Agreement (the “Trademark License Agreement”), and Addendum to Software License Agreement (“Addendum”) between the Company’s wholly-owned banking subsidiary City Bank (the “Bank”) and Kasasa, the Bank filed suit against Kasasa in Travis County, Texas, styled City Bank v. Kasasa, Ltd., Cause No. D-1-GN-20-003630, 53rd Judicial District, Travis County, Texas.</w:t>
      </w:r>
    </w:p>
    <w:p>
      <w:pPr>
        <w:spacing w:after="0" w:line="180" w:lineRule="exact"/>
        <w:rPr>
          <w:sz w:val="20"/>
          <w:szCs w:val="20"/>
          <w:color w:val="auto"/>
        </w:rPr>
      </w:pPr>
    </w:p>
    <w:p>
      <w:pPr>
        <w:jc w:val="both"/>
        <w:ind w:firstLine="305"/>
        <w:spacing w:after="0" w:line="258" w:lineRule="auto"/>
        <w:rPr>
          <w:sz w:val="20"/>
          <w:szCs w:val="20"/>
          <w:color w:val="auto"/>
        </w:rPr>
      </w:pPr>
      <w:r>
        <w:rPr>
          <w:rFonts w:ascii="Arial" w:cs="Arial" w:eastAsia="Arial" w:hAnsi="Arial"/>
          <w:sz w:val="17"/>
          <w:szCs w:val="17"/>
          <w:color w:val="auto"/>
        </w:rPr>
        <w:t>On or about September 23, 2022, the parties entered into a Settlement Agreement and Mutual Release (the “Settlement Agreement”), pursuant to which the parties agreed to the settlement and release of all claims related to the Software License Agreement, Trademark License Agreement, and Addendum, including all claims and counterclaims in the lawsuit. Thereafter, the parties filed a joint motion to dismiss with prejudice and the court formally dismissed the case by order dated October 7, 2022.</w:t>
      </w:r>
    </w:p>
    <w:p>
      <w:pPr>
        <w:spacing w:after="0" w:line="178"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6"/>
          <w:szCs w:val="16"/>
          <w:color w:val="auto"/>
        </w:rPr>
        <w:t>From time to time, the Company or the Bank is a party to claims and legal proceedings arising in the ordinary course of business. Except as described above,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2" w:lineRule="exact"/>
        <w:rPr>
          <w:sz w:val="20"/>
          <w:szCs w:val="20"/>
          <w:color w:val="auto"/>
        </w:rPr>
      </w:pPr>
    </w:p>
    <w:p>
      <w:pPr>
        <w:ind w:right="2060"/>
        <w:spacing w:after="0" w:line="502"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7"/>
          <w:szCs w:val="17"/>
          <w:color w:val="auto"/>
        </w:rPr>
        <w:t>The Company’s common stock is traded on the NASDAQ Global Select Market. Quotations of the sales volume and the closing sales prices of the Company’s common stock are listed daily under the symbol “SPFI” in NASDAQ’s listings.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March 8, 2023, there were approximately 179 holders of record of the Company’s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6"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The Company paid dividends of $0.11, $0.11, $0.12, and $0.12 per common share in the first, second, third, and fourth quarters of 2022, respectively. Additionally, the Company paid a dividend of $0.13 per common share in the first quarter of 2023.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at December 31, 2022 with respect to compensation plans under which shares of our common stock may be issued.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Number of Shares to be</w:t>
            </w:r>
          </w:p>
        </w:tc>
        <w:tc>
          <w:tcPr>
            <w:tcW w:w="1600" w:type="dxa"/>
            <w:vAlign w:val="bottom"/>
            <w:gridSpan w:val="3"/>
          </w:tcPr>
          <w:p>
            <w:pPr>
              <w:ind w:left="80"/>
              <w:spacing w:after="0"/>
              <w:rPr>
                <w:sz w:val="20"/>
                <w:szCs w:val="20"/>
                <w:color w:val="auto"/>
              </w:rPr>
            </w:pPr>
            <w:r>
              <w:rPr>
                <w:rFonts w:ascii="Arial" w:cs="Arial" w:eastAsia="Arial" w:hAnsi="Arial"/>
                <w:sz w:val="17"/>
                <w:szCs w:val="17"/>
                <w:b w:val="1"/>
                <w:bCs w:val="1"/>
                <w:color w:val="auto"/>
              </w:rPr>
              <w:t>Weighted-Average</w:t>
            </w:r>
          </w:p>
        </w:tc>
        <w:tc>
          <w:tcPr>
            <w:tcW w:w="15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8"/>
              </w:rPr>
              <w:t>Number of Shares</w:t>
            </w:r>
          </w:p>
        </w:tc>
      </w:tr>
      <w:tr>
        <w:trPr>
          <w:trHeight w:val="204"/>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Issued Upon Exercise of</w:t>
            </w: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9"/>
              </w:rPr>
              <w:t>Exercise Price of</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Available for</w:t>
            </w:r>
          </w:p>
        </w:tc>
      </w:tr>
      <w:tr>
        <w:trPr>
          <w:trHeight w:val="226"/>
        </w:trPr>
        <w:tc>
          <w:tcPr>
            <w:tcW w:w="6100" w:type="dxa"/>
            <w:vAlign w:val="bottom"/>
            <w:gridSpan w:val="2"/>
          </w:tcPr>
          <w:p>
            <w:pPr>
              <w:spacing w:after="0"/>
              <w:rPr>
                <w:sz w:val="20"/>
                <w:szCs w:val="20"/>
                <w:color w:val="auto"/>
              </w:rPr>
            </w:pPr>
            <w:r>
              <w:rPr>
                <w:rFonts w:ascii="Arial" w:cs="Arial" w:eastAsia="Arial" w:hAnsi="Arial"/>
                <w:sz w:val="17"/>
                <w:szCs w:val="17"/>
                <w:b w:val="1"/>
                <w:bCs w:val="1"/>
                <w:color w:val="auto"/>
              </w:rPr>
              <w:t>Plan Category</w:t>
            </w: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Outstanding Awards</w:t>
            </w:r>
          </w:p>
        </w:tc>
        <w:tc>
          <w:tcPr>
            <w:tcW w:w="1600" w:type="dxa"/>
            <w:vAlign w:val="bottom"/>
            <w:gridSpan w:val="3"/>
          </w:tcPr>
          <w:p>
            <w:pPr>
              <w:spacing w:after="0"/>
              <w:rPr>
                <w:sz w:val="20"/>
                <w:szCs w:val="20"/>
                <w:color w:val="auto"/>
              </w:rPr>
            </w:pPr>
            <w:r>
              <w:rPr>
                <w:rFonts w:ascii="Arial" w:cs="Arial" w:eastAsia="Arial" w:hAnsi="Arial"/>
                <w:sz w:val="17"/>
                <w:szCs w:val="17"/>
                <w:b w:val="1"/>
                <w:bCs w:val="1"/>
                <w:color w:val="auto"/>
                <w:w w:val="95"/>
              </w:rPr>
              <w:t>Outstanding Awards</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Future Grants</w:t>
            </w:r>
          </w:p>
        </w:tc>
      </w:tr>
      <w:tr>
        <w:trPr>
          <w:trHeight w:val="204"/>
        </w:trPr>
        <w:tc>
          <w:tcPr>
            <w:tcW w:w="20" w:type="dxa"/>
            <w:vAlign w:val="bottom"/>
            <w:tcBorders>
              <w:top w:val="single" w:sz="8" w:color="auto"/>
            </w:tcBorders>
          </w:tcPr>
          <w:p>
            <w:pPr>
              <w:spacing w:after="0"/>
              <w:rPr>
                <w:sz w:val="17"/>
                <w:szCs w:val="17"/>
                <w:color w:val="auto"/>
              </w:rPr>
            </w:pPr>
          </w:p>
        </w:tc>
        <w:tc>
          <w:tcPr>
            <w:tcW w:w="6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4"/>
                <w:szCs w:val="14"/>
                <w:color w:val="auto"/>
              </w:rPr>
              <w:t>Equity compensation plans approved by shareholders</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1,438,531</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1,649,373</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Equity compensation plans not approved by shareholders</w:t>
            </w:r>
          </w:p>
        </w:tc>
        <w:tc>
          <w:tcPr>
            <w:tcW w:w="10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4"/>
        </w:trPr>
        <w:tc>
          <w:tcPr>
            <w:tcW w:w="2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1,438,531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1,649,373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ind w:left="300" w:hanging="298"/>
        <w:spacing w:after="0" w:line="274"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number of shares available for future issuance includes 1,649,373 shares available under the Company’s 2019 Equity Incentive Plan (which allows for the issuance of options, as well as various other stock-based awards).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Securities</w:t>
      </w:r>
    </w:p>
    <w:p>
      <w:pPr>
        <w:spacing w:after="0" w:line="216" w:lineRule="exact"/>
        <w:rPr>
          <w:sz w:val="20"/>
          <w:szCs w:val="20"/>
          <w:color w:val="auto"/>
        </w:rPr>
      </w:pPr>
    </w:p>
    <w:p>
      <w:pPr>
        <w:jc w:val="both"/>
        <w:ind w:firstLine="544"/>
        <w:spacing w:after="0" w:line="256" w:lineRule="auto"/>
        <w:rPr>
          <w:sz w:val="20"/>
          <w:szCs w:val="20"/>
          <w:color w:val="auto"/>
        </w:rPr>
      </w:pPr>
      <w:r>
        <w:rPr>
          <w:rFonts w:ascii="Arial" w:cs="Arial" w:eastAsia="Arial" w:hAnsi="Arial"/>
          <w:sz w:val="17"/>
          <w:szCs w:val="17"/>
          <w:color w:val="auto"/>
        </w:rPr>
        <w:t>On October 29, 2021, the Company approved a stock repurchase program pursuant to which the Company may, from time to time, purchase up to $10.0 million of its outstanding shares of common stock (the “Program”). The shares could be repurchased from time to time in privately negotiated transactions or the open market, including pursuant to Rule 10b5-1 trading plans, and in accordance with applicable regulations of the SEC. The timing and exact amount of any repurchases depended on various factors including, the performance of the Company’s stock price, general market and other conditions, applicable legal requirements and other factors. The Program had an expiration date of November 6, 2022.</w:t>
      </w:r>
    </w:p>
    <w:p>
      <w:pPr>
        <w:sectPr>
          <w:pgSz w:w="11900" w:h="16838" w:orient="portrait"/>
          <w:cols w:equalWidth="0" w:num="1">
            <w:col w:w="11240"/>
          </w:cols>
          <w:pgMar w:left="320" w:top="122" w:right="3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firstLine="544"/>
        <w:spacing w:after="0" w:line="272" w:lineRule="auto"/>
        <w:rPr>
          <w:sz w:val="20"/>
          <w:szCs w:val="20"/>
          <w:color w:val="auto"/>
        </w:rPr>
      </w:pPr>
      <w:r>
        <w:rPr>
          <w:rFonts w:ascii="Arial" w:cs="Arial" w:eastAsia="Arial" w:hAnsi="Arial"/>
          <w:sz w:val="16"/>
          <w:szCs w:val="16"/>
          <w:color w:val="auto"/>
        </w:rPr>
        <w:t>On May 18, 2022, the Company’s board of directors approved a new stock repurchase program for up to $15.0 million of the outstanding shares of the Company’s common stock (the “New Repurchase Program”). The New Repurchase Program began on the date on which the existing stock repurchase program expired due to depletion of funds previously allocated to it and has an expiration date of May 21, 2023, subject to earlier termination or extension of the New Repurchase Program by the Board. The shares could be repurchased from time to time in privately negotiated transactions or the open market, including pursuant to Rule 10b5-1 trading plans, and in accordance with applicable regulations of the SEC. The timing and exact amount of any repurchases depended on various factors including, the performance of the Company’s stock price, general market and other conditions, applicable legal requirements and other factors. The New Repurchase Program terminated in December 2022 after all allocated funds had been spent.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the share repurchase activity for the three months ended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3"/>
              </w:rPr>
              <w:t>Maximum Dollar Amount</w:t>
            </w: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Total Dollar Amount</w:t>
            </w:r>
          </w:p>
        </w:tc>
        <w:tc>
          <w:tcPr>
            <w:tcW w:w="80" w:type="dxa"/>
            <w:vAlign w:val="bottom"/>
          </w:tcPr>
          <w:p>
            <w:pPr>
              <w:spacing w:after="0"/>
              <w:rPr>
                <w:sz w:val="17"/>
                <w:szCs w:val="17"/>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Remaining Available for</w:t>
            </w: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Total Shares</w:t>
            </w:r>
          </w:p>
        </w:tc>
        <w:tc>
          <w:tcPr>
            <w:tcW w:w="118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Average Price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Purchased Pursuant to</w:t>
            </w:r>
          </w:p>
        </w:tc>
        <w:tc>
          <w:tcPr>
            <w:tcW w:w="80" w:type="dxa"/>
            <w:vAlign w:val="bottom"/>
          </w:tcPr>
          <w:p>
            <w:pPr>
              <w:spacing w:after="0"/>
              <w:rPr>
                <w:sz w:val="17"/>
                <w:szCs w:val="17"/>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9"/>
              </w:rPr>
              <w:t>Repurchase Pursuant to</w:t>
            </w:r>
          </w:p>
        </w:tc>
      </w:tr>
      <w:tr>
        <w:trPr>
          <w:trHeight w:val="226"/>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Repurchased</w:t>
            </w:r>
          </w:p>
        </w:tc>
        <w:tc>
          <w:tcPr>
            <w:tcW w:w="1180" w:type="dxa"/>
            <w:vAlign w:val="bottom"/>
            <w:gridSpan w:val="3"/>
          </w:tcPr>
          <w:p>
            <w:pPr>
              <w:spacing w:after="0"/>
              <w:rPr>
                <w:sz w:val="20"/>
                <w:szCs w:val="20"/>
                <w:color w:val="auto"/>
              </w:rPr>
            </w:pPr>
            <w:r>
              <w:rPr>
                <w:rFonts w:ascii="Arial" w:cs="Arial" w:eastAsia="Arial" w:hAnsi="Arial"/>
                <w:sz w:val="17"/>
                <w:szCs w:val="17"/>
                <w:b w:val="1"/>
                <w:bCs w:val="1"/>
                <w:color w:val="auto"/>
                <w:w w:val="96"/>
              </w:rPr>
              <w:t>Paid Per Share</w:t>
            </w:r>
          </w:p>
        </w:tc>
        <w:tc>
          <w:tcPr>
            <w:tcW w:w="210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Publicly-Announced Plans</w:t>
            </w:r>
          </w:p>
        </w:tc>
        <w:tc>
          <w:tcPr>
            <w:tcW w:w="208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Publicly-Announced Plans</w:t>
            </w: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October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64,799</w:t>
            </w: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1,865,289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1,929,500</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b w:val="1"/>
                <w:bCs w:val="1"/>
                <w:color w:val="auto"/>
              </w:rPr>
              <w:t>November 2022</w:t>
            </w:r>
          </w:p>
        </w:tc>
        <w:tc>
          <w:tcPr>
            <w:tcW w:w="1080" w:type="dxa"/>
            <w:vAlign w:val="bottom"/>
          </w:tcPr>
          <w:p>
            <w:pPr>
              <w:jc w:val="right"/>
              <w:spacing w:after="0"/>
              <w:rPr>
                <w:sz w:val="20"/>
                <w:szCs w:val="20"/>
                <w:color w:val="auto"/>
              </w:rPr>
            </w:pPr>
            <w:r>
              <w:rPr>
                <w:rFonts w:ascii="Arial" w:cs="Arial" w:eastAsia="Arial" w:hAnsi="Arial"/>
                <w:sz w:val="17"/>
                <w:szCs w:val="17"/>
                <w:color w:val="auto"/>
              </w:rPr>
              <w:t>2,457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30.29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7"/>
                <w:szCs w:val="17"/>
                <w:color w:val="auto"/>
              </w:rPr>
              <w:t>74,416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1,855,084</w:t>
            </w: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2022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62,933</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1,855,084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tcBorders>
              <w:top w:val="single" w:sz="8" w:color="CCEEFF"/>
            </w:tcBorders>
          </w:tcPr>
          <w:p>
            <w:pPr>
              <w:ind w:left="140"/>
              <w:spacing w:after="0"/>
              <w:rPr>
                <w:sz w:val="20"/>
                <w:szCs w:val="20"/>
                <w:color w:val="auto"/>
              </w:rPr>
            </w:pPr>
            <w:r>
              <w:rPr>
                <w:rFonts w:ascii="Arial" w:cs="Arial" w:eastAsia="Arial" w:hAnsi="Arial"/>
                <w:sz w:val="17"/>
                <w:szCs w:val="17"/>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130,189</w:t>
            </w: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16"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7"/>
          <w:szCs w:val="17"/>
          <w:color w:val="auto"/>
        </w:rPr>
        <w:t>The following performance graph compares total stockholders’ return on the Company’s common stock for the period beginning at the close of trading on May 9, 2019 and for the last trading date of each year from 2019 to 2022, with the cumulative total return of the S&amp;P 500 and the S&amp;P United States BMI Banks Index for the same periods. Cumulative total return is computed by dividing the difference between the Company’s share price at the end and the beginning of the measurement period by the share price at the beginning of the measurement period. The performance graph assumes $100 is invested on May 9, 2019, in the Company’s common stock, including reinvestment of any dividends, and each of the indices. Historical stock price performance is not necessarily indicative of future stock price performance. This performance graph and related information shall not be deemed “soliciting material” or to be “filed” with the SEC for purposes of Section 18 of the Exchange Act of 1934, or incorporated by reference into any future SEC filing,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125730</wp:posOffset>
            </wp:positionV>
            <wp:extent cx="5814060" cy="3202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4060" cy="320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5"/>
              </w:rPr>
              <w:t>Table of Contents</w:t>
            </w: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67"/>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Dollars</w:t>
            </w:r>
          </w:p>
        </w:tc>
        <w:tc>
          <w:tcPr>
            <w:tcW w:w="43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5/9/19</w:t>
            </w: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12/31/19</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12/31/20</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12/31/21</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12/31/22</w:t>
            </w:r>
          </w:p>
        </w:tc>
      </w:tr>
      <w:tr>
        <w:trPr>
          <w:trHeight w:val="204"/>
        </w:trPr>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South Plains Financial, Inc.</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118.25</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161.21</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162.27</w:t>
            </w:r>
          </w:p>
        </w:tc>
      </w:tr>
      <w:tr>
        <w:trPr>
          <w:trHeight w:val="204"/>
        </w:trPr>
        <w:tc>
          <w:tcPr>
            <w:tcW w:w="5380" w:type="dxa"/>
            <w:vAlign w:val="bottom"/>
            <w:gridSpan w:val="3"/>
          </w:tcPr>
          <w:p>
            <w:pPr>
              <w:spacing w:after="0"/>
              <w:rPr>
                <w:sz w:val="20"/>
                <w:szCs w:val="20"/>
                <w:color w:val="auto"/>
              </w:rPr>
            </w:pPr>
            <w:r>
              <w:rPr>
                <w:rFonts w:ascii="Arial" w:cs="Arial" w:eastAsia="Arial" w:hAnsi="Arial"/>
                <w:sz w:val="17"/>
                <w:szCs w:val="17"/>
                <w:color w:val="auto"/>
              </w:rPr>
              <w:t>S&amp;P United States BMI Banks Index</w:t>
            </w:r>
          </w:p>
        </w:tc>
        <w:tc>
          <w:tcPr>
            <w:tcW w:w="1160" w:type="dxa"/>
            <w:vAlign w:val="bottom"/>
          </w:tcPr>
          <w:p>
            <w:pPr>
              <w:jc w:val="right"/>
              <w:spacing w:after="0"/>
              <w:rPr>
                <w:sz w:val="20"/>
                <w:szCs w:val="20"/>
                <w:color w:val="auto"/>
              </w:rPr>
            </w:pPr>
            <w:r>
              <w:rPr>
                <w:rFonts w:ascii="Arial" w:cs="Arial" w:eastAsia="Arial" w:hAnsi="Arial"/>
                <w:sz w:val="17"/>
                <w:szCs w:val="17"/>
                <w:color w:val="auto"/>
              </w:rPr>
              <w:t>100.0</w:t>
            </w:r>
          </w:p>
        </w:tc>
        <w:tc>
          <w:tcPr>
            <w:tcW w:w="1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117.22</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102.26</w:t>
            </w:r>
          </w:p>
        </w:tc>
        <w:tc>
          <w:tcPr>
            <w:tcW w:w="1280" w:type="dxa"/>
            <w:vAlign w:val="bottom"/>
          </w:tcPr>
          <w:p>
            <w:pPr>
              <w:jc w:val="right"/>
              <w:ind w:right="95"/>
              <w:spacing w:after="0"/>
              <w:rPr>
                <w:sz w:val="20"/>
                <w:szCs w:val="20"/>
                <w:color w:val="auto"/>
              </w:rPr>
            </w:pPr>
            <w:r>
              <w:rPr>
                <w:rFonts w:ascii="Arial" w:cs="Arial" w:eastAsia="Arial" w:hAnsi="Arial"/>
                <w:sz w:val="17"/>
                <w:szCs w:val="17"/>
                <w:color w:val="auto"/>
              </w:rPr>
              <w:t>139.04</w:t>
            </w:r>
          </w:p>
        </w:tc>
        <w:tc>
          <w:tcPr>
            <w:tcW w:w="1000" w:type="dxa"/>
            <w:vAlign w:val="bottom"/>
          </w:tcPr>
          <w:p>
            <w:pPr>
              <w:jc w:val="right"/>
              <w:spacing w:after="0"/>
              <w:rPr>
                <w:sz w:val="20"/>
                <w:szCs w:val="20"/>
                <w:color w:val="auto"/>
              </w:rPr>
            </w:pPr>
            <w:r>
              <w:rPr>
                <w:rFonts w:ascii="Arial" w:cs="Arial" w:eastAsia="Arial" w:hAnsi="Arial"/>
                <w:sz w:val="17"/>
                <w:szCs w:val="17"/>
                <w:color w:val="auto"/>
              </w:rPr>
              <w:t>115.32</w:t>
            </w:r>
          </w:p>
        </w:tc>
      </w:tr>
      <w:tr>
        <w:trPr>
          <w:trHeight w:val="204"/>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S&amp;P 500</w:t>
            </w:r>
          </w:p>
        </w:tc>
        <w:tc>
          <w:tcPr>
            <w:tcW w:w="4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114.03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135.01</w:t>
            </w:r>
          </w:p>
        </w:tc>
        <w:tc>
          <w:tcPr>
            <w:tcW w:w="1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173.77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142.30</w:t>
            </w:r>
          </w:p>
        </w:tc>
      </w:tr>
      <w:tr>
        <w:trPr>
          <w:trHeight w:val="395"/>
        </w:trPr>
        <w:tc>
          <w:tcPr>
            <w:tcW w:w="5380" w:type="dxa"/>
            <w:vAlign w:val="bottom"/>
            <w:gridSpan w:val="3"/>
          </w:tcPr>
          <w:p>
            <w:pPr>
              <w:spacing w:after="0"/>
              <w:rPr>
                <w:sz w:val="20"/>
                <w:szCs w:val="20"/>
                <w:color w:val="auto"/>
              </w:rPr>
            </w:pPr>
            <w:r>
              <w:rPr>
                <w:rFonts w:ascii="Arial" w:cs="Arial" w:eastAsia="Arial" w:hAnsi="Arial"/>
                <w:sz w:val="17"/>
                <w:szCs w:val="17"/>
                <w:color w:val="auto"/>
              </w:rPr>
              <w:t>Source: S&amp;P Global Market Intelligence</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5"/>
        </w:trPr>
        <w:tc>
          <w:tcPr>
            <w:tcW w:w="960" w:type="dxa"/>
            <w:vAlign w:val="bottom"/>
          </w:tcPr>
          <w:p>
            <w:pPr>
              <w:spacing w:after="0"/>
              <w:rPr>
                <w:sz w:val="20"/>
                <w:szCs w:val="20"/>
                <w:color w:val="auto"/>
              </w:rPr>
            </w:pPr>
            <w:r>
              <w:rPr>
                <w:rFonts w:ascii="Arial" w:cs="Arial" w:eastAsia="Arial" w:hAnsi="Arial"/>
                <w:sz w:val="17"/>
                <w:szCs w:val="17"/>
                <w:color w:val="auto"/>
              </w:rPr>
              <w:t>© 2022</w:t>
            </w: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07"/>
        </w:trPr>
        <w:tc>
          <w:tcPr>
            <w:tcW w:w="96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4420" w:type="dxa"/>
            <w:vAlign w:val="bottom"/>
            <w:gridSpan w:val="2"/>
          </w:tcPr>
          <w:p>
            <w:pPr>
              <w:spacing w:after="0"/>
              <w:rPr>
                <w:sz w:val="20"/>
                <w:szCs w:val="20"/>
                <w:color w:val="auto"/>
              </w:rPr>
            </w:pPr>
            <w:r>
              <w:rPr>
                <w:rFonts w:ascii="Arial" w:cs="Arial" w:eastAsia="Arial" w:hAnsi="Arial"/>
                <w:sz w:val="17"/>
                <w:szCs w:val="17"/>
                <w:b w:val="1"/>
                <w:bCs w:val="1"/>
                <w:color w:val="auto"/>
              </w:rPr>
              <w:t>[Reserved]</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accompanying notes included elsewhere in this Report.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Data</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 sets forth certain of our selected financial data for, and as of the end of, each of the periods indicated. This information should be read in conjunction with “Item 8. Financial Statements and Supplementary Data” included elsewhere in this Report (dollars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gridSpan w:val="10"/>
          </w:tcPr>
          <w:p>
            <w:pPr>
              <w:jc w:val="right"/>
              <w:ind w:right="540"/>
              <w:spacing w:after="0"/>
              <w:rPr>
                <w:sz w:val="20"/>
                <w:szCs w:val="20"/>
                <w:color w:val="auto"/>
              </w:rPr>
            </w:pPr>
            <w:r>
              <w:rPr>
                <w:rFonts w:ascii="Arial" w:cs="Arial" w:eastAsia="Arial" w:hAnsi="Arial"/>
                <w:sz w:val="17"/>
                <w:szCs w:val="17"/>
                <w:b w:val="1"/>
                <w:bCs w:val="1"/>
                <w:color w:val="auto"/>
                <w:w w:val="94"/>
              </w:rPr>
              <w:t>As of or for the Year Ended December 31,</w:t>
            </w:r>
          </w:p>
        </w:tc>
      </w:tr>
      <w:tr>
        <w:trPr>
          <w:trHeight w:val="209"/>
        </w:trPr>
        <w:tc>
          <w:tcPr>
            <w:tcW w:w="7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7"/>
                <w:szCs w:val="17"/>
                <w:b w:val="1"/>
                <w:bCs w:val="1"/>
                <w:color w:val="auto"/>
              </w:rPr>
              <w:t>Selected Income Statement Data:</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interest income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138,476</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121,764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122,285</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Provision for loan losses</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(2,619)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(1,918)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25,570</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Noninterest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76,145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97,469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101,603</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Noninterest expense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144,089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148,030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141,715</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expense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14,507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11,250</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58,240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58,614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45,353</w:t>
            </w:r>
          </w:p>
        </w:tc>
      </w:tr>
      <w:tr>
        <w:trPr>
          <w:trHeight w:val="204"/>
        </w:trPr>
        <w:tc>
          <w:tcPr>
            <w:tcW w:w="7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 and Per Share Data:</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Earnings per share (basic)</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3.35</w:t>
            </w:r>
          </w:p>
        </w:tc>
        <w:tc>
          <w:tcPr>
            <w:tcW w:w="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3.26</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2.51</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Earnings per share (diluted)</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Dividends per share</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0.46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0.30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0.14</w:t>
            </w: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Arial" w:cs="Arial" w:eastAsia="Arial" w:hAnsi="Arial"/>
                <w:sz w:val="14"/>
                <w:szCs w:val="14"/>
                <w:color w:val="auto"/>
              </w:rPr>
              <w:t>Tangible book value per share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21.51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18.97</w:t>
            </w:r>
          </w:p>
        </w:tc>
      </w:tr>
      <w:tr>
        <w:trPr>
          <w:trHeight w:val="204"/>
        </w:trPr>
        <w:tc>
          <w:tcPr>
            <w:tcW w:w="7260" w:type="dxa"/>
            <w:vAlign w:val="bottom"/>
          </w:tcPr>
          <w:p>
            <w:pPr>
              <w:spacing w:after="0"/>
              <w:rPr>
                <w:sz w:val="20"/>
                <w:szCs w:val="20"/>
                <w:color w:val="auto"/>
              </w:rPr>
            </w:pPr>
            <w:r>
              <w:rPr>
                <w:rFonts w:ascii="Arial" w:cs="Arial" w:eastAsia="Arial" w:hAnsi="Arial"/>
                <w:sz w:val="17"/>
                <w:szCs w:val="17"/>
                <w:b w:val="1"/>
                <w:bCs w:val="1"/>
                <w:color w:val="auto"/>
              </w:rPr>
              <w:t>Selected Period End Balance Sheet Data:</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234,883</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486,821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300,307</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Investment securities</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701,711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724,504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803,087</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Gross loans held for investment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2,748,081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2,437,577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2,221,583</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Allowance for loan losses</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39,288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42,098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45,553</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3,944,063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3,901,855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3,599,160</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Total deposits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3,406,430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3,341,222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2,974,351</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Borrowings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122,354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122,168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223,532</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Total stockholders’ equity</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357,014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407,427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370,048</w:t>
            </w:r>
          </w:p>
        </w:tc>
      </w:tr>
      <w:tr>
        <w:trPr>
          <w:trHeight w:val="204"/>
        </w:trPr>
        <w:tc>
          <w:tcPr>
            <w:tcW w:w="7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Performance Ratios: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Return on average assets</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1.56%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1.31%</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Return on average stockholders’ equity</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15.08%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13.40%</w:t>
            </w:r>
          </w:p>
        </w:tc>
      </w:tr>
      <w:tr>
        <w:trPr>
          <w:trHeight w:val="204"/>
        </w:trPr>
        <w:tc>
          <w:tcPr>
            <w:tcW w:w="7260" w:type="dxa"/>
            <w:vAlign w:val="bottom"/>
          </w:tcPr>
          <w:p>
            <w:pPr>
              <w:ind w:left="160"/>
              <w:spacing w:after="0" w:line="203" w:lineRule="exact"/>
              <w:rPr>
                <w:sz w:val="20"/>
                <w:szCs w:val="20"/>
                <w:color w:val="auto"/>
              </w:rPr>
            </w:pPr>
            <w:r>
              <w:rPr>
                <w:rFonts w:ascii="Arial" w:cs="Arial" w:eastAsia="Arial" w:hAnsi="Arial"/>
                <w:sz w:val="14"/>
                <w:szCs w:val="14"/>
                <w:color w:val="auto"/>
              </w:rPr>
              <w:t>Net interest margin</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3.73%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3.51%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3.84%</w:t>
            </w: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Arial" w:cs="Arial" w:eastAsia="Arial" w:hAnsi="Arial"/>
                <w:sz w:val="14"/>
                <w:szCs w:val="14"/>
                <w:color w:val="auto"/>
              </w:rPr>
              <w:t>Efficiency ratio</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66.76%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67.14%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62.99%</w:t>
            </w:r>
          </w:p>
        </w:tc>
      </w:tr>
      <w:tr>
        <w:trPr>
          <w:trHeight w:val="204"/>
        </w:trPr>
        <w:tc>
          <w:tcPr>
            <w:tcW w:w="7260" w:type="dxa"/>
            <w:vAlign w:val="bottom"/>
          </w:tcPr>
          <w:p>
            <w:pPr>
              <w:spacing w:after="0"/>
              <w:rPr>
                <w:sz w:val="20"/>
                <w:szCs w:val="20"/>
                <w:color w:val="auto"/>
              </w:rPr>
            </w:pPr>
            <w:r>
              <w:rPr>
                <w:rFonts w:ascii="Arial" w:cs="Arial" w:eastAsia="Arial" w:hAnsi="Arial"/>
                <w:sz w:val="17"/>
                <w:szCs w:val="17"/>
                <w:b w:val="1"/>
                <w:bCs w:val="1"/>
                <w:color w:val="auto"/>
              </w:rPr>
              <w:t>Credit Quality Ratios: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Arial" w:cs="Arial" w:eastAsia="Arial" w:hAnsi="Arial"/>
                <w:sz w:val="14"/>
                <w:szCs w:val="14"/>
                <w:color w:val="auto"/>
              </w:rPr>
              <w:t>Nonperforming assets to total assets</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0.45%</w:t>
            </w:r>
          </w:p>
        </w:tc>
      </w:tr>
      <w:tr>
        <w:trPr>
          <w:trHeight w:val="204"/>
        </w:trPr>
        <w:tc>
          <w:tcPr>
            <w:tcW w:w="7260" w:type="dxa"/>
            <w:vAlign w:val="bottom"/>
          </w:tcPr>
          <w:p>
            <w:pPr>
              <w:ind w:left="160"/>
              <w:spacing w:after="0" w:line="203" w:lineRule="exact"/>
              <w:rPr>
                <w:sz w:val="20"/>
                <w:szCs w:val="20"/>
                <w:color w:val="auto"/>
              </w:rPr>
            </w:pPr>
            <w:r>
              <w:rPr>
                <w:rFonts w:ascii="Arial" w:cs="Arial" w:eastAsia="Arial" w:hAnsi="Arial"/>
                <w:sz w:val="14"/>
                <w:szCs w:val="14"/>
                <w:color w:val="auto"/>
              </w:rPr>
              <w:t>Nonperforming loans to total loans held for investment</w:t>
            </w:r>
            <w:r>
              <w:rPr>
                <w:rFonts w:ascii="Arial" w:cs="Arial" w:eastAsia="Arial" w:hAnsi="Arial"/>
                <w:sz w:val="23"/>
                <w:szCs w:val="23"/>
                <w:color w:val="auto"/>
                <w:vertAlign w:val="superscript"/>
              </w:rPr>
              <w:t>(5)</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0.28%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0.43%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0.67%</w:t>
            </w: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Arial" w:cs="Arial" w:eastAsia="Arial" w:hAnsi="Arial"/>
                <w:sz w:val="14"/>
                <w:szCs w:val="14"/>
                <w:color w:val="auto"/>
              </w:rPr>
              <w:t>Allowance for loan losses to nonperforming loans</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504.34%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397.23%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304.40%</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Allowance for loan losses to total loans held for investment</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2.05%</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loan charge-offs to average loans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0.18%</w:t>
            </w:r>
          </w:p>
        </w:tc>
      </w:tr>
      <w:tr>
        <w:trPr>
          <w:trHeight w:val="204"/>
        </w:trPr>
        <w:tc>
          <w:tcPr>
            <w:tcW w:w="7260" w:type="dxa"/>
            <w:vAlign w:val="bottom"/>
          </w:tcPr>
          <w:p>
            <w:pPr>
              <w:spacing w:after="0"/>
              <w:rPr>
                <w:sz w:val="20"/>
                <w:szCs w:val="20"/>
                <w:color w:val="auto"/>
              </w:rPr>
            </w:pPr>
            <w:r>
              <w:rPr>
                <w:rFonts w:ascii="Arial" w:cs="Arial" w:eastAsia="Arial" w:hAnsi="Arial"/>
                <w:sz w:val="17"/>
                <w:szCs w:val="17"/>
                <w:b w:val="1"/>
                <w:bCs w:val="1"/>
                <w:color w:val="auto"/>
              </w:rPr>
              <w:t>Capital Ratios: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stockholders’ equity to total assets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10.44%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w:t>
            </w:r>
          </w:p>
        </w:tc>
      </w:tr>
      <w:tr>
        <w:trPr>
          <w:trHeight w:val="204"/>
        </w:trPr>
        <w:tc>
          <w:tcPr>
            <w:tcW w:w="7260" w:type="dxa"/>
            <w:vAlign w:val="bottom"/>
          </w:tcPr>
          <w:p>
            <w:pPr>
              <w:ind w:left="160"/>
              <w:spacing w:after="0" w:line="203" w:lineRule="exact"/>
              <w:rPr>
                <w:sz w:val="20"/>
                <w:szCs w:val="20"/>
                <w:color w:val="auto"/>
              </w:rPr>
            </w:pPr>
            <w:r>
              <w:rPr>
                <w:rFonts w:ascii="Arial" w:cs="Arial" w:eastAsia="Arial" w:hAnsi="Arial"/>
                <w:sz w:val="14"/>
                <w:szCs w:val="14"/>
                <w:color w:val="auto"/>
              </w:rPr>
              <w:t>Tangible common equity to tangible assets</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9.85%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9.60%</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equity tier 1 capital ratio</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12.96%</w:t>
            </w:r>
          </w:p>
        </w:tc>
      </w:tr>
      <w:tr>
        <w:trPr>
          <w:trHeight w:val="204"/>
        </w:trPr>
        <w:tc>
          <w:tcPr>
            <w:tcW w:w="7260" w:type="dxa"/>
            <w:vAlign w:val="bottom"/>
          </w:tcPr>
          <w:p>
            <w:pPr>
              <w:ind w:left="160"/>
              <w:spacing w:after="0"/>
              <w:rPr>
                <w:sz w:val="20"/>
                <w:szCs w:val="20"/>
                <w:color w:val="auto"/>
              </w:rPr>
            </w:pPr>
            <w:r>
              <w:rPr>
                <w:rFonts w:ascii="Arial" w:cs="Arial" w:eastAsia="Arial" w:hAnsi="Arial"/>
                <w:sz w:val="17"/>
                <w:szCs w:val="17"/>
                <w:color w:val="auto"/>
              </w:rPr>
              <w:t>Tier 1 leverage ratio</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11.03%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10.24%</w:t>
            </w:r>
          </w:p>
        </w:tc>
      </w:tr>
      <w:tr>
        <w:trPr>
          <w:trHeight w:val="204"/>
        </w:trPr>
        <w:tc>
          <w:tcPr>
            <w:tcW w:w="7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Tier 1 risk-based capital ratio</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14.78%</w:t>
            </w:r>
          </w:p>
        </w:tc>
      </w:tr>
      <w:tr>
        <w:trPr>
          <w:trHeight w:val="215"/>
        </w:trPr>
        <w:tc>
          <w:tcPr>
            <w:tcW w:w="7260" w:type="dxa"/>
            <w:vAlign w:val="bottom"/>
          </w:tcPr>
          <w:p>
            <w:pPr>
              <w:ind w:left="160"/>
              <w:spacing w:after="0"/>
              <w:rPr>
                <w:sz w:val="20"/>
                <w:szCs w:val="20"/>
                <w:color w:val="auto"/>
              </w:rPr>
            </w:pPr>
            <w:r>
              <w:rPr>
                <w:rFonts w:ascii="Arial" w:cs="Arial" w:eastAsia="Arial" w:hAnsi="Arial"/>
                <w:sz w:val="17"/>
                <w:szCs w:val="17"/>
                <w:color w:val="auto"/>
              </w:rPr>
              <w:t>Total risk-based capital ratio</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16.58%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19.08%</w:t>
            </w:r>
          </w:p>
        </w:tc>
      </w:tr>
    </w:tbl>
    <w:p>
      <w:pPr>
        <w:spacing w:after="0" w:line="180" w:lineRule="exact"/>
        <w:rPr>
          <w:sz w:val="20"/>
          <w:szCs w:val="20"/>
          <w:color w:val="auto"/>
        </w:rPr>
      </w:pPr>
    </w:p>
    <w:p>
      <w:pPr>
        <w:ind w:left="300" w:hanging="298"/>
        <w:spacing w:after="0" w:line="291" w:lineRule="auto"/>
        <w:tabs>
          <w:tab w:leader="none" w:pos="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a non-GAAP financial measure. See our reconciliation of non-GAAP financial measures to their most directly comparable GAAP financial measures under the caption “Management’s Discussion and Analysis of Financial Condition and Results of Operations — Non-GAAP Financial Measures.”</w:t>
      </w: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8"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efficiency ratio is calculated by dividing noninterest expense by the sum of net interest income on a tax-equivalent basis and noninterest income.</w:t>
      </w:r>
    </w:p>
    <w:p>
      <w:pPr>
        <w:spacing w:after="0" w:line="19" w:lineRule="exact"/>
        <w:rPr>
          <w:rFonts w:ascii="Arial" w:cs="Arial" w:eastAsia="Arial" w:hAnsi="Arial"/>
          <w:sz w:val="16"/>
          <w:szCs w:val="16"/>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Nonperforming assets consist of nonperforming loans plus OREO.</w:t>
      </w:r>
    </w:p>
    <w:p>
      <w:pPr>
        <w:spacing w:after="0" w:line="8" w:lineRule="exact"/>
        <w:rPr>
          <w:rFonts w:ascii="Arial" w:cs="Arial" w:eastAsia="Arial" w:hAnsi="Arial"/>
          <w:sz w:val="17"/>
          <w:szCs w:val="17"/>
          <w:color w:val="auto"/>
        </w:rPr>
      </w:pPr>
    </w:p>
    <w:p>
      <w:pPr>
        <w:ind w:left="300" w:hanging="298"/>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Nonperforming loans include nonaccrual loans and loans past due 90 days or more.</w:t>
      </w:r>
    </w:p>
    <w:p>
      <w:pPr>
        <w:sectPr>
          <w:pgSz w:w="11900" w:h="16838" w:orient="portrait"/>
          <w:cols w:equalWidth="0" w:num="1">
            <w:col w:w="11240"/>
          </w:cols>
          <w:pgMar w:left="320" w:top="106" w:right="339" w:bottom="0" w:gutter="0" w:footer="0" w:header="0"/>
        </w:sectPr>
      </w:pPr>
    </w:p>
    <w:bookmarkStart w:id="42" w:name="page43"/>
    <w:bookmarkEnd w:id="42"/>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45085</wp:posOffset>
            </wp:positionV>
            <wp:extent cx="713994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income for the year ended December 31, 2022 was $58.2 million, or $3.23 per diluted share, compared to $58.6 million, or $3.17 per diluted share, for the year ended December 31, 2021. The decrease in net income was primarily the result of a decrease of $21.3 million in noninterest income, offset by an increase of $16.7 million in net interest income and a decrease of $3.9 million in noninterest expense.</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Return on average assets was 1.47% and return on average equity was 15.79% for the year ended December 31, 2022, compared to 1.56% and 15.08%, respectively, for the year ended December 31, 2021. The decrease in return on average assets was primarily due to the decrease in net income of 0.6%, relative to a larger increase of 5.2% in total average assets.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income for the year ended December 31, 2021 was $58.6 million, or $3.17 per diluted share, compared to $45.4 million, or $2.47 per diluted share, for the year ended December 31, 2020. The increase in net income was primarily the result of a decrease of $27.5 million in provision for loan losses, offset by a decrease of $4.1 million in noninterest income, an increase of $6.3 million in noninterest expense and an increase of $3.3 million in income tax expense.</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Return on average assets was 1.56% and return on average equity was 15.08% for the year ended December 31, 2021, compared to 1.31% and 13.40%, respectively, for the year ended December 31, 2020. The increase in return on average assets was primarily due to the increase in net income of 29.2%, relative to a smaller increase of 8.8% in total average assets.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Paycheck Protection Program (“PPP”) was created by the Coronavirus Aid, Relief, and Economic Security Act (the “CARES Act”) and implemented by the U.S. Small Business Administration (the “SBA”) in March 2020. Funding for the PPP expired May 31, 2021. The PPP allowed entities to apply for a 1.00% interest rate loan with payments generally deferred until the date the lender receives the applicable forgiveness amount from the SBA. The Bank originated approximately 3,200 PPP loans for a total of $309.2 million. As of December 31, 2022, there was approximately $482 thousand still outstanding. The Company recorded PPP-related SBA interest and fee income of $2.1 million, $8.3 million, and $5.1 million during the years of 2022,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Income</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5" w:lineRule="exact"/>
        <w:rPr>
          <w:sz w:val="20"/>
          <w:szCs w:val="20"/>
          <w:color w:val="auto"/>
        </w:rPr>
      </w:pPr>
    </w:p>
    <w:p>
      <w:pPr>
        <w:jc w:val="both"/>
        <w:ind w:right="100"/>
        <w:spacing w:after="0" w:line="258" w:lineRule="auto"/>
        <w:rPr>
          <w:sz w:val="20"/>
          <w:szCs w:val="20"/>
          <w:color w:val="auto"/>
        </w:rPr>
      </w:pPr>
      <w:r>
        <w:rPr>
          <w:rFonts w:ascii="Arial" w:cs="Arial" w:eastAsia="Arial" w:hAnsi="Arial"/>
          <w:sz w:val="17"/>
          <w:szCs w:val="17"/>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7"/>
                <w:szCs w:val="17"/>
                <w:b w:val="1"/>
                <w:bCs w:val="1"/>
                <w:color w:val="auto"/>
                <w:w w:val="90"/>
              </w:rPr>
              <w:t>Year Ended December 31,</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left="15"/>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780" w:type="dxa"/>
            <w:vAlign w:val="bottom"/>
          </w:tcPr>
          <w:p>
            <w:pPr>
              <w:jc w:val="right"/>
              <w:ind w:right="15"/>
              <w:spacing w:after="0" w:line="187" w:lineRule="exact"/>
              <w:rPr>
                <w:sz w:val="20"/>
                <w:szCs w:val="20"/>
                <w:color w:val="auto"/>
              </w:rPr>
            </w:pPr>
            <w:r>
              <w:rPr>
                <w:rFonts w:ascii="Arial" w:cs="Arial" w:eastAsia="Arial" w:hAnsi="Arial"/>
                <w:sz w:val="17"/>
                <w:szCs w:val="17"/>
                <w:b w:val="1"/>
                <w:bCs w:val="1"/>
                <w:color w:val="auto"/>
                <w:w w:val="98"/>
              </w:rPr>
              <w:t>Average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5"/>
              <w:spacing w:after="0" w:line="187" w:lineRule="exact"/>
              <w:rPr>
                <w:sz w:val="20"/>
                <w:szCs w:val="20"/>
                <w:color w:val="auto"/>
              </w:rPr>
            </w:pPr>
            <w:r>
              <w:rPr>
                <w:rFonts w:ascii="Arial" w:cs="Arial" w:eastAsia="Arial" w:hAnsi="Arial"/>
                <w:sz w:val="17"/>
                <w:szCs w:val="17"/>
                <w:b w:val="1"/>
                <w:bCs w:val="1"/>
                <w:color w:val="auto"/>
                <w:w w:val="98"/>
              </w:rPr>
              <w:t>Average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5"/>
              <w:spacing w:after="0" w:line="187" w:lineRule="exact"/>
              <w:rPr>
                <w:sz w:val="20"/>
                <w:szCs w:val="20"/>
                <w:color w:val="auto"/>
              </w:rPr>
            </w:pPr>
            <w:r>
              <w:rPr>
                <w:rFonts w:ascii="Arial" w:cs="Arial" w:eastAsia="Arial" w:hAnsi="Arial"/>
                <w:sz w:val="17"/>
                <w:szCs w:val="17"/>
                <w:b w:val="1"/>
                <w:bCs w:val="1"/>
                <w:color w:val="auto"/>
                <w:w w:val="98"/>
              </w:rPr>
              <w:t>Average</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Balance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7"/>
              </w:rPr>
              <w:t>Interest</w:t>
            </w:r>
          </w:p>
        </w:tc>
        <w:tc>
          <w:tcPr>
            <w:tcW w:w="10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Yield/Rate</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Balance</w:t>
            </w:r>
          </w:p>
        </w:tc>
        <w:tc>
          <w:tcPr>
            <w:tcW w:w="10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Interest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9"/>
              </w:rPr>
              <w:t>Yield/Rate</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Balance</w:t>
            </w:r>
          </w:p>
        </w:tc>
        <w:tc>
          <w:tcPr>
            <w:tcW w:w="10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Interest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9"/>
              </w:rPr>
              <w:t>Yield/Rate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200"/>
              <w:spacing w:after="0"/>
              <w:rPr>
                <w:sz w:val="20"/>
                <w:szCs w:val="20"/>
                <w:color w:val="auto"/>
              </w:rPr>
            </w:pPr>
            <w:r>
              <w:rPr>
                <w:rFonts w:ascii="Arial" w:cs="Arial" w:eastAsia="Arial" w:hAnsi="Arial"/>
                <w:sz w:val="17"/>
                <w:szCs w:val="17"/>
                <w:b w:val="1"/>
                <w:bCs w:val="1"/>
                <w:color w:val="auto"/>
                <w:w w:val="89"/>
              </w:rPr>
              <w:t>(Dollars in thousands)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7"/>
                <w:szCs w:val="17"/>
                <w:color w:val="auto"/>
              </w:rPr>
              <w:t>Interest-earning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line="204" w:lineRule="exact"/>
              <w:rPr>
                <w:sz w:val="20"/>
                <w:szCs w:val="20"/>
                <w:color w:val="auto"/>
              </w:rPr>
            </w:pPr>
            <w:r>
              <w:rPr>
                <w:rFonts w:ascii="Arial" w:cs="Arial" w:eastAsia="Arial" w:hAnsi="Arial"/>
                <w:sz w:val="14"/>
                <w:szCs w:val="14"/>
                <w:color w:val="auto"/>
              </w:rPr>
              <w:t xml:space="preserve">Loans, excluding PPP </w:t>
            </w:r>
            <w:r>
              <w:rPr>
                <w:rFonts w:ascii="Arial" w:cs="Arial" w:eastAsia="Arial" w:hAnsi="Arial"/>
                <w:sz w:val="23"/>
                <w:szCs w:val="23"/>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$2,597,274</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$135,927</w:t>
            </w:r>
          </w:p>
        </w:tc>
        <w:tc>
          <w:tcPr>
            <w:tcW w:w="10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5.23%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$2,302,413</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7"/>
              </w:rPr>
              <w:t>$ 112,255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$ 2,181,118</w:t>
            </w:r>
          </w:p>
        </w:tc>
        <w:tc>
          <w:tcPr>
            <w:tcW w:w="8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95"/>
              </w:rPr>
              <w:t>$ 116,753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Loans - PPP</w:t>
            </w:r>
          </w:p>
        </w:tc>
        <w:tc>
          <w:tcPr>
            <w:tcW w:w="780" w:type="dxa"/>
            <w:vAlign w:val="bottom"/>
          </w:tcPr>
          <w:p>
            <w:pPr>
              <w:jc w:val="right"/>
              <w:spacing w:after="0"/>
              <w:rPr>
                <w:sz w:val="20"/>
                <w:szCs w:val="20"/>
                <w:color w:val="auto"/>
              </w:rPr>
            </w:pPr>
            <w:r>
              <w:rPr>
                <w:rFonts w:ascii="Arial" w:cs="Arial" w:eastAsia="Arial" w:hAnsi="Arial"/>
                <w:sz w:val="17"/>
                <w:szCs w:val="17"/>
                <w:color w:val="auto"/>
              </w:rPr>
              <w:t>14,887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2,030</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13.64%</w:t>
            </w:r>
          </w:p>
        </w:tc>
        <w:tc>
          <w:tcPr>
            <w:tcW w:w="780" w:type="dxa"/>
            <w:vAlign w:val="bottom"/>
          </w:tcPr>
          <w:p>
            <w:pPr>
              <w:jc w:val="right"/>
              <w:spacing w:after="0"/>
              <w:rPr>
                <w:sz w:val="20"/>
                <w:szCs w:val="20"/>
                <w:color w:val="auto"/>
              </w:rPr>
            </w:pPr>
            <w:r>
              <w:rPr>
                <w:rFonts w:ascii="Arial" w:cs="Arial" w:eastAsia="Arial" w:hAnsi="Arial"/>
                <w:sz w:val="17"/>
                <w:szCs w:val="17"/>
                <w:color w:val="auto"/>
              </w:rPr>
              <w:t>117,788</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8,290</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7.04%</w:t>
            </w:r>
          </w:p>
        </w:tc>
        <w:tc>
          <w:tcPr>
            <w:tcW w:w="780" w:type="dxa"/>
            <w:vAlign w:val="bottom"/>
          </w:tcPr>
          <w:p>
            <w:pPr>
              <w:jc w:val="right"/>
              <w:spacing w:after="0"/>
              <w:rPr>
                <w:sz w:val="20"/>
                <w:szCs w:val="20"/>
                <w:color w:val="auto"/>
              </w:rPr>
            </w:pPr>
            <w:r>
              <w:rPr>
                <w:rFonts w:ascii="Arial" w:cs="Arial" w:eastAsia="Arial" w:hAnsi="Arial"/>
                <w:sz w:val="17"/>
                <w:szCs w:val="17"/>
                <w:color w:val="auto"/>
              </w:rPr>
              <w:t>144,514</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5,130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Investment securities – taxable</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594,405</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15,010</w:t>
            </w:r>
          </w:p>
        </w:tc>
        <w:tc>
          <w:tcPr>
            <w:tcW w:w="10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532,272</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9,292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547,107</w:t>
            </w:r>
          </w:p>
        </w:tc>
        <w:tc>
          <w:tcPr>
            <w:tcW w:w="7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11,852</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Investment securities – non-taxable</w:t>
            </w:r>
          </w:p>
        </w:tc>
        <w:tc>
          <w:tcPr>
            <w:tcW w:w="780" w:type="dxa"/>
            <w:vAlign w:val="bottom"/>
          </w:tcPr>
          <w:p>
            <w:pPr>
              <w:jc w:val="right"/>
              <w:spacing w:after="0"/>
              <w:rPr>
                <w:sz w:val="20"/>
                <w:szCs w:val="20"/>
                <w:color w:val="auto"/>
              </w:rPr>
            </w:pPr>
            <w:r>
              <w:rPr>
                <w:rFonts w:ascii="Arial" w:cs="Arial" w:eastAsia="Arial" w:hAnsi="Arial"/>
                <w:sz w:val="17"/>
                <w:szCs w:val="17"/>
                <w:color w:val="auto"/>
              </w:rPr>
              <w:t>216,216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5,733</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2.65%</w:t>
            </w:r>
          </w:p>
        </w:tc>
        <w:tc>
          <w:tcPr>
            <w:tcW w:w="780" w:type="dxa"/>
            <w:vAlign w:val="bottom"/>
          </w:tcPr>
          <w:p>
            <w:pPr>
              <w:jc w:val="right"/>
              <w:spacing w:after="0"/>
              <w:rPr>
                <w:sz w:val="20"/>
                <w:szCs w:val="20"/>
                <w:color w:val="auto"/>
              </w:rPr>
            </w:pPr>
            <w:r>
              <w:rPr>
                <w:rFonts w:ascii="Arial" w:cs="Arial" w:eastAsia="Arial" w:hAnsi="Arial"/>
                <w:sz w:val="17"/>
                <w:szCs w:val="17"/>
                <w:color w:val="auto"/>
              </w:rPr>
              <w:t>219,385</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5,872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2.68%</w:t>
            </w:r>
          </w:p>
        </w:tc>
        <w:tc>
          <w:tcPr>
            <w:tcW w:w="780" w:type="dxa"/>
            <w:vAlign w:val="bottom"/>
          </w:tcPr>
          <w:p>
            <w:pPr>
              <w:jc w:val="right"/>
              <w:spacing w:after="0"/>
              <w:rPr>
                <w:sz w:val="20"/>
                <w:szCs w:val="20"/>
                <w:color w:val="auto"/>
              </w:rPr>
            </w:pPr>
            <w:r>
              <w:rPr>
                <w:rFonts w:ascii="Arial" w:cs="Arial" w:eastAsia="Arial" w:hAnsi="Arial"/>
                <w:sz w:val="17"/>
                <w:szCs w:val="17"/>
                <w:color w:val="auto"/>
              </w:rPr>
              <w:t>158,482</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4,489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line="203" w:lineRule="exact"/>
              <w:rPr>
                <w:sz w:val="20"/>
                <w:szCs w:val="20"/>
                <w:color w:val="auto"/>
              </w:rPr>
            </w:pPr>
            <w:r>
              <w:rPr>
                <w:rFonts w:ascii="Arial" w:cs="Arial" w:eastAsia="Arial" w:hAnsi="Arial"/>
                <w:sz w:val="14"/>
                <w:szCs w:val="14"/>
                <w:color w:val="auto"/>
              </w:rPr>
              <w:t xml:space="preserve">Other interest-earning assets </w:t>
            </w:r>
            <w:r>
              <w:rPr>
                <w:rFonts w:ascii="Arial" w:cs="Arial" w:eastAsia="Arial" w:hAnsi="Arial"/>
                <w:sz w:val="23"/>
                <w:szCs w:val="23"/>
                <w:color w:val="auto"/>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318,862</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3,675</w:t>
            </w:r>
          </w:p>
        </w:tc>
        <w:tc>
          <w:tcPr>
            <w:tcW w:w="10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336,081</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565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184,262</w:t>
            </w:r>
          </w:p>
        </w:tc>
        <w:tc>
          <w:tcPr>
            <w:tcW w:w="8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58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Total interest-earning assets</w:t>
            </w:r>
          </w:p>
        </w:tc>
        <w:tc>
          <w:tcPr>
            <w:tcW w:w="780" w:type="dxa"/>
            <w:vAlign w:val="bottom"/>
          </w:tcPr>
          <w:p>
            <w:pPr>
              <w:jc w:val="right"/>
              <w:spacing w:after="0"/>
              <w:rPr>
                <w:sz w:val="20"/>
                <w:szCs w:val="20"/>
                <w:color w:val="auto"/>
              </w:rPr>
            </w:pPr>
            <w:r>
              <w:rPr>
                <w:rFonts w:ascii="Arial" w:cs="Arial" w:eastAsia="Arial" w:hAnsi="Arial"/>
                <w:sz w:val="17"/>
                <w:szCs w:val="17"/>
                <w:color w:val="auto"/>
              </w:rPr>
              <w:t>3,741,644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162,375</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4.34%</w:t>
            </w:r>
          </w:p>
        </w:tc>
        <w:tc>
          <w:tcPr>
            <w:tcW w:w="780" w:type="dxa"/>
            <w:vAlign w:val="bottom"/>
          </w:tcPr>
          <w:p>
            <w:pPr>
              <w:jc w:val="right"/>
              <w:spacing w:after="0"/>
              <w:rPr>
                <w:sz w:val="20"/>
                <w:szCs w:val="20"/>
                <w:color w:val="auto"/>
              </w:rPr>
            </w:pPr>
            <w:r>
              <w:rPr>
                <w:rFonts w:ascii="Arial" w:cs="Arial" w:eastAsia="Arial" w:hAnsi="Arial"/>
                <w:sz w:val="17"/>
                <w:szCs w:val="17"/>
                <w:color w:val="auto"/>
              </w:rPr>
              <w:t>3,507,939</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136,274</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3.88%</w:t>
            </w:r>
          </w:p>
        </w:tc>
        <w:tc>
          <w:tcPr>
            <w:tcW w:w="780" w:type="dxa"/>
            <w:vAlign w:val="bottom"/>
          </w:tcPr>
          <w:p>
            <w:pPr>
              <w:jc w:val="right"/>
              <w:spacing w:after="0"/>
              <w:rPr>
                <w:sz w:val="20"/>
                <w:szCs w:val="20"/>
                <w:color w:val="auto"/>
              </w:rPr>
            </w:pPr>
            <w:r>
              <w:rPr>
                <w:rFonts w:ascii="Arial" w:cs="Arial" w:eastAsia="Arial" w:hAnsi="Arial"/>
                <w:sz w:val="17"/>
                <w:szCs w:val="17"/>
                <w:color w:val="auto"/>
              </w:rPr>
              <w:t>3,215,483</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139,324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Noninterest-earning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222,544</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261,140</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249,536</w:t>
            </w:r>
          </w:p>
        </w:tc>
        <w:tc>
          <w:tcPr>
            <w:tcW w:w="1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58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280"/>
              <w:spacing w:after="0"/>
              <w:rPr>
                <w:sz w:val="20"/>
                <w:szCs w:val="20"/>
                <w:color w:val="auto"/>
              </w:rPr>
            </w:pPr>
            <w:r>
              <w:rPr>
                <w:rFonts w:ascii="Arial" w:cs="Arial" w:eastAsia="Arial" w:hAnsi="Arial"/>
                <w:sz w:val="17"/>
                <w:szCs w:val="17"/>
                <w:color w:val="auto"/>
              </w:rPr>
              <w:t>Total assets</w:t>
            </w:r>
          </w:p>
        </w:tc>
        <w:tc>
          <w:tcPr>
            <w:tcW w:w="780" w:type="dxa"/>
            <w:vAlign w:val="bottom"/>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3,964,188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3,769,079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3,465,019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5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Interest-bearing liabilities:</w:t>
            </w: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NOW, savings and money market deposits</w:t>
            </w:r>
          </w:p>
        </w:tc>
        <w:tc>
          <w:tcPr>
            <w:tcW w:w="780" w:type="dxa"/>
            <w:vAlign w:val="bottom"/>
          </w:tcPr>
          <w:p>
            <w:pPr>
              <w:jc w:val="right"/>
              <w:spacing w:after="0"/>
              <w:rPr>
                <w:sz w:val="20"/>
                <w:szCs w:val="20"/>
                <w:color w:val="auto"/>
              </w:rPr>
            </w:pPr>
            <w:r>
              <w:rPr>
                <w:rFonts w:ascii="Arial" w:cs="Arial" w:eastAsia="Arial" w:hAnsi="Arial"/>
                <w:sz w:val="17"/>
                <w:szCs w:val="17"/>
                <w:color w:val="auto"/>
              </w:rPr>
              <w:t>1,889,888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13,013</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0.69%</w:t>
            </w:r>
          </w:p>
        </w:tc>
        <w:tc>
          <w:tcPr>
            <w:tcW w:w="780" w:type="dxa"/>
            <w:vAlign w:val="bottom"/>
          </w:tcPr>
          <w:p>
            <w:pPr>
              <w:jc w:val="right"/>
              <w:spacing w:after="0"/>
              <w:rPr>
                <w:sz w:val="20"/>
                <w:szCs w:val="20"/>
                <w:color w:val="auto"/>
              </w:rPr>
            </w:pPr>
            <w:r>
              <w:rPr>
                <w:rFonts w:ascii="Arial" w:cs="Arial" w:eastAsia="Arial" w:hAnsi="Arial"/>
                <w:sz w:val="17"/>
                <w:szCs w:val="17"/>
                <w:color w:val="auto"/>
              </w:rPr>
              <w:t>1,841,678</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4,163</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0.23%</w:t>
            </w:r>
          </w:p>
        </w:tc>
        <w:tc>
          <w:tcPr>
            <w:tcW w:w="780" w:type="dxa"/>
            <w:vAlign w:val="bottom"/>
          </w:tcPr>
          <w:p>
            <w:pPr>
              <w:jc w:val="right"/>
              <w:spacing w:after="0"/>
              <w:rPr>
                <w:sz w:val="20"/>
                <w:szCs w:val="20"/>
                <w:color w:val="auto"/>
              </w:rPr>
            </w:pPr>
            <w:r>
              <w:rPr>
                <w:rFonts w:ascii="Arial" w:cs="Arial" w:eastAsia="Arial" w:hAnsi="Arial"/>
                <w:sz w:val="17"/>
                <w:szCs w:val="17"/>
                <w:color w:val="auto"/>
              </w:rPr>
              <w:t>1,653,088</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6,337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Time deposits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327,289</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3,989</w:t>
            </w:r>
          </w:p>
        </w:tc>
        <w:tc>
          <w:tcPr>
            <w:tcW w:w="10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329,509</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4,130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331,623</w:t>
            </w:r>
          </w:p>
        </w:tc>
        <w:tc>
          <w:tcPr>
            <w:tcW w:w="8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Short-term borrowings</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0.00%</w:t>
            </w:r>
          </w:p>
        </w:tc>
        <w:tc>
          <w:tcPr>
            <w:tcW w:w="780" w:type="dxa"/>
            <w:vAlign w:val="bottom"/>
          </w:tcPr>
          <w:p>
            <w:pPr>
              <w:jc w:val="right"/>
              <w:spacing w:after="0"/>
              <w:rPr>
                <w:sz w:val="20"/>
                <w:szCs w:val="20"/>
                <w:color w:val="auto"/>
              </w:rPr>
            </w:pPr>
            <w:r>
              <w:rPr>
                <w:rFonts w:ascii="Arial" w:cs="Arial" w:eastAsia="Arial" w:hAnsi="Arial"/>
                <w:sz w:val="17"/>
                <w:szCs w:val="17"/>
                <w:color w:val="auto"/>
              </w:rPr>
              <w:t>8,045</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5</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0.06%</w:t>
            </w:r>
          </w:p>
        </w:tc>
        <w:tc>
          <w:tcPr>
            <w:tcW w:w="780" w:type="dxa"/>
            <w:vAlign w:val="bottom"/>
          </w:tcPr>
          <w:p>
            <w:pPr>
              <w:jc w:val="right"/>
              <w:spacing w:after="0"/>
              <w:rPr>
                <w:sz w:val="20"/>
                <w:szCs w:val="20"/>
                <w:color w:val="auto"/>
              </w:rPr>
            </w:pPr>
            <w:r>
              <w:rPr>
                <w:rFonts w:ascii="Arial" w:cs="Arial" w:eastAsia="Arial" w:hAnsi="Arial"/>
                <w:sz w:val="17"/>
                <w:szCs w:val="17"/>
                <w:color w:val="auto"/>
              </w:rPr>
              <w:t>19,404</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104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7"/>
              </w:rPr>
              <w:t>Notes payable &amp; other longer-term borrowings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19,641</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107,045</w:t>
            </w:r>
          </w:p>
        </w:tc>
        <w:tc>
          <w:tcPr>
            <w:tcW w:w="8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Subordinated debt</w:t>
            </w:r>
          </w:p>
        </w:tc>
        <w:tc>
          <w:tcPr>
            <w:tcW w:w="780" w:type="dxa"/>
            <w:vAlign w:val="bottom"/>
          </w:tcPr>
          <w:p>
            <w:pPr>
              <w:jc w:val="right"/>
              <w:spacing w:after="0"/>
              <w:rPr>
                <w:sz w:val="20"/>
                <w:szCs w:val="20"/>
                <w:color w:val="auto"/>
              </w:rPr>
            </w:pPr>
            <w:r>
              <w:rPr>
                <w:rFonts w:ascii="Arial" w:cs="Arial" w:eastAsia="Arial" w:hAnsi="Arial"/>
                <w:sz w:val="17"/>
                <w:szCs w:val="17"/>
                <w:color w:val="auto"/>
              </w:rPr>
              <w:t>75,874</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4,050</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5.34%</w:t>
            </w:r>
          </w:p>
        </w:tc>
        <w:tc>
          <w:tcPr>
            <w:tcW w:w="780" w:type="dxa"/>
            <w:vAlign w:val="bottom"/>
          </w:tcPr>
          <w:p>
            <w:pPr>
              <w:jc w:val="right"/>
              <w:spacing w:after="0"/>
              <w:rPr>
                <w:sz w:val="20"/>
                <w:szCs w:val="20"/>
                <w:color w:val="auto"/>
              </w:rPr>
            </w:pPr>
            <w:r>
              <w:rPr>
                <w:rFonts w:ascii="Arial" w:cs="Arial" w:eastAsia="Arial" w:hAnsi="Arial"/>
                <w:sz w:val="17"/>
                <w:szCs w:val="17"/>
                <w:color w:val="auto"/>
              </w:rPr>
              <w:t>75,699</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4,056</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5.36%</w:t>
            </w:r>
          </w:p>
        </w:tc>
        <w:tc>
          <w:tcPr>
            <w:tcW w:w="780" w:type="dxa"/>
            <w:vAlign w:val="bottom"/>
          </w:tcPr>
          <w:p>
            <w:pPr>
              <w:jc w:val="right"/>
              <w:spacing w:after="0"/>
              <w:rPr>
                <w:sz w:val="20"/>
                <w:szCs w:val="20"/>
                <w:color w:val="auto"/>
              </w:rPr>
            </w:pPr>
            <w:r>
              <w:rPr>
                <w:rFonts w:ascii="Arial" w:cs="Arial" w:eastAsia="Arial" w:hAnsi="Arial"/>
                <w:sz w:val="17"/>
                <w:szCs w:val="17"/>
                <w:color w:val="auto"/>
              </w:rPr>
              <w:t>38,747</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2,223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89"/>
              </w:rPr>
              <w:t>Junior subordinated deferrable interest debentures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46,393</w:t>
            </w: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1060" w:type="dxa"/>
            <w:vAlign w:val="bottom"/>
            <w:tcBorders>
              <w:left w:val="single" w:sz="8" w:color="CCEEFF"/>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3.54%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46,393</w:t>
            </w: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880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46,393</w:t>
            </w:r>
          </w:p>
        </w:tc>
        <w:tc>
          <w:tcPr>
            <w:tcW w:w="8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58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280"/>
              <w:spacing w:after="0"/>
              <w:rPr>
                <w:sz w:val="20"/>
                <w:szCs w:val="20"/>
                <w:color w:val="auto"/>
              </w:rPr>
            </w:pPr>
            <w:r>
              <w:rPr>
                <w:rFonts w:ascii="Arial" w:cs="Arial" w:eastAsia="Arial" w:hAnsi="Arial"/>
                <w:sz w:val="17"/>
                <w:szCs w:val="17"/>
                <w:color w:val="auto"/>
              </w:rPr>
              <w:t>Total interest-bearing liabilities</w:t>
            </w:r>
          </w:p>
        </w:tc>
        <w:tc>
          <w:tcPr>
            <w:tcW w:w="780" w:type="dxa"/>
            <w:vAlign w:val="bottom"/>
          </w:tcPr>
          <w:p>
            <w:pPr>
              <w:jc w:val="right"/>
              <w:spacing w:after="0"/>
              <w:rPr>
                <w:sz w:val="20"/>
                <w:szCs w:val="20"/>
                <w:color w:val="auto"/>
              </w:rPr>
            </w:pPr>
            <w:r>
              <w:rPr>
                <w:rFonts w:ascii="Arial" w:cs="Arial" w:eastAsia="Arial" w:hAnsi="Arial"/>
                <w:sz w:val="17"/>
                <w:szCs w:val="17"/>
                <w:color w:val="auto"/>
              </w:rPr>
              <w:t>2,339,448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22,692</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0.97%</w:t>
            </w:r>
          </w:p>
        </w:tc>
        <w:tc>
          <w:tcPr>
            <w:tcW w:w="780" w:type="dxa"/>
            <w:vAlign w:val="bottom"/>
          </w:tcPr>
          <w:p>
            <w:pPr>
              <w:jc w:val="right"/>
              <w:spacing w:after="0"/>
              <w:rPr>
                <w:sz w:val="20"/>
                <w:szCs w:val="20"/>
                <w:color w:val="auto"/>
              </w:rPr>
            </w:pPr>
            <w:r>
              <w:rPr>
                <w:rFonts w:ascii="Arial" w:cs="Arial" w:eastAsia="Arial" w:hAnsi="Arial"/>
                <w:sz w:val="17"/>
                <w:szCs w:val="17"/>
                <w:color w:val="auto"/>
              </w:rPr>
              <w:t>2,320,965</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13,272</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0.57%</w:t>
            </w:r>
          </w:p>
        </w:tc>
        <w:tc>
          <w:tcPr>
            <w:tcW w:w="780" w:type="dxa"/>
            <w:vAlign w:val="bottom"/>
          </w:tcPr>
          <w:p>
            <w:pPr>
              <w:jc w:val="right"/>
              <w:spacing w:after="0"/>
              <w:rPr>
                <w:sz w:val="20"/>
                <w:szCs w:val="20"/>
                <w:color w:val="auto"/>
              </w:rPr>
            </w:pPr>
            <w:r>
              <w:rPr>
                <w:rFonts w:ascii="Arial" w:cs="Arial" w:eastAsia="Arial" w:hAnsi="Arial"/>
                <w:sz w:val="17"/>
                <w:szCs w:val="17"/>
                <w:color w:val="auto"/>
              </w:rPr>
              <w:t>2,196,300</w:t>
            </w:r>
          </w:p>
        </w:tc>
        <w:tc>
          <w:tcPr>
            <w:tcW w:w="860" w:type="dxa"/>
            <w:vAlign w:val="bottom"/>
            <w:gridSpan w:val="3"/>
          </w:tcPr>
          <w:p>
            <w:pPr>
              <w:jc w:val="right"/>
              <w:ind w:right="120"/>
              <w:spacing w:after="0"/>
              <w:rPr>
                <w:sz w:val="20"/>
                <w:szCs w:val="20"/>
                <w:color w:val="auto"/>
              </w:rPr>
            </w:pPr>
            <w:r>
              <w:rPr>
                <w:rFonts w:ascii="Arial" w:cs="Arial" w:eastAsia="Arial" w:hAnsi="Arial"/>
                <w:sz w:val="17"/>
                <w:szCs w:val="17"/>
                <w:color w:val="auto"/>
              </w:rPr>
              <w:t>15,946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0.73%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58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Noninterest-bearing liabilities: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Noninterest-bearing deposits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1,189,730</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1,016,835</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888,653</w:t>
            </w:r>
          </w:p>
        </w:tc>
        <w:tc>
          <w:tcPr>
            <w:tcW w:w="1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Other liabilities</w:t>
            </w:r>
          </w:p>
        </w:tc>
        <w:tc>
          <w:tcPr>
            <w:tcW w:w="780" w:type="dxa"/>
            <w:vAlign w:val="bottom"/>
          </w:tcPr>
          <w:p>
            <w:pPr>
              <w:jc w:val="right"/>
              <w:spacing w:after="0"/>
              <w:rPr>
                <w:sz w:val="20"/>
                <w:szCs w:val="20"/>
                <w:color w:val="auto"/>
              </w:rPr>
            </w:pPr>
            <w:r>
              <w:rPr>
                <w:rFonts w:ascii="Arial" w:cs="Arial" w:eastAsia="Arial" w:hAnsi="Arial"/>
                <w:sz w:val="17"/>
                <w:szCs w:val="17"/>
                <w:color w:val="auto"/>
              </w:rPr>
              <w:t>66,182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42,654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41,573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noninterest-bearing liabilities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1,255,912</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1,059,489</w:t>
            </w:r>
          </w:p>
        </w:tc>
        <w:tc>
          <w:tcPr>
            <w:tcW w:w="10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930,226</w:t>
            </w:r>
          </w:p>
        </w:tc>
        <w:tc>
          <w:tcPr>
            <w:tcW w:w="1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280"/>
              <w:spacing w:after="0"/>
              <w:rPr>
                <w:sz w:val="20"/>
                <w:szCs w:val="20"/>
                <w:color w:val="auto"/>
              </w:rPr>
            </w:pPr>
            <w:r>
              <w:rPr>
                <w:rFonts w:ascii="Arial" w:cs="Arial" w:eastAsia="Arial" w:hAnsi="Arial"/>
                <w:sz w:val="17"/>
                <w:szCs w:val="17"/>
                <w:color w:val="auto"/>
              </w:rPr>
              <w:t>Stockholders’ equity</w:t>
            </w:r>
          </w:p>
        </w:tc>
        <w:tc>
          <w:tcPr>
            <w:tcW w:w="780" w:type="dxa"/>
            <w:vAlign w:val="bottom"/>
          </w:tcPr>
          <w:p>
            <w:pPr>
              <w:jc w:val="right"/>
              <w:spacing w:after="0"/>
              <w:rPr>
                <w:sz w:val="20"/>
                <w:szCs w:val="20"/>
                <w:color w:val="auto"/>
              </w:rPr>
            </w:pPr>
            <w:r>
              <w:rPr>
                <w:rFonts w:ascii="Arial" w:cs="Arial" w:eastAsia="Arial" w:hAnsi="Arial"/>
                <w:sz w:val="17"/>
                <w:szCs w:val="17"/>
                <w:color w:val="auto"/>
              </w:rPr>
              <w:t>368,828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388,625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338,493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3,964,188</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3,769,079</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3,465,019</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3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interest income</w:t>
            </w:r>
          </w:p>
        </w:tc>
        <w:tc>
          <w:tcPr>
            <w:tcW w:w="780" w:type="dxa"/>
            <w:vAlign w:val="bottom"/>
            <w:shd w:val="clear" w:color="auto" w:fill="CCEEFF"/>
          </w:tcPr>
          <w:p>
            <w:pPr>
              <w:spacing w:after="0"/>
              <w:rPr>
                <w:sz w:val="21"/>
                <w:szCs w:val="21"/>
                <w:color w:val="auto"/>
              </w:rPr>
            </w:pPr>
          </w:p>
        </w:tc>
        <w:tc>
          <w:tcPr>
            <w:tcW w:w="7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139,683</w:t>
            </w:r>
          </w:p>
        </w:tc>
        <w:tc>
          <w:tcPr>
            <w:tcW w:w="10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6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123,002</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123,378</w:t>
            </w: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interest spread</w:t>
            </w: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3.37%</w:t>
            </w: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3.31%</w:t>
            </w: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8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4"/>
                <w:szCs w:val="14"/>
                <w:color w:val="auto"/>
              </w:rPr>
              <w:t>Net interest margin</w:t>
            </w:r>
            <w:r>
              <w:rPr>
                <w:rFonts w:ascii="Arial" w:cs="Arial" w:eastAsia="Arial" w:hAnsi="Arial"/>
                <w:sz w:val="22"/>
                <w:szCs w:val="22"/>
                <w:color w:val="auto"/>
                <w:vertAlign w:val="superscript"/>
              </w:rPr>
              <w:t>(3)</w:t>
            </w: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3.73%</w:t>
            </w: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3.51%</w:t>
            </w:r>
          </w:p>
        </w:tc>
        <w:tc>
          <w:tcPr>
            <w:tcW w:w="7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Average loan balances include nonaccrual loans and loans held for sale.</w:t>
      </w:r>
    </w:p>
    <w:p>
      <w:pPr>
        <w:spacing w:after="0" w:line="19" w:lineRule="exact"/>
        <w:rPr>
          <w:rFonts w:ascii="Arial" w:cs="Arial" w:eastAsia="Arial" w:hAnsi="Arial"/>
          <w:sz w:val="17"/>
          <w:szCs w:val="17"/>
          <w:color w:val="auto"/>
        </w:rPr>
      </w:pPr>
    </w:p>
    <w:p>
      <w:pPr>
        <w:ind w:left="300" w:right="100" w:hanging="298"/>
        <w:spacing w:after="0" w:line="250" w:lineRule="auto"/>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income and average balances for interest-earning deposits at other banks, nonmarketable securities, federal funds sold and other miscellaneous interest-earning assets.</w:t>
      </w:r>
    </w:p>
    <w:p>
      <w:pPr>
        <w:ind w:left="300" w:hanging="298"/>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interest margin is calculated as the annualized net interest income, on a fully tax-equivalent basis, divided by average interest-earning assets.</w:t>
      </w:r>
    </w:p>
    <w:p>
      <w:pPr>
        <w:spacing w:after="0" w:line="37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w:t>
      </w:r>
    </w:p>
    <w:p>
      <w:pPr>
        <w:spacing w:after="0" w:line="2" w:lineRule="exact"/>
        <w:rPr>
          <w:sz w:val="20"/>
          <w:szCs w:val="20"/>
          <w:color w:val="auto"/>
        </w:rPr>
      </w:pPr>
    </w:p>
    <w:p>
      <w:pPr>
        <w:ind w:firstLine="2"/>
        <w:spacing w:after="0" w:line="260" w:lineRule="auto"/>
        <w:tabs>
          <w:tab w:leader="none" w:pos="2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effects on interest income attributable to changes in rate (changes in rate multiplied by prior volume). Change applicable to both volume and rate have been allocated to volume.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9"/>
          </w:tcPr>
          <w:p>
            <w:pPr>
              <w:jc w:val="right"/>
              <w:ind w:right="580"/>
              <w:spacing w:after="0"/>
              <w:rPr>
                <w:sz w:val="20"/>
                <w:szCs w:val="20"/>
                <w:color w:val="auto"/>
              </w:rPr>
            </w:pPr>
            <w:r>
              <w:rPr>
                <w:rFonts w:ascii="Arial" w:cs="Arial" w:eastAsia="Arial" w:hAnsi="Arial"/>
                <w:sz w:val="17"/>
                <w:szCs w:val="17"/>
                <w:b w:val="1"/>
                <w:bCs w:val="1"/>
                <w:color w:val="auto"/>
                <w:w w:val="96"/>
              </w:rPr>
              <w:t>Year Ended December 31, 2022 over 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gridSpan w:val="8"/>
          </w:tcPr>
          <w:p>
            <w:pPr>
              <w:jc w:val="right"/>
              <w:ind w:right="480"/>
              <w:spacing w:after="0"/>
              <w:rPr>
                <w:sz w:val="20"/>
                <w:szCs w:val="20"/>
                <w:color w:val="auto"/>
              </w:rPr>
            </w:pPr>
            <w:r>
              <w:rPr>
                <w:rFonts w:ascii="Arial" w:cs="Arial" w:eastAsia="Arial" w:hAnsi="Arial"/>
                <w:sz w:val="17"/>
                <w:szCs w:val="17"/>
                <w:b w:val="1"/>
                <w:bCs w:val="1"/>
                <w:color w:val="auto"/>
                <w:w w:val="95"/>
              </w:rPr>
              <w:t>Year Ended December 31, 2021 over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jc w:val="right"/>
              <w:ind w:right="840"/>
              <w:spacing w:after="0"/>
              <w:rPr>
                <w:sz w:val="20"/>
                <w:szCs w:val="20"/>
                <w:color w:val="auto"/>
              </w:rPr>
            </w:pPr>
            <w:r>
              <w:rPr>
                <w:rFonts w:ascii="Arial" w:cs="Arial" w:eastAsia="Arial" w:hAnsi="Arial"/>
                <w:sz w:val="17"/>
                <w:szCs w:val="17"/>
                <w:b w:val="1"/>
                <w:bCs w:val="1"/>
                <w:color w:val="auto"/>
              </w:rPr>
              <w:t>Change due to:</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5"/>
          </w:tcPr>
          <w:p>
            <w:pPr>
              <w:jc w:val="right"/>
              <w:ind w:right="900"/>
              <w:spacing w:after="0"/>
              <w:rPr>
                <w:sz w:val="20"/>
                <w:szCs w:val="20"/>
                <w:color w:val="auto"/>
              </w:rPr>
            </w:pPr>
            <w:r>
              <w:rPr>
                <w:rFonts w:ascii="Arial" w:cs="Arial" w:eastAsia="Arial" w:hAnsi="Arial"/>
                <w:sz w:val="17"/>
                <w:szCs w:val="17"/>
                <w:b w:val="1"/>
                <w:bCs w:val="1"/>
                <w:color w:val="auto"/>
              </w:rPr>
              <w:t>Change due to:</w:t>
            </w: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Volume</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Rate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Total Variance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Volume</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Rate</w:t>
            </w: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Total Variance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Interest-earning assets: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w w:val="98"/>
              </w:rPr>
              <w:t>(Dollars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excluding PPP</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14,376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9,296</w:t>
            </w:r>
          </w:p>
        </w:tc>
        <w:tc>
          <w:tcPr>
            <w:tcW w:w="3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23,672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6,493</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(10,991)</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Loans - PPP</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(7,242)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(6,260)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(949)</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4,109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3,160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securities – taxable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1,085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Investment securities – non-taxable</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1,725</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(342)</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1,383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interest-earning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(1,441)</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Borders>
              <w:top w:val="single" w:sz="8" w:color="CCEEFF"/>
            </w:tcBorders>
          </w:tcPr>
          <w:p>
            <w:pPr>
              <w:ind w:left="280"/>
              <w:spacing w:after="0" w:line="191" w:lineRule="exact"/>
              <w:rPr>
                <w:sz w:val="20"/>
                <w:szCs w:val="20"/>
                <w:color w:val="auto"/>
              </w:rPr>
            </w:pPr>
            <w:r>
              <w:rPr>
                <w:rFonts w:ascii="Arial" w:cs="Arial" w:eastAsia="Arial" w:hAnsi="Arial"/>
                <w:sz w:val="17"/>
                <w:szCs w:val="17"/>
                <w:color w:val="auto"/>
              </w:rPr>
              <w:t>Total increase (decrease) in interest</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440"/>
              <w:spacing w:after="0"/>
              <w:rPr>
                <w:sz w:val="20"/>
                <w:szCs w:val="20"/>
                <w:color w:val="auto"/>
              </w:rPr>
            </w:pPr>
            <w:r>
              <w:rPr>
                <w:rFonts w:ascii="Arial" w:cs="Arial" w:eastAsia="Arial" w:hAnsi="Arial"/>
                <w:sz w:val="17"/>
                <w:szCs w:val="17"/>
                <w:color w:val="auto"/>
              </w:rPr>
              <w:t>income</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8,105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17,996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26,101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7,854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(10,904)</w:t>
            </w:r>
          </w:p>
        </w:tc>
        <w:tc>
          <w:tcPr>
            <w:tcW w:w="3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(3,050)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b w:val="1"/>
                <w:bCs w:val="1"/>
                <w:color w:val="auto"/>
              </w:rPr>
              <w:t>Interest-bearing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NOW, Savings, MMDAs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8,741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(2,897)</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Time deposits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(1,392)</w:t>
            </w:r>
          </w:p>
        </w:tc>
        <w:tc>
          <w:tcPr>
            <w:tcW w:w="3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(1,427)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Notes payable &amp; other borrowings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(456)</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c>
          <w:tcPr>
            <w:tcW w:w="3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Subordinated debt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ind w:left="140"/>
              <w:spacing w:after="0" w:line="191" w:lineRule="exact"/>
              <w:rPr>
                <w:sz w:val="20"/>
                <w:szCs w:val="20"/>
                <w:color w:val="auto"/>
              </w:rPr>
            </w:pPr>
            <w:r>
              <w:rPr>
                <w:rFonts w:ascii="Arial" w:cs="Arial" w:eastAsia="Arial" w:hAnsi="Arial"/>
                <w:sz w:val="17"/>
                <w:szCs w:val="17"/>
                <w:color w:val="auto"/>
              </w:rPr>
              <w:t>Junior subordinated deferrable interest</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280"/>
              <w:spacing w:after="0"/>
              <w:rPr>
                <w:sz w:val="20"/>
                <w:szCs w:val="20"/>
                <w:color w:val="auto"/>
              </w:rPr>
            </w:pPr>
            <w:r>
              <w:rPr>
                <w:rFonts w:ascii="Arial" w:cs="Arial" w:eastAsia="Arial" w:hAnsi="Arial"/>
                <w:sz w:val="17"/>
                <w:szCs w:val="17"/>
                <w:color w:val="auto"/>
              </w:rPr>
              <w:t>debentures</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(287)</w:t>
            </w:r>
          </w:p>
        </w:tc>
        <w:tc>
          <w:tcPr>
            <w:tcW w:w="3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shd w:val="clear" w:color="auto" w:fill="CCEEFF"/>
          </w:tcPr>
          <w:p>
            <w:pPr>
              <w:ind w:left="280"/>
              <w:spacing w:after="0" w:line="191" w:lineRule="exact"/>
              <w:rPr>
                <w:sz w:val="20"/>
                <w:szCs w:val="20"/>
                <w:color w:val="auto"/>
              </w:rPr>
            </w:pPr>
            <w:r>
              <w:rPr>
                <w:rFonts w:ascii="Arial" w:cs="Arial" w:eastAsia="Arial" w:hAnsi="Arial"/>
                <w:sz w:val="17"/>
                <w:szCs w:val="17"/>
                <w:color w:val="auto"/>
              </w:rPr>
              <w:t>Total increase (decrease) interest</w:t>
            </w: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expense:</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2,291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(4,965)</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net interest income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8,058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8,623</w:t>
            </w:r>
          </w:p>
        </w:tc>
        <w:tc>
          <w:tcPr>
            <w:tcW w:w="3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16,681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5,563</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(5,939)</w:t>
            </w: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2022 compared to Year Ended December 31, 2021</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interest income for the year ended December 31, 2022 was $138.5 million compared to $121.8 million for the year ended December 31, 2021, an increase of $16.7 million, or 13.7%. The increase in net interest income in 2022 was comprised of a $26.1 million, or 19.4%, increase in interest income, partially offset by a $9.4 million, or 71.0%, increase in interest expense. The increase in interest income was primarily attributable to increases of $17.4 million in loan interest income and $8.7 million in interest income from securities and other interest-earning assets. The increase in loan interest income was primarily due to growth of $192.0 million in average loans outstanding and the rising interest rate environment, partially offset by decreases of $102.9 million in average PPP loans and $6.3 million in the PPP-related interest and fees. The increase in interest income on securities and other interest-earning assets was primarily due to securities purchases and rising market interest rates. During the years ended December 31, 2022 and 2021, the Company recognized $2.0 million and $8.3 million, respectively, in PPP-related interest and fees.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$9.4 million increase in interest expense for the year ended December 31, 2022 was primarily related to a 40 basis points increase in the rate paid on interest-bearing liabilities and an increase of $18.5 million in average interest-bearing liabilities over the same period in 2021. The rise in rates was largely attributed to the Federal Open Market Committee of the Board of Governors of the Federal Reserve System repeatedly raising their target benchmark interest rate during, resulting in federal funds rate increases of 425 basis points between March and December of 2022.</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year ended December 31, 2022, net interest margin and net interest spread were 3.73% and 3.37%, respectively, compared to 3.51% and 3.31% for the same period in 2021, respectively, which reflects the changes in interest income and interest expense discussed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2021 compared to Year Ended December 31, 2020</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 xml:space="preserve">Net interest income for the year ended December 31, 2021 was $121.8 million compared to $122.3 million for the year ended December 31, 2020, a decrease of $0.5 million, or 0.4%. The decrease in net interest income was comprised of a $3.2 million, or 2.3%, decrease in interest income and a $2.7 million, or 16.8%, decrease in interest expense. </w:t>
      </w:r>
      <w:r>
        <w:rPr>
          <w:rFonts w:ascii="Arial" w:cs="Arial" w:eastAsia="Arial" w:hAnsi="Arial"/>
          <w:sz w:val="11"/>
          <w:szCs w:val="11"/>
          <w:color w:val="auto"/>
        </w:rPr>
        <w:t>T</w:t>
      </w:r>
      <w:r>
        <w:rPr>
          <w:rFonts w:ascii="Arial" w:cs="Arial" w:eastAsia="Arial" w:hAnsi="Arial"/>
          <w:sz w:val="15"/>
          <w:szCs w:val="15"/>
          <w:color w:val="auto"/>
        </w:rPr>
        <w:t>he decrease in interest income was primarily attributable to a decrease in the yield on average interest-earning assets of 45 basis points offset by the growth of $292.5 million in these assets during the year ended December 31, 2021. During the years ended December 31, 2021 and 2020, the Company recognized $8.3 and $5.1 million, respectively, in PPP-related interest and fees. When received, the PPP-related SBA fees are deferred and then accreted into interest income over the life of the applicable PPP loans. At the time of PPP loan forgiveness by the SBA, any remaining deferred fees are recognized immediately. At December 31, 2021 and 2020, there was $1.9 million and $4.1 million, respectively, of deferred PPP-related SBA fees that had not been accreted to income.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$2.7 million decrease in interest expense for the year ended December 31, 2021 was primarily related to a 16 basis points decrease in the rate paid on interest-bearing liabilities, partially offset by an increase of $124.7 million in average interest-bearing liabilities. The increase in average interest-bearing liabilities was mainly due to increased deposits from PPP loan funding, other government stimulus payments and programs during the period as well as organic growth, partially offset by the repayment of $75.0 million in long-term advances during 2021.</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year ended December 31, 2021, net interest margin and net interest spread were 3.51% and 3.31%, respectively, compared to 3.84% and 3.61% for the same period in 2020, respectively, which reflects the changes in interest income and interest expense discussed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Loan Losses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Credit risk is inherent in the business of making loans. We establish an allowance for loan losses through charges to earnings, which are shown in the consolidated statements of comprehensive income (loss)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2022 compared to Year Ended December 31, 2021</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provision for loan losses for the year ended December 31, 2022 was a negative $2.6 million compared to a negative $1.9 million for the year ended December 31, 2021. The decrease in the provision for loan losses for the year ended December 31, 2022 compared to the same period in 2021 was primarily due to improved credit metrics in the loan portfolio, specifically in the hotel segment, direct energy segment, and other Permian Basin-related credits, and a decline in the amount of loans that were actively under a COVID-19 pandemic-related modification, partially offset by growth of $310.5 million in loans held for investment. Net charge-offs decreased $1.3 million during 2022 as compared to 2021. The allowance for loan losses as a percentage of loans held for investment was 1.43% at December 31, 2022 and 1.73% at December 31, 2021. Further discussion of the allowance for loan losses is noted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2021 compared to Year Ended December 31, 2020</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loan losses for the year ended December 31, 2021 was a negative $1.9 million compared to $25.6 million for the year ended December 31, 2020. The decrease in the provision for loan losses for the year ended December 31, 2021 compared to the same period in 2020 was primarily a result of general improvement in the economy, a decline in the amount of loans actively under a modification, and a decrease in nonperforming loans. Net charge-offs decreased $2.7 million during 2021 as compared to 2020. The allowance for loan losses as a percentage of loans held for investment was 1.73% at December 31, 2021 and 2.05% at December 31, 2020. Further discussion of the allowance for loan losses is noted below.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Income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major components of our noninterest income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9"/>
          </w:tcPr>
          <w:p>
            <w:pPr>
              <w:jc w:val="center"/>
              <w:ind w:right="400"/>
              <w:spacing w:after="0"/>
              <w:rPr>
                <w:sz w:val="20"/>
                <w:szCs w:val="20"/>
                <w:color w:val="auto"/>
              </w:rPr>
            </w:pPr>
            <w:r>
              <w:rPr>
                <w:rFonts w:ascii="Arial" w:cs="Arial" w:eastAsia="Arial" w:hAnsi="Arial"/>
                <w:sz w:val="17"/>
                <w:szCs w:val="17"/>
                <w:b w:val="1"/>
                <w:bCs w:val="1"/>
                <w:color w:val="auto"/>
                <w:w w:val="89"/>
              </w:rPr>
              <w:t>December 31, 2022 over 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7"/>
                <w:szCs w:val="17"/>
                <w:b w:val="1"/>
                <w:bCs w:val="1"/>
                <w:color w:val="auto"/>
                <w:w w:val="89"/>
              </w:rPr>
              <w:t>December 31, 2021 over 2020</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5"/>
              <w:spacing w:after="0" w:line="187" w:lineRule="exact"/>
              <w:rPr>
                <w:sz w:val="20"/>
                <w:szCs w:val="20"/>
                <w:color w:val="auto"/>
              </w:rPr>
            </w:pPr>
            <w:r>
              <w:rPr>
                <w:rFonts w:ascii="Arial" w:cs="Arial" w:eastAsia="Arial" w:hAnsi="Arial"/>
                <w:sz w:val="17"/>
                <w:szCs w:val="17"/>
                <w:b w:val="1"/>
                <w:bCs w:val="1"/>
                <w:color w:val="auto"/>
              </w:rPr>
              <w:t>Increase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5"/>
              <w:spacing w:after="0" w:line="187" w:lineRule="exact"/>
              <w:rPr>
                <w:sz w:val="20"/>
                <w:szCs w:val="20"/>
                <w:color w:val="auto"/>
              </w:rPr>
            </w:pPr>
            <w:r>
              <w:rPr>
                <w:rFonts w:ascii="Arial" w:cs="Arial" w:eastAsia="Arial" w:hAnsi="Arial"/>
                <w:sz w:val="17"/>
                <w:szCs w:val="17"/>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1"/>
              </w:rPr>
              <w:t>(decrease)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9"/>
              </w:rPr>
              <w:t>(decrease)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vMerge w:val="restart"/>
          </w:tcPr>
          <w:p>
            <w:pPr>
              <w:spacing w:after="0"/>
              <w:rPr>
                <w:sz w:val="20"/>
                <w:szCs w:val="20"/>
                <w:color w:val="auto"/>
              </w:rPr>
            </w:pPr>
            <w:r>
              <w:rPr>
                <w:rFonts w:ascii="Arial" w:cs="Arial" w:eastAsia="Arial" w:hAnsi="Arial"/>
                <w:sz w:val="17"/>
                <w:szCs w:val="17"/>
                <w:color w:val="auto"/>
              </w:rPr>
              <w:t>Noninterest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6"/>
          </w:tcPr>
          <w:p>
            <w:pPr>
              <w:ind w:left="260"/>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Service charges on deposit accounts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Income from insurance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10,826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8,314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2,512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8,314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Bank card services and interchange fees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12,239</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10,035</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2,204</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Mortgage banking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31,370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59,726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(28,356)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59,726</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65,042</w:t>
            </w: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(5,316)</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Investment commissions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1,934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Fiduciary income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2,917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2,917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securities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(2,318)</w:t>
            </w:r>
          </w:p>
        </w:tc>
        <w:tc>
          <w:tcPr>
            <w:tcW w:w="0" w:type="dxa"/>
            <w:vAlign w:val="bottom"/>
          </w:tcPr>
          <w:p>
            <w:pPr>
              <w:spacing w:after="0"/>
              <w:rPr>
                <w:sz w:val="1"/>
                <w:szCs w:val="1"/>
                <w:color w:val="auto"/>
              </w:rPr>
            </w:pPr>
          </w:p>
        </w:tc>
      </w:tr>
      <w:tr>
        <w:trPr>
          <w:trHeight w:val="209"/>
        </w:trPr>
        <w:tc>
          <w:tcPr>
            <w:tcW w:w="3280" w:type="dxa"/>
            <w:vAlign w:val="bottom"/>
          </w:tcPr>
          <w:p>
            <w:pPr>
              <w:ind w:left="160"/>
              <w:spacing w:after="0" w:line="203" w:lineRule="exact"/>
              <w:rPr>
                <w:sz w:val="20"/>
                <w:szCs w:val="20"/>
                <w:color w:val="auto"/>
              </w:rPr>
            </w:pPr>
            <w:r>
              <w:rPr>
                <w:rFonts w:ascii="Arial" w:cs="Arial" w:eastAsia="Arial" w:hAnsi="Arial"/>
                <w:sz w:val="14"/>
                <w:szCs w:val="14"/>
                <w:color w:val="auto"/>
              </w:rPr>
              <w:t>Other income and fees</w:t>
            </w:r>
            <w:r>
              <w:rPr>
                <w:rFonts w:ascii="Arial" w:cs="Arial" w:eastAsia="Arial" w:hAnsi="Arial"/>
                <w:sz w:val="23"/>
                <w:szCs w:val="23"/>
                <w:color w:val="auto"/>
                <w:vertAlign w:val="superscript"/>
              </w:rPr>
              <w:t>(1)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4,583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5,376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noninterest income</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76,145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97,469</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101,603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00" w:hanging="298"/>
        <w:spacing w:after="0" w:line="274"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income and fees includes income and fees associated with the increase in the cash surrender value of life insurance, safe deposit box rental, check printing, collections, wire transfer and other miscellaneous services and income.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2022 compared to Year Ended December 31, 2021</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Noninterest income for the year ended December 31, 2022 was $76.1 million compared to $97.5 million for the year ended December 31, 2021, a decrease of $21.3 million, or 21.9%. Income from mortgage banking activities decreased $28.4 million, or 47.5%, to $31.4 million for the year ended December 31, 2022 from $59.7 million for the year ended December 31, 2021. The decrease was primarily the result of a reduction of $781.6 million, or 52.1%, in mortgage loan originations for the year ended December 31, 2022, compared to the year ended December 31, 2021, driven by rising mortgage interest rates during 2022 and the departure of several mortgage loan originators during the first quarter of 2022 and a decline in gain on sale margins. This decrease was partially offset by increases of $3.2 million in the fair value adjustment and $1.0 million in servicing income for the Company’s mortgage servicing rights portfolio. The remaining noninterest income increased $7.0 million in 2022, compared to 2021, primarily due to increased income from Small Business Investment Company (“SBIC”) investments of $2.3 million, $2.1 million in legal settlements, and growth in income from both insurance activities of $2.5 million and bank card services and interchange fees of $707 thousand, partially offset by a decrease of $527 thousand in fiduciary income.</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Management is continuing to monitor and assess the industry changes related to the consumer overdraft fees, and changes already made or any future changes could negatively impact overdraft fee income.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2021 compared to Year Ended December 31, 2020</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Noninterest income for the year ended December 31, 2021 was $97.5 million compared to $101.6 million for the year ended December 31, 2020, a decrease of $4.1 million, or 4.1%. Income from mortgage banking activities decreased $5.3 million, or 8.2%, to $59.7 million for the December 31, 2021 from $65.0 million for the year ended December 31, 2020. The decrease was primarily the result of a reduction of $106.3 million in interest rate lock commitments and a decline in gain on sale margins, partially offset by an increase of $58.1 million in mortgage loan originations for the year ended December 31, 2021 compared to the year ended December 31, 2020. Our mortgage originations experienced another high level of volume in 2021 as the industry continued to benefit from historic low levels of interest rates through a majority of 2021. Refinance activity represented 54% of the 2021 originations as compared to 53% in 2020. Additionally, bank card services and interchange fee income increased $2.2 million and income from insurance activities increased $670 thousand for the year ended December 31, 2021 compared to the year ended December 31, 2020. The increase in bank card services and interchange fee income was primarily tied to the growth in deposits, increased consumer spending, and the expansion of credit card services. The increase in income from insurance activities was primarily related to increased premiums paid in 2021. Further, there was a $2.3 million gain on sale of securities in the first quarter of 2020.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Expense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major components of our noninterest expense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9"/>
          </w:tcPr>
          <w:p>
            <w:pPr>
              <w:jc w:val="center"/>
              <w:ind w:right="400"/>
              <w:spacing w:after="0"/>
              <w:rPr>
                <w:sz w:val="20"/>
                <w:szCs w:val="20"/>
                <w:color w:val="auto"/>
              </w:rPr>
            </w:pPr>
            <w:r>
              <w:rPr>
                <w:rFonts w:ascii="Arial" w:cs="Arial" w:eastAsia="Arial" w:hAnsi="Arial"/>
                <w:sz w:val="17"/>
                <w:szCs w:val="17"/>
                <w:b w:val="1"/>
                <w:bCs w:val="1"/>
                <w:color w:val="auto"/>
                <w:w w:val="89"/>
              </w:rPr>
              <w:t>December 31, 2022 over 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gridSpan w:val="8"/>
          </w:tcPr>
          <w:p>
            <w:pPr>
              <w:jc w:val="center"/>
              <w:ind w:right="320"/>
              <w:spacing w:after="0"/>
              <w:rPr>
                <w:sz w:val="20"/>
                <w:szCs w:val="20"/>
                <w:color w:val="auto"/>
              </w:rPr>
            </w:pPr>
            <w:r>
              <w:rPr>
                <w:rFonts w:ascii="Arial" w:cs="Arial" w:eastAsia="Arial" w:hAnsi="Arial"/>
                <w:sz w:val="17"/>
                <w:szCs w:val="17"/>
                <w:b w:val="1"/>
                <w:bCs w:val="1"/>
                <w:color w:val="auto"/>
                <w:w w:val="89"/>
              </w:rPr>
              <w:t>December 31, 2021 over 2020</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75"/>
              <w:spacing w:after="0" w:line="187" w:lineRule="exact"/>
              <w:rPr>
                <w:sz w:val="20"/>
                <w:szCs w:val="20"/>
                <w:color w:val="auto"/>
              </w:rPr>
            </w:pPr>
            <w:r>
              <w:rPr>
                <w:rFonts w:ascii="Arial" w:cs="Arial" w:eastAsia="Arial" w:hAnsi="Arial"/>
                <w:sz w:val="17"/>
                <w:szCs w:val="17"/>
                <w:b w:val="1"/>
                <w:bCs w:val="1"/>
                <w:color w:val="auto"/>
              </w:rPr>
              <w:t>Increase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5"/>
              <w:spacing w:after="0" w:line="187" w:lineRule="exact"/>
              <w:rPr>
                <w:sz w:val="20"/>
                <w:szCs w:val="20"/>
                <w:color w:val="auto"/>
              </w:rPr>
            </w:pPr>
            <w:r>
              <w:rPr>
                <w:rFonts w:ascii="Arial" w:cs="Arial" w:eastAsia="Arial" w:hAnsi="Arial"/>
                <w:sz w:val="17"/>
                <w:szCs w:val="17"/>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1"/>
              </w:rPr>
              <w:t>(decrease)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9"/>
              </w:rPr>
              <w:t>(decrease)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vMerge w:val="restart"/>
          </w:tcPr>
          <w:p>
            <w:pPr>
              <w:spacing w:after="0"/>
              <w:rPr>
                <w:sz w:val="20"/>
                <w:szCs w:val="20"/>
                <w:color w:val="auto"/>
              </w:rPr>
            </w:pPr>
            <w:r>
              <w:rPr>
                <w:rFonts w:ascii="Arial" w:cs="Arial" w:eastAsia="Arial" w:hAnsi="Arial"/>
                <w:sz w:val="17"/>
                <w:szCs w:val="17"/>
                <w:color w:val="auto"/>
              </w:rPr>
              <w:t>Noninterest expense: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6"/>
          </w:tcPr>
          <w:p>
            <w:pPr>
              <w:ind w:left="260"/>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Salaries and employee benefits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86,323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(7,037)</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4,140</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Occupancy expense,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15,987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14,560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1,427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14,560</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14,658</w:t>
            </w: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Professional services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6,752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430</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Marketing and development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3,614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3,225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3,225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IT and data services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4,007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Bankcard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4,995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4,995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Appraisal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3,248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09"/>
        </w:trPr>
        <w:tc>
          <w:tcPr>
            <w:tcW w:w="3280" w:type="dxa"/>
            <w:vAlign w:val="bottom"/>
          </w:tcPr>
          <w:p>
            <w:pPr>
              <w:ind w:left="160"/>
              <w:spacing w:after="0" w:line="203" w:lineRule="exact"/>
              <w:rPr>
                <w:sz w:val="20"/>
                <w:szCs w:val="20"/>
                <w:color w:val="auto"/>
              </w:rPr>
            </w:pPr>
            <w:r>
              <w:rPr>
                <w:rFonts w:ascii="Arial" w:cs="Arial" w:eastAsia="Arial" w:hAnsi="Arial"/>
                <w:sz w:val="14"/>
                <w:szCs w:val="14"/>
                <w:color w:val="auto"/>
              </w:rPr>
              <w:t>Other expenses</w:t>
            </w:r>
            <w:r>
              <w:rPr>
                <w:rFonts w:ascii="Arial" w:cs="Arial" w:eastAsia="Arial" w:hAnsi="Arial"/>
                <w:sz w:val="23"/>
                <w:szCs w:val="23"/>
                <w:color w:val="auto"/>
                <w:vertAlign w:val="superscript"/>
              </w:rPr>
              <w:t>(1)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17,522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17,883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17,883</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17,818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noninterest expense</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144,089</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148,030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141,715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(1) Other expenses include items such as banking regulatory assessments, telephone expenses, postage, courier fees, directors’ fees, and insurance.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2022 compared to Year Ended December 31, 2021</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Noninterest expense for the year ended December 31, 2022 was $144.1 million compared to $148.0 million for the year ended December 31, 2021, a decrease of $3.9 million, or 2.7%. Salaries and employee benefits decreased $7.0 million, or 7.5%, from $93.4 million for the December 31, 2021 to $86.3 million for the year ended December 31, 2022. This decrease in salaries and employee benefits expense was primarily driven by lower mortgage commissions of $10.3 million and reduced related supporting personnel expenses due to the contraction in mortgage loan originations, partially offset by an increase of $1.0 million in variable insurance commission expense and additional expense for commercial lenders hired as part of a planned initiative. All other noninterest expenses increased $3.1 million for the year ended December 31, 2022, compared to the same period in 2021. The increase was largely attributable to additional legal fees of $2.6 million as a result of vendor dispute legal proceedings and other legal matters and a rise of $1.4 million in occupancy expense related to property repair and maintenance on banking house properties, partially offset by a reduction in appraisal expenses of $1.5 million and other variable mortgage-related expenses.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2021 compared to Year Ended December 31, 2020</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Noninterest expense for the year ended December 31, 2021 was $148.0 million compared to $141.7 million for the year ended December 31, 2020, an increase of $6.3 million, or 4.5%. Salaries and employee benefits increased $4.1 million, or 4.6%, from $89.2 million for the December 31, 2020 to $93.4 million for the year ended December 31, 2021. This increase in salaries and employee benefits expense was predominately driven by increased commissions paid on the higher volume of mortgage loan originations and other personnel expenses to support mortgage activities. Additionally, salary expense increased due to expenses for incentive-based compensation related to the growth in loans held for investment in 2021 and for newly-hired commercial loan officers as part of our stated initiative. All other noninterest expenses increased $2.2 million for the year ended December 31, 2021, compared to the same period in 2020. This increase was primarily related to additional expenses incurred in 2021 for bankcard expenses as a result of increased consumer spending, growth in deposits, and credit card program expenses. Additionally, there were increases in appraisal expenses due to the high mortgage volume noted above and increased technology costs as part of the investment in planning our transition of computing and data storage to the cloud as well as further development of the new customer lead generation initiative.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Our total assets increased $42.2 million, or 1.1%, to $3.94 billion at December 31, 2022 as compared to $3.90 billion at December 31, 2021. Our loans held for investment increased $310.5 million, or 12.7%, to $2.75 billion at December 31, 2022, compared to $2.44 billion at December 31, 2021. Total deposits increased $65.2 million, or 2.0% to $3.41 billion at December 31, 2022, compared to $3.34 billion at December 31, 2021. The increase in total assets, loans, and deposits was primarily the continued result of organic growth of the Company, which included hiring new commercial lenders as part of a stated growth initiative.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Portfolio</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Loans held for investments increased $310.5 million, or 12.7%, to $2.75 billion at December 31, 2022 as compared to $2.44 billion at December 31, 2021. We had net organic growth in non-PPP loans of $350.2 million during the year ended December 31, 2022, partially offset by a decrease due to SBA forgiveness and repayments of $39.7 million in PPP loans during 2022. The organic loan growth remained relationship-focused and occurred primarily in commercial real estate loans, residential mortgage loans, and consumer auto loans, partially offset by decreases in ag production, energy and hotel loans.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contractual maturities of our loans held for investment portfolio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35"/>
              <w:spacing w:after="0"/>
              <w:rPr>
                <w:sz w:val="20"/>
                <w:szCs w:val="20"/>
                <w:color w:val="auto"/>
              </w:rPr>
            </w:pPr>
            <w:r>
              <w:rPr>
                <w:rFonts w:ascii="Arial" w:cs="Arial" w:eastAsia="Arial" w:hAnsi="Arial"/>
                <w:sz w:val="17"/>
                <w:szCs w:val="17"/>
                <w:b w:val="1"/>
                <w:bCs w:val="1"/>
                <w:color w:val="auto"/>
                <w:w w:val="91"/>
              </w:rPr>
              <w:t>Due after One</w:t>
            </w:r>
          </w:p>
        </w:tc>
        <w:tc>
          <w:tcPr>
            <w:tcW w:w="1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Due after Five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Due in</w:t>
            </w:r>
          </w:p>
        </w:tc>
        <w:tc>
          <w:tcPr>
            <w:tcW w:w="240" w:type="dxa"/>
            <w:vAlign w:val="bottom"/>
          </w:tcPr>
          <w:p>
            <w:pPr>
              <w:spacing w:after="0"/>
              <w:rPr>
                <w:sz w:val="17"/>
                <w:szCs w:val="17"/>
                <w:color w:val="auto"/>
              </w:rPr>
            </w:pPr>
          </w:p>
        </w:tc>
        <w:tc>
          <w:tcPr>
            <w:tcW w:w="1020" w:type="dxa"/>
            <w:vAlign w:val="bottom"/>
            <w:gridSpan w:val="2"/>
          </w:tcPr>
          <w:p>
            <w:pPr>
              <w:jc w:val="center"/>
              <w:ind w:right="275"/>
              <w:spacing w:after="0"/>
              <w:rPr>
                <w:sz w:val="20"/>
                <w:szCs w:val="20"/>
                <w:color w:val="auto"/>
              </w:rPr>
            </w:pPr>
            <w:r>
              <w:rPr>
                <w:rFonts w:ascii="Arial" w:cs="Arial" w:eastAsia="Arial" w:hAnsi="Arial"/>
                <w:sz w:val="17"/>
                <w:szCs w:val="17"/>
                <w:b w:val="1"/>
                <w:bCs w:val="1"/>
                <w:color w:val="auto"/>
                <w:w w:val="92"/>
              </w:rPr>
              <w:t>Year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Years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One Year or</w:t>
            </w:r>
          </w:p>
        </w:tc>
        <w:tc>
          <w:tcPr>
            <w:tcW w:w="1260" w:type="dxa"/>
            <w:vAlign w:val="bottom"/>
            <w:gridSpan w:val="3"/>
          </w:tcPr>
          <w:p>
            <w:pPr>
              <w:jc w:val="center"/>
              <w:ind w:right="35"/>
              <w:spacing w:after="0"/>
              <w:rPr>
                <w:sz w:val="20"/>
                <w:szCs w:val="20"/>
                <w:color w:val="auto"/>
              </w:rPr>
            </w:pPr>
            <w:r>
              <w:rPr>
                <w:rFonts w:ascii="Arial" w:cs="Arial" w:eastAsia="Arial" w:hAnsi="Arial"/>
                <w:sz w:val="17"/>
                <w:szCs w:val="17"/>
                <w:b w:val="1"/>
                <w:bCs w:val="1"/>
                <w:color w:val="auto"/>
                <w:w w:val="90"/>
              </w:rPr>
              <w:t>Through Five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Through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Due after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2"/>
              </w:rPr>
              <w:t>Less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86"/>
              </w:rPr>
              <w:t>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Fifteen Years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Fifteen Years</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5"/>
          </w:tcPr>
          <w:p>
            <w:pPr>
              <w:jc w:val="center"/>
              <w:ind w:right="20"/>
              <w:spacing w:after="0"/>
              <w:rPr>
                <w:sz w:val="20"/>
                <w:szCs w:val="20"/>
                <w:color w:val="auto"/>
              </w:rPr>
            </w:pPr>
            <w:r>
              <w:rPr>
                <w:rFonts w:ascii="Arial" w:cs="Arial" w:eastAsia="Arial" w:hAnsi="Arial"/>
                <w:sz w:val="17"/>
                <w:szCs w:val="17"/>
                <w:b w:val="1"/>
                <w:bCs w:val="1"/>
                <w:color w:val="auto"/>
                <w:w w:val="86"/>
              </w:rPr>
              <w:t>(Dollars 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466,733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259,078</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84,207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919,358</w:t>
            </w: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Commercial - specialized</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78,219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7"/>
                <w:szCs w:val="17"/>
                <w:color w:val="auto"/>
              </w:rPr>
              <w:t>137,599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63,318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48,377</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327,513</w:t>
            </w: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153,698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123,344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484,783</w:t>
            </w: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Consumer: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1-4 family residential</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79,853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72,189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273,097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460,124</w:t>
            </w:r>
          </w:p>
        </w:tc>
      </w:tr>
      <w:tr>
        <w:trPr>
          <w:trHeight w:val="204"/>
        </w:trPr>
        <w:tc>
          <w:tcPr>
            <w:tcW w:w="4620" w:type="dxa"/>
            <w:vAlign w:val="bottom"/>
          </w:tcPr>
          <w:p>
            <w:pPr>
              <w:ind w:left="160"/>
              <w:spacing w:after="0"/>
              <w:rPr>
                <w:sz w:val="20"/>
                <w:szCs w:val="20"/>
                <w:color w:val="auto"/>
              </w:rPr>
            </w:pPr>
            <w:r>
              <w:rPr>
                <w:rFonts w:ascii="Arial" w:cs="Arial" w:eastAsia="Arial" w:hAnsi="Arial"/>
                <w:sz w:val="17"/>
                <w:szCs w:val="17"/>
                <w:color w:val="auto"/>
              </w:rPr>
              <w:t>Auto loans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7"/>
                <w:szCs w:val="17"/>
                <w:color w:val="auto"/>
              </w:rPr>
              <w:t>164,175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154,148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321,476</w:t>
            </w:r>
          </w:p>
        </w:tc>
      </w:tr>
      <w:tr>
        <w:trPr>
          <w:trHeight w:val="204"/>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consumer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48,476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27,557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81,308</w:t>
            </w: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Construction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129,531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7"/>
                <w:szCs w:val="17"/>
                <w:color w:val="auto"/>
              </w:rPr>
              <w:t>12,550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10,161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153,519</w:t>
            </w:r>
          </w:p>
        </w:tc>
      </w:tr>
      <w:tr>
        <w:trPr>
          <w:trHeight w:val="24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445,426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1,063,084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700,911</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538,660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2,748,081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distribution between fixed and adjustable interest rate loans for maturities greater than one year as of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Fixed</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1"/>
              </w:rPr>
              <w:t>Adjustable</w:t>
            </w:r>
          </w:p>
        </w:tc>
      </w:tr>
      <w:tr>
        <w:trPr>
          <w:trHeight w:val="226"/>
        </w:trPr>
        <w:tc>
          <w:tcPr>
            <w:tcW w:w="5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Rate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Rate</w:t>
            </w:r>
          </w:p>
        </w:tc>
        <w:tc>
          <w:tcPr>
            <w:tcW w:w="100" w:type="dxa"/>
            <w:vAlign w:val="bottom"/>
          </w:tcPr>
          <w:p>
            <w:pPr>
              <w:spacing w:after="0"/>
              <w:rPr>
                <w:sz w:val="19"/>
                <w:szCs w:val="19"/>
                <w:color w:val="auto"/>
              </w:rPr>
            </w:pPr>
          </w:p>
        </w:tc>
      </w:tr>
      <w:tr>
        <w:trPr>
          <w:trHeight w:val="204"/>
        </w:trPr>
        <w:tc>
          <w:tcPr>
            <w:tcW w:w="5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rPr>
              <w:t>(Dollars in thousands)</w:t>
            </w: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370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377,747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432,271</w:t>
            </w:r>
          </w:p>
        </w:tc>
      </w:tr>
      <w:tr>
        <w:trPr>
          <w:trHeight w:val="204"/>
        </w:trPr>
        <w:tc>
          <w:tcPr>
            <w:tcW w:w="5200" w:type="dxa"/>
            <w:vAlign w:val="bottom"/>
          </w:tcPr>
          <w:p>
            <w:pPr>
              <w:spacing w:after="0"/>
              <w:rPr>
                <w:sz w:val="20"/>
                <w:szCs w:val="20"/>
                <w:color w:val="auto"/>
              </w:rPr>
            </w:pPr>
            <w:r>
              <w:rPr>
                <w:rFonts w:ascii="Arial" w:cs="Arial" w:eastAsia="Arial" w:hAnsi="Arial"/>
                <w:sz w:val="17"/>
                <w:szCs w:val="17"/>
                <w:color w:val="auto"/>
              </w:rPr>
              <w:t>Commercial - specialized</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71,235</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178,059</w:t>
            </w:r>
          </w:p>
        </w:tc>
      </w:tr>
      <w:tr>
        <w:trPr>
          <w:trHeight w:val="204"/>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247,321</w:t>
            </w:r>
          </w:p>
        </w:tc>
      </w:tr>
      <w:tr>
        <w:trPr>
          <w:trHeight w:val="204"/>
        </w:trPr>
        <w:tc>
          <w:tcPr>
            <w:tcW w:w="5200" w:type="dxa"/>
            <w:vAlign w:val="bottom"/>
          </w:tcPr>
          <w:p>
            <w:pPr>
              <w:spacing w:after="0"/>
              <w:rPr>
                <w:sz w:val="20"/>
                <w:szCs w:val="20"/>
                <w:color w:val="auto"/>
              </w:rPr>
            </w:pPr>
            <w:r>
              <w:rPr>
                <w:rFonts w:ascii="Arial" w:cs="Arial" w:eastAsia="Arial" w:hAnsi="Arial"/>
                <w:sz w:val="17"/>
                <w:szCs w:val="17"/>
                <w:color w:val="auto"/>
              </w:rPr>
              <w:t>Consumer:</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1-4 family residential</w:t>
            </w: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251,157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173,982</w:t>
            </w:r>
          </w:p>
        </w:tc>
      </w:tr>
      <w:tr>
        <w:trPr>
          <w:trHeight w:val="204"/>
        </w:trPr>
        <w:tc>
          <w:tcPr>
            <w:tcW w:w="5200" w:type="dxa"/>
            <w:vAlign w:val="bottom"/>
          </w:tcPr>
          <w:p>
            <w:pPr>
              <w:ind w:left="160"/>
              <w:spacing w:after="0"/>
              <w:rPr>
                <w:sz w:val="20"/>
                <w:szCs w:val="20"/>
                <w:color w:val="auto"/>
              </w:rPr>
            </w:pPr>
            <w:r>
              <w:rPr>
                <w:rFonts w:ascii="Arial" w:cs="Arial" w:eastAsia="Arial" w:hAnsi="Arial"/>
                <w:sz w:val="17"/>
                <w:szCs w:val="17"/>
                <w:color w:val="auto"/>
              </w:rPr>
              <w:t>Auto loans</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318,323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consumer</w:t>
            </w: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75,610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423</w:t>
            </w:r>
          </w:p>
        </w:tc>
      </w:tr>
      <w:tr>
        <w:trPr>
          <w:trHeight w:val="209"/>
        </w:trPr>
        <w:tc>
          <w:tcPr>
            <w:tcW w:w="5200" w:type="dxa"/>
            <w:vAlign w:val="bottom"/>
          </w:tcPr>
          <w:p>
            <w:pPr>
              <w:spacing w:after="0"/>
              <w:rPr>
                <w:sz w:val="20"/>
                <w:szCs w:val="20"/>
                <w:color w:val="auto"/>
              </w:rPr>
            </w:pPr>
            <w:r>
              <w:rPr>
                <w:rFonts w:ascii="Arial" w:cs="Arial" w:eastAsia="Arial" w:hAnsi="Arial"/>
                <w:sz w:val="17"/>
                <w:szCs w:val="17"/>
                <w:color w:val="auto"/>
              </w:rPr>
              <w:t>Construction</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20,501</w:t>
            </w:r>
          </w:p>
        </w:tc>
      </w:tr>
      <w:tr>
        <w:trPr>
          <w:trHeight w:val="24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loans</w:t>
            </w:r>
          </w:p>
        </w:tc>
        <w:tc>
          <w:tcPr>
            <w:tcW w:w="3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1,250,098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1,052,557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At December 31, 2022, there was $1.32 billion in adjustable rate loans, with $645.2 million of these loans that mature or reprice in the next twelve months. Of these loans that mature or reprice in the next twelve months, $416.4 million will reprice immediately upon changes in the underlying index rate, with the remaining $228.8 million being subject to rate ceilings, floors above the current index, or a future repricing date.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prime rate is the predominate index used by the Bank.</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Bank is primarily involved in real estate, commercial, agricultural and consumer lending activities with customers throughout Texas and Eastern New Mexico. We have a collateral concentration as 69.8% of our loans were secured by real property as of December 31, 2022, compared to 69.4% as of December 31, 2021.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38.7% of loans held for investment as of December 31, 2022 and represented 36.7% of loans held for investment as of December 31, 2021. Further, these loans are geographically diversified, primarily throughout the State of Texas as well as Eastern New Mexico.</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Commercial Real Estate</w:t>
      </w:r>
      <w:r>
        <w:rPr>
          <w:rFonts w:ascii="Arial" w:cs="Arial" w:eastAsia="Arial" w:hAnsi="Arial"/>
          <w:sz w:val="16"/>
          <w:szCs w:val="16"/>
          <w:color w:val="auto"/>
        </w:rPr>
        <w:t>. Our commercial real estate portfolio includes loans for commercial property that is owned by real estate investors, construction loans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Commercial real estate loans increased $163.9 million, or 21.7%, to $919.4 million as of December 31, 2022 from $755.4 million as of December 31, 2021. The increase was primarily driven by an increase of $90.6 million in commercial and residential land development loans, an increase of $71.0 million in retail loans, and an increase of $41.4 million in office, commercial and retail tenant loans, partially offset by a decrease of $37.2 million in hotel loans.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Commercial – General and Specialized</w:t>
      </w:r>
      <w:r>
        <w:rPr>
          <w:rFonts w:ascii="Arial" w:cs="Arial" w:eastAsia="Arial" w:hAnsi="Arial"/>
          <w:sz w:val="15"/>
          <w:szCs w:val="15"/>
          <w:color w:val="auto"/>
        </w:rPr>
        <w:t>. Commercial loans are underwritten after evaluating and understanding the borrower’s ability to operate profitably.</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Commercial general loans increased $24.8 million, or 5.4%, to $484.8 million as of December 31, 2022 from $460.0 million as of December 31, 2021. The increase in commercial general loans was primarily due to organic loan growth in restaurant &amp; retail loans, goods and services loans, and construction company loans, partially offset by a decrease of $39.7 million in PPP loans.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Commercial specialized loans decreased $51.2 million, or 13.5%, to $327.5 million as of December 31, 2022 from $378.7 million as of December 31, 2021. This decrease was primarily due to an early payoff of an approximately $46 million on one energy sector loan and a net reduction of $36.5 million in seasonal agricultural production loans, partially offset by organic loan growth of $26.1 million in finance, investment, and insurance loans.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 consumer loans. Our loan policy addresses</w:t>
      </w:r>
      <w:r>
        <w:rPr>
          <w:rFonts w:ascii="Arial" w:cs="Arial" w:eastAsia="Arial" w:hAnsi="Arial"/>
          <w:sz w:val="17"/>
          <w:szCs w:val="17"/>
          <w:i w:val="1"/>
          <w:iCs w:val="1"/>
          <w:color w:val="auto"/>
        </w:rPr>
        <w:t xml:space="preserve"> </w:t>
      </w:r>
      <w:r>
        <w:rPr>
          <w:rFonts w:ascii="Arial" w:cs="Arial" w:eastAsia="Arial" w:hAnsi="Arial"/>
          <w:sz w:val="17"/>
          <w:szCs w:val="17"/>
          <w:color w:val="auto"/>
        </w:rPr>
        <w:t>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Consumer and other loans increased $166.4 million, or 23.9%, to $862.9 million as of December 31, 2022, from $696.5 million as of December 31, 2021. The increase in these loans was primarily a result of an $80.8 million growth in consumer auto loans as a result of higher demand for autos during 2022, along with adding several high-quality auto dealerships, and a $72.4 million increase in residential mortgage loans. As of December 31, 2022, our consumer loan portfolio was comprised of $460.1 million in 1-4 family residential loans, $321.5 million in auto loans, and $81.3 million in other consumer loans.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Loans for residential construction are for single-family properties to developers, builders, or end-users. These loans are underwritten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Construction loans increased $6.7 million, or 4.5%, to $153.5 million as of December 31, 2022 from $146.9 million as of December 31, 2021. The increase resulted from continued higher demand for residential construction as a result of home shortages in many of our markets.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212529"/>
        </w:rPr>
        <w:t>Paycheck Protection Program</w:t>
      </w:r>
      <w:r>
        <w:rPr>
          <w:rFonts w:ascii="Arial" w:cs="Arial" w:eastAsia="Arial" w:hAnsi="Arial"/>
          <w:sz w:val="16"/>
          <w:szCs w:val="16"/>
          <w:color w:val="212529"/>
        </w:rPr>
        <w:t>. Beginning in April 2020 and until funding expired on May 31, 2021, we originated loans to qualified small businesses under the PPP</w:t>
      </w:r>
      <w:r>
        <w:rPr>
          <w:rFonts w:ascii="Arial" w:cs="Arial" w:eastAsia="Arial" w:hAnsi="Arial"/>
          <w:sz w:val="16"/>
          <w:szCs w:val="16"/>
          <w:i w:val="1"/>
          <w:iCs w:val="1"/>
          <w:color w:val="212529"/>
        </w:rPr>
        <w:t xml:space="preserve"> </w:t>
      </w:r>
      <w:r>
        <w:rPr>
          <w:rFonts w:ascii="Arial" w:cs="Arial" w:eastAsia="Arial" w:hAnsi="Arial"/>
          <w:sz w:val="16"/>
          <w:szCs w:val="16"/>
          <w:color w:val="212529"/>
        </w:rPr>
        <w:t>administered by the SBA under the 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five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paid the lender a processing fee tiered by the size of the loan (5% for loans of not more than $350 thousand; 3% for loans more than $350 thousand and less than $2 million; and 1% for loans of at least $2 million). At December 31, 2022, PPP loans totaled approximately $482 thousand and are included in commercial general loans.</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20"/>
                <w:szCs w:val="20"/>
                <w:color w:val="auto"/>
              </w:rPr>
            </w:pPr>
            <w:r>
              <w:rPr>
                <w:rFonts w:ascii="Arial" w:cs="Arial" w:eastAsia="Arial" w:hAnsi="Arial"/>
                <w:sz w:val="17"/>
                <w:szCs w:val="17"/>
                <w:color w:val="auto"/>
              </w:rPr>
              <w:t>The following table summarizes commitments we have made as of the dates presented.</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4"/>
        </w:trPr>
        <w:tc>
          <w:tcPr>
            <w:tcW w:w="7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8"/>
                <w:szCs w:val="18"/>
                <w:color w:val="auto"/>
              </w:rPr>
            </w:pPr>
          </w:p>
        </w:tc>
      </w:tr>
      <w:tr>
        <w:trPr>
          <w:trHeight w:val="204"/>
        </w:trPr>
        <w:tc>
          <w:tcPr>
            <w:tcW w:w="7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w w:val="99"/>
              </w:rPr>
              <w:t>(Dollars in thousands)</w:t>
            </w:r>
          </w:p>
        </w:tc>
      </w:tr>
      <w:tr>
        <w:trPr>
          <w:trHeight w:val="204"/>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Commitments to grant loans and unfunded commitments under lines of credit</w:t>
            </w:r>
          </w:p>
        </w:tc>
        <w:tc>
          <w:tcPr>
            <w:tcW w:w="16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682,296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542,338</w:t>
            </w:r>
          </w:p>
        </w:tc>
      </w:tr>
      <w:tr>
        <w:trPr>
          <w:trHeight w:val="209"/>
        </w:trPr>
        <w:tc>
          <w:tcPr>
            <w:tcW w:w="7300" w:type="dxa"/>
            <w:vAlign w:val="bottom"/>
          </w:tcPr>
          <w:p>
            <w:pPr>
              <w:spacing w:after="0"/>
              <w:rPr>
                <w:sz w:val="20"/>
                <w:szCs w:val="20"/>
                <w:color w:val="auto"/>
              </w:rPr>
            </w:pPr>
            <w:r>
              <w:rPr>
                <w:rFonts w:ascii="Arial" w:cs="Arial" w:eastAsia="Arial" w:hAnsi="Arial"/>
                <w:sz w:val="17"/>
                <w:szCs w:val="17"/>
                <w:color w:val="auto"/>
              </w:rPr>
              <w:t>Standby letters of credit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13,864</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12,418</w:t>
            </w:r>
          </w:p>
        </w:tc>
      </w:tr>
      <w:tr>
        <w:trPr>
          <w:trHeight w:val="244"/>
        </w:trPr>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696,160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554,756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Loan Losses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assessed by regulatory examinations and the Company’s internal and external loan reviews.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determine the adequacy of the allowance for loan losses,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allowance for loan losses was $39.3 million at December 31, 2022 compared to $42.1 million at December 31, 2021, an decrease of $2.8 million, or 6.7%. The decrease was primarily a result of a negative provision for loan losses of $2.6 million being recorded during 2022 based on general improvement in the Company’s credit metrics, a decline in the amount of loans that were actively under a modification, and a decrease in nonperforming loans, partially offset by the growth in the loan portfolio. Nevertheless, forecasted economic conditions continue to remain uncertain due to the continued rising interest rate environment and persistent high inflation levels in the United States, and provisions for loan losses may be necessary in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an analysis of the allowance for loan losses and other data at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88"/>
              </w:rPr>
              <w:t>As of December 31,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9"/>
              </w:rPr>
              <w:t>2021</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gridSpan w:val="2"/>
            <w:vMerge w:val="restart"/>
          </w:tcPr>
          <w:p>
            <w:pPr>
              <w:spacing w:after="0"/>
              <w:rPr>
                <w:sz w:val="20"/>
                <w:szCs w:val="20"/>
                <w:color w:val="auto"/>
              </w:rPr>
            </w:pPr>
            <w:r>
              <w:rPr>
                <w:rFonts w:ascii="Arial" w:cs="Arial" w:eastAsia="Arial" w:hAnsi="Arial"/>
                <w:sz w:val="17"/>
                <w:szCs w:val="17"/>
                <w:color w:val="auto"/>
              </w:rPr>
              <w:t>Average loans outstanding during period</w:t>
            </w:r>
            <w:r>
              <w:rPr>
                <w:rFonts w:ascii="Arial" w:cs="Arial" w:eastAsia="Arial" w:hAnsi="Arial"/>
                <w:sz w:val="28"/>
                <w:szCs w:val="28"/>
                <w:color w:val="auto"/>
                <w:vertAlign w:val="superscript"/>
              </w:rPr>
              <w:t>(1)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(Dollars in 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817,365</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705,516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654,923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Commercial – specialized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351,598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336,754</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318,141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 general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476,553</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490,945</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545,391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Consumer: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 residential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409,023</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374,609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362,415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280"/>
              <w:spacing w:after="0"/>
              <w:rPr>
                <w:sz w:val="20"/>
                <w:szCs w:val="20"/>
                <w:color w:val="auto"/>
              </w:rPr>
            </w:pPr>
            <w:r>
              <w:rPr>
                <w:rFonts w:ascii="Arial" w:cs="Arial" w:eastAsia="Arial" w:hAnsi="Arial"/>
                <w:sz w:val="17"/>
                <w:szCs w:val="17"/>
                <w:color w:val="auto"/>
              </w:rPr>
              <w:t>Auto loans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285,493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227,301</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205,849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consumer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85,881</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68,106</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70,478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Construction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150,072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124,840</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90,277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held for sale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36,176</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92,130</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78,158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Total average loans outstanding during period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2,612,161</w:t>
            </w:r>
          </w:p>
        </w:tc>
        <w:tc>
          <w:tcPr>
            <w:tcW w:w="30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2,420,201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2,325,632</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Net charge-offs (recoveries) during the period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(418)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Commercial – specialized</w:t>
            </w:r>
          </w:p>
        </w:tc>
        <w:tc>
          <w:tcPr>
            <w:tcW w:w="240" w:type="dxa"/>
            <w:vAlign w:val="bottom"/>
          </w:tcPr>
          <w:p>
            <w:pPr>
              <w:spacing w:after="0"/>
              <w:rPr>
                <w:sz w:val="17"/>
                <w:szCs w:val="17"/>
                <w:color w:val="auto"/>
              </w:rPr>
            </w:pPr>
          </w:p>
        </w:tc>
        <w:tc>
          <w:tcPr>
            <w:tcW w:w="1180" w:type="dxa"/>
            <w:vAlign w:val="bottom"/>
            <w:gridSpan w:val="2"/>
          </w:tcPr>
          <w:p>
            <w:pPr>
              <w:jc w:val="right"/>
              <w:ind w:right="155"/>
              <w:spacing w:after="0"/>
              <w:rPr>
                <w:sz w:val="20"/>
                <w:szCs w:val="20"/>
                <w:color w:val="auto"/>
              </w:rPr>
            </w:pPr>
            <w:r>
              <w:rPr>
                <w:rFonts w:ascii="Arial" w:cs="Arial" w:eastAsia="Arial" w:hAnsi="Arial"/>
                <w:sz w:val="17"/>
                <w:szCs w:val="17"/>
                <w:color w:val="auto"/>
              </w:rPr>
              <w:t>(807)</w:t>
            </w: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 general</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7"/>
                <w:szCs w:val="17"/>
                <w:color w:val="auto"/>
              </w:rPr>
              <w:t>(122)</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459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Consumer: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1-4 family residential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280"/>
              <w:spacing w:after="0"/>
              <w:rPr>
                <w:sz w:val="20"/>
                <w:szCs w:val="20"/>
                <w:color w:val="auto"/>
              </w:rPr>
            </w:pPr>
            <w:r>
              <w:rPr>
                <w:rFonts w:ascii="Arial" w:cs="Arial" w:eastAsia="Arial" w:hAnsi="Arial"/>
                <w:sz w:val="17"/>
                <w:szCs w:val="17"/>
                <w:color w:val="auto"/>
              </w:rPr>
              <w:t>Auto loans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483</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973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consumer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Construction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charge-offs (recoveries) during the period</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4,214</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Total loans held for investment outstanding</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2,748,081</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2,437,577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2,221,583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Nonaccrual loans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5,802</w:t>
            </w:r>
          </w:p>
        </w:tc>
        <w:tc>
          <w:tcPr>
            <w:tcW w:w="30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9,518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13,718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Allowance for loan losses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39,288</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42,098</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45,553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Ratio of allowance to total loans held for investment</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1.43%</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Ratio of allowance to nonaccrual loans</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Arial" w:cs="Arial" w:eastAsia="Arial" w:hAnsi="Arial"/>
                <w:sz w:val="17"/>
                <w:szCs w:val="17"/>
                <w:color w:val="auto"/>
              </w:rPr>
              <w:t>677.15%</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442.30%</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332.07%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Ratio of nonaccrual loans to total loans held for investment</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0.21%</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Ratio of net charge-offs (recoveries) to average loans during the period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spacing w:after="0"/>
              <w:rPr>
                <w:sz w:val="17"/>
                <w:szCs w:val="17"/>
                <w:color w:val="auto"/>
              </w:rPr>
            </w:pPr>
          </w:p>
        </w:tc>
        <w:tc>
          <w:tcPr>
            <w:tcW w:w="1180" w:type="dxa"/>
            <w:vAlign w:val="bottom"/>
            <w:gridSpan w:val="2"/>
          </w:tcPr>
          <w:p>
            <w:pPr>
              <w:jc w:val="right"/>
              <w:ind w:right="15"/>
              <w:spacing w:after="0"/>
              <w:rPr>
                <w:sz w:val="20"/>
                <w:szCs w:val="20"/>
                <w:color w:val="auto"/>
              </w:rPr>
            </w:pPr>
            <w:r>
              <w:rPr>
                <w:rFonts w:ascii="Arial" w:cs="Arial" w:eastAsia="Arial" w:hAnsi="Arial"/>
                <w:sz w:val="17"/>
                <w:szCs w:val="17"/>
                <w:color w:val="auto"/>
              </w:rPr>
              <w:t>(0.05)%</w:t>
            </w:r>
          </w:p>
        </w:tc>
        <w:tc>
          <w:tcPr>
            <w:tcW w:w="24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(0.02)%</w:t>
            </w:r>
          </w:p>
        </w:tc>
        <w:tc>
          <w:tcPr>
            <w:tcW w:w="2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 specialized</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(0.23)%</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Commercial – general</w:t>
            </w:r>
          </w:p>
        </w:tc>
        <w:tc>
          <w:tcPr>
            <w:tcW w:w="240" w:type="dxa"/>
            <w:vAlign w:val="bottom"/>
          </w:tcPr>
          <w:p>
            <w:pPr>
              <w:spacing w:after="0"/>
              <w:rPr>
                <w:sz w:val="17"/>
                <w:szCs w:val="17"/>
                <w:color w:val="auto"/>
              </w:rPr>
            </w:pPr>
          </w:p>
        </w:tc>
        <w:tc>
          <w:tcPr>
            <w:tcW w:w="1180" w:type="dxa"/>
            <w:vAlign w:val="bottom"/>
            <w:gridSpan w:val="2"/>
          </w:tcPr>
          <w:p>
            <w:pPr>
              <w:jc w:val="right"/>
              <w:ind w:right="15"/>
              <w:spacing w:after="0"/>
              <w:rPr>
                <w:sz w:val="20"/>
                <w:szCs w:val="20"/>
                <w:color w:val="auto"/>
              </w:rPr>
            </w:pPr>
            <w:r>
              <w:rPr>
                <w:rFonts w:ascii="Arial" w:cs="Arial" w:eastAsia="Arial" w:hAnsi="Arial"/>
                <w:sz w:val="17"/>
                <w:szCs w:val="17"/>
                <w:color w:val="auto"/>
              </w:rPr>
              <w:t>(0.03)%</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0.09%</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Consumer: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280"/>
              <w:spacing w:after="0"/>
              <w:rPr>
                <w:sz w:val="20"/>
                <w:szCs w:val="20"/>
                <w:color w:val="auto"/>
              </w:rPr>
            </w:pPr>
            <w:r>
              <w:rPr>
                <w:rFonts w:ascii="Arial" w:cs="Arial" w:eastAsia="Arial" w:hAnsi="Arial"/>
                <w:sz w:val="17"/>
                <w:szCs w:val="17"/>
                <w:color w:val="auto"/>
              </w:rPr>
              <w:t>1-4 family residential</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Arial" w:cs="Arial" w:eastAsia="Arial" w:hAnsi="Arial"/>
                <w:sz w:val="17"/>
                <w:szCs w:val="17"/>
                <w:color w:val="auto"/>
              </w:rPr>
              <w:t>0.02%</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Auto loans</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0.13%</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tcPr>
          <w:p>
            <w:pPr>
              <w:ind w:left="280"/>
              <w:spacing w:after="0"/>
              <w:rPr>
                <w:sz w:val="20"/>
                <w:szCs w:val="20"/>
                <w:color w:val="auto"/>
              </w:rPr>
            </w:pPr>
            <w:r>
              <w:rPr>
                <w:rFonts w:ascii="Arial" w:cs="Arial" w:eastAsia="Arial" w:hAnsi="Arial"/>
                <w:sz w:val="17"/>
                <w:szCs w:val="17"/>
                <w:color w:val="auto"/>
              </w:rPr>
              <w:t>Other consumer</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Arial" w:cs="Arial" w:eastAsia="Arial" w:hAnsi="Arial"/>
                <w:sz w:val="17"/>
                <w:szCs w:val="17"/>
                <w:color w:val="auto"/>
              </w:rPr>
              <w:t>1.06%</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0.96%</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Construction</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0.11%</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Total ratio of net charge-offs (recoveries) to average loans during the period</w:t>
            </w:r>
          </w:p>
        </w:tc>
        <w:tc>
          <w:tcPr>
            <w:tcW w:w="240" w:type="dxa"/>
            <w:vAlign w:val="bottom"/>
          </w:tcPr>
          <w:p>
            <w:pPr>
              <w:spacing w:after="0"/>
              <w:rPr>
                <w:sz w:val="18"/>
                <w:szCs w:val="18"/>
                <w:color w:val="auto"/>
              </w:rPr>
            </w:pPr>
          </w:p>
        </w:tc>
        <w:tc>
          <w:tcPr>
            <w:tcW w:w="1180" w:type="dxa"/>
            <w:vAlign w:val="bottom"/>
            <w:gridSpan w:val="2"/>
          </w:tcPr>
          <w:p>
            <w:pPr>
              <w:jc w:val="right"/>
              <w:ind w:right="75"/>
              <w:spacing w:after="0"/>
              <w:rPr>
                <w:sz w:val="20"/>
                <w:szCs w:val="20"/>
                <w:color w:val="auto"/>
              </w:rPr>
            </w:pPr>
            <w:r>
              <w:rPr>
                <w:rFonts w:ascii="Arial" w:cs="Arial" w:eastAsia="Arial" w:hAnsi="Arial"/>
                <w:sz w:val="17"/>
                <w:szCs w:val="17"/>
                <w:color w:val="auto"/>
              </w:rPr>
              <w:t>0.01%</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0.06%</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 Average outstanding balances include loans held for sale.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Net charge-offs totaled $0.2 million and were 0.01% of average loans outstanding for the year ended December 31, 2022, compared to $1.5 million and 0.06% for the year ended December 31, 2021. There was $621 thousand in consumer credit program net charge-offs, $364 thousand in auto loan net charge-offs, and a charge-off of $215 thousand on a restaurant &amp; retail relationship during 2022, partially offset by a $822 thousand recovery on an energy relationship and a $400 thousand recovery on a commercial real estate loan during 2022. The allowance for loan losses as a percentage of loans held for investment was 1.43% at December 31, 2022 and 1.73% at December 31, 2021.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7"/>
                <w:szCs w:val="17"/>
                <w:b w:val="1"/>
                <w:bCs w:val="1"/>
                <w:color w:val="auto"/>
                <w:w w:val="88"/>
              </w:rPr>
              <w:t>As of December, 31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2022</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635"/>
              <w:spacing w:after="0"/>
              <w:rPr>
                <w:sz w:val="20"/>
                <w:szCs w:val="20"/>
                <w:color w:val="auto"/>
              </w:rPr>
            </w:pPr>
            <w:r>
              <w:rPr>
                <w:rFonts w:ascii="Arial" w:cs="Arial" w:eastAsia="Arial" w:hAnsi="Arial"/>
                <w:sz w:val="17"/>
                <w:szCs w:val="17"/>
                <w:b w:val="1"/>
                <w:bCs w:val="1"/>
                <w:color w:val="auto"/>
                <w:w w:val="89"/>
              </w:rPr>
              <w:t>2021</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2020</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ind w:left="180"/>
              <w:spacing w:after="0" w:line="187" w:lineRule="exact"/>
              <w:rPr>
                <w:sz w:val="20"/>
                <w:szCs w:val="20"/>
                <w:color w:val="auto"/>
              </w:rPr>
            </w:pPr>
            <w:r>
              <w:rPr>
                <w:rFonts w:ascii="Arial" w:cs="Arial" w:eastAsia="Arial" w:hAnsi="Arial"/>
                <w:sz w:val="17"/>
                <w:szCs w:val="17"/>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ind w:left="160"/>
              <w:spacing w:after="0" w:line="187" w:lineRule="exact"/>
              <w:rPr>
                <w:sz w:val="20"/>
                <w:szCs w:val="20"/>
                <w:color w:val="auto"/>
              </w:rPr>
            </w:pPr>
            <w:r>
              <w:rPr>
                <w:rFonts w:ascii="Arial" w:cs="Arial" w:eastAsia="Arial" w:hAnsi="Arial"/>
                <w:sz w:val="17"/>
                <w:szCs w:val="17"/>
                <w:b w:val="1"/>
                <w:bCs w:val="1"/>
                <w:color w:val="auto"/>
              </w:rPr>
              <w: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160"/>
              <w:spacing w:after="0" w:line="187" w:lineRule="exact"/>
              <w:rPr>
                <w:sz w:val="20"/>
                <w:szCs w:val="20"/>
                <w:color w:val="auto"/>
              </w:rPr>
            </w:pPr>
            <w:r>
              <w:rPr>
                <w:rFonts w:ascii="Arial" w:cs="Arial" w:eastAsia="Arial" w:hAnsi="Arial"/>
                <w:sz w:val="17"/>
                <w:szCs w:val="17"/>
                <w:b w:val="1"/>
                <w:bCs w:val="1"/>
                <w:color w:val="auto"/>
              </w:rPr>
              <w:t>%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89"/>
              </w:rPr>
              <w:t>(Dollars in thousands)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17,245</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18,962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Commercial – specialized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8.7%</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4,363</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10.4%</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5,760</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8,466</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9,227</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Consumer: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15.8%</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5,268</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4,646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Auto loans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3,653</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4,226</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1,357</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Construction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5.4%</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1,746</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1,061</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Total allowance for loan losses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39,288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42,098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45,553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Quality</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Nonperforming loans include nonaccrual loans and loans past due 90 days or more. Nonperforming assets consist of nonperforming loans plus OREO.</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At December 31, 2022, our total nonaccrual loans were $5.8 million, or 0.21% of total loans held for investment, as compared to $9.5 million, or 0.39% of total loans held for investment, at December 31, 2021. These loans were reviewed for impairment and specific valuation allowances were established as necessary and included in the allowance for loan losses as of December 31, 2022 to cover any probable loss. The decrease in the year ended December 31, 2022 was primarily due to eleven loans totaling $4.3 million that were removed from nonaccrual status during the second and third quarters of 2022. This was a result of principal paydowns, improved cash flow, and continued sustained payment performance.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Loans past due 90 days or more were $2.0 million at December 31, 2022 and $1.1 million at December 31, 2021. The increase of $0.9 million at year-end 2022 was primarily comprised of an additional $750 thousand of delinquent residential mortgage loans. Total nonperforming loans were $7.8 million at December 31, 2022 and $10.6 million at December 31, 2021.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had no loans restructured as TDRs during 2022, 2021, or 2020. TDRs are excluded from our nonperforming loans unless they otherwise meet the definition of nonaccrual loans or past due 90 days or more.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Portfolio</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Total securities at December 31, 2022 were $701.7 million, representing an decrease of $22.8 million, or 3.1%, compared to $724.5 million at December 31, 2021. The decrease was primarily due to a $114.4 million decline in the unrealized gain on available for sale securities and $81.3 million in maturities, prepayments, and calls, partially offset by $176.7 million in purchases at December 31, 2022 compared to December 31, 2021.</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Certain securities have fair values less than amortized cost and, therefore, contain unrealized losses. During the year ended December 31, 2022, the fair value of the Company’s available for sale securities declined by $114.4 million as a result of the significant increase in market interest rates during 2022, which was attributed to the FOMC repeatedly raising their target benchmark interest rate, as previously noted. At December 31, 2022,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9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88"/>
              </w:rPr>
              <w:t>As of December 31, 2022</w:t>
            </w: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jc w:val="right"/>
              <w:ind w:right="1000"/>
              <w:spacing w:after="0" w:line="187" w:lineRule="exact"/>
              <w:rPr>
                <w:sz w:val="20"/>
                <w:szCs w:val="20"/>
                <w:color w:val="auto"/>
              </w:rPr>
            </w:pPr>
            <w:r>
              <w:rPr>
                <w:rFonts w:ascii="Arial" w:cs="Arial" w:eastAsia="Arial" w:hAnsi="Arial"/>
                <w:sz w:val="17"/>
                <w:szCs w:val="17"/>
                <w:b w:val="1"/>
                <w:bCs w:val="1"/>
                <w:color w:val="auto"/>
              </w:rPr>
              <w:t>Due in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ind w:left="120"/>
              <w:spacing w:after="0" w:line="187" w:lineRule="exact"/>
              <w:rPr>
                <w:sz w:val="20"/>
                <w:szCs w:val="20"/>
                <w:color w:val="auto"/>
              </w:rPr>
            </w:pPr>
            <w:r>
              <w:rPr>
                <w:rFonts w:ascii="Arial" w:cs="Arial" w:eastAsia="Arial" w:hAnsi="Arial"/>
                <w:sz w:val="17"/>
                <w:szCs w:val="17"/>
                <w:b w:val="1"/>
                <w:bCs w:val="1"/>
                <w:color w:val="auto"/>
              </w:rPr>
              <w:t>Due after One Year</w:t>
            </w:r>
          </w:p>
        </w:tc>
        <w:tc>
          <w:tcPr>
            <w:tcW w:w="160" w:type="dxa"/>
            <w:vAlign w:val="bottom"/>
          </w:tcPr>
          <w:p>
            <w:pPr>
              <w:spacing w:after="0"/>
              <w:rPr>
                <w:sz w:val="16"/>
                <w:szCs w:val="16"/>
                <w:color w:val="auto"/>
              </w:rPr>
            </w:pPr>
          </w:p>
        </w:tc>
        <w:tc>
          <w:tcPr>
            <w:tcW w:w="2000" w:type="dxa"/>
            <w:vAlign w:val="bottom"/>
            <w:gridSpan w:val="4"/>
          </w:tcPr>
          <w:p>
            <w:pPr>
              <w:jc w:val="right"/>
              <w:ind w:right="440"/>
              <w:spacing w:after="0" w:line="187" w:lineRule="exact"/>
              <w:rPr>
                <w:sz w:val="20"/>
                <w:szCs w:val="20"/>
                <w:color w:val="auto"/>
              </w:rPr>
            </w:pPr>
            <w:r>
              <w:rPr>
                <w:rFonts w:ascii="Arial" w:cs="Arial" w:eastAsia="Arial" w:hAnsi="Arial"/>
                <w:sz w:val="17"/>
                <w:szCs w:val="17"/>
                <w:b w:val="1"/>
                <w:bCs w:val="1"/>
                <w:color w:val="auto"/>
                <w:w w:val="94"/>
              </w:rPr>
              <w:t>Due after Five Years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3"/>
          </w:tcPr>
          <w:p>
            <w:pPr>
              <w:jc w:val="right"/>
              <w:ind w:right="555"/>
              <w:spacing w:after="0" w:line="187" w:lineRule="exact"/>
              <w:rPr>
                <w:sz w:val="20"/>
                <w:szCs w:val="20"/>
                <w:color w:val="auto"/>
              </w:rPr>
            </w:pPr>
            <w:r>
              <w:rPr>
                <w:rFonts w:ascii="Arial" w:cs="Arial" w:eastAsia="Arial" w:hAnsi="Arial"/>
                <w:sz w:val="17"/>
                <w:szCs w:val="17"/>
                <w:b w:val="1"/>
                <w:bCs w:val="1"/>
                <w:color w:val="auto"/>
              </w:rPr>
              <w:t>Due after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7"/>
                <w:szCs w:val="17"/>
                <w:b w:val="1"/>
                <w:bCs w:val="1"/>
                <w:color w:val="auto"/>
              </w:rPr>
              <w:t>One Year or Less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ind w:left="100"/>
              <w:spacing w:after="0"/>
              <w:rPr>
                <w:sz w:val="20"/>
                <w:szCs w:val="20"/>
                <w:color w:val="auto"/>
              </w:rPr>
            </w:pPr>
            <w:r>
              <w:rPr>
                <w:rFonts w:ascii="Arial" w:cs="Arial" w:eastAsia="Arial" w:hAnsi="Arial"/>
                <w:sz w:val="17"/>
                <w:szCs w:val="17"/>
                <w:b w:val="1"/>
                <w:bCs w:val="1"/>
                <w:color w:val="auto"/>
              </w:rPr>
              <w:t>Through Five Years</w:t>
            </w:r>
          </w:p>
        </w:tc>
        <w:tc>
          <w:tcPr>
            <w:tcW w:w="160" w:type="dxa"/>
            <w:vAlign w:val="bottom"/>
          </w:tcPr>
          <w:p>
            <w:pPr>
              <w:spacing w:after="0"/>
              <w:rPr>
                <w:sz w:val="19"/>
                <w:szCs w:val="19"/>
                <w:color w:val="auto"/>
              </w:rPr>
            </w:pPr>
          </w:p>
        </w:tc>
        <w:tc>
          <w:tcPr>
            <w:tcW w:w="2000" w:type="dxa"/>
            <w:vAlign w:val="bottom"/>
            <w:gridSpan w:val="4"/>
          </w:tcPr>
          <w:p>
            <w:pPr>
              <w:jc w:val="right"/>
              <w:ind w:right="480"/>
              <w:spacing w:after="0"/>
              <w:rPr>
                <w:sz w:val="20"/>
                <w:szCs w:val="20"/>
                <w:color w:val="auto"/>
              </w:rPr>
            </w:pPr>
            <w:r>
              <w:rPr>
                <w:rFonts w:ascii="Arial" w:cs="Arial" w:eastAsia="Arial" w:hAnsi="Arial"/>
                <w:sz w:val="17"/>
                <w:szCs w:val="17"/>
                <w:b w:val="1"/>
                <w:bCs w:val="1"/>
                <w:color w:val="auto"/>
                <w:w w:val="96"/>
              </w:rPr>
              <w:t>Through Ten Years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4"/>
          </w:tcPr>
          <w:p>
            <w:pPr>
              <w:jc w:val="right"/>
              <w:ind w:right="760"/>
              <w:spacing w:after="0"/>
              <w:rPr>
                <w:sz w:val="20"/>
                <w:szCs w:val="20"/>
                <w:color w:val="auto"/>
              </w:rPr>
            </w:pPr>
            <w:r>
              <w:rPr>
                <w:rFonts w:ascii="Arial" w:cs="Arial" w:eastAsia="Arial" w:hAnsi="Arial"/>
                <w:sz w:val="17"/>
                <w:szCs w:val="17"/>
                <w:b w:val="1"/>
                <w:bCs w:val="1"/>
                <w:color w:val="auto"/>
              </w:rPr>
              <w:t>Ten Years</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8"/>
              </w:rPr>
              <w:t>Weighted</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8"/>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8"/>
              </w:rPr>
              <w:t>Weighted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7"/>
                <w:szCs w:val="17"/>
                <w:b w:val="1"/>
                <w:bCs w:val="1"/>
                <w:color w:val="auto"/>
              </w:rPr>
              <w:t>Amortized</w:t>
            </w: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Average</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w w:val="98"/>
              </w:rPr>
              <w:t>Amortized</w:t>
            </w:r>
          </w:p>
        </w:tc>
        <w:tc>
          <w:tcPr>
            <w:tcW w:w="2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Average</w:t>
            </w:r>
          </w:p>
        </w:tc>
        <w:tc>
          <w:tcPr>
            <w:tcW w:w="1080" w:type="dxa"/>
            <w:vAlign w:val="bottom"/>
            <w:gridSpan w:val="3"/>
          </w:tcPr>
          <w:p>
            <w:pPr>
              <w:ind w:left="40"/>
              <w:spacing w:after="0"/>
              <w:rPr>
                <w:sz w:val="20"/>
                <w:szCs w:val="20"/>
                <w:color w:val="auto"/>
              </w:rPr>
            </w:pPr>
            <w:r>
              <w:rPr>
                <w:rFonts w:ascii="Arial" w:cs="Arial" w:eastAsia="Arial" w:hAnsi="Arial"/>
                <w:sz w:val="17"/>
                <w:szCs w:val="17"/>
                <w:b w:val="1"/>
                <w:bCs w:val="1"/>
                <w:color w:val="auto"/>
              </w:rPr>
              <w:t>Amortized</w:t>
            </w: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Average</w:t>
            </w:r>
          </w:p>
        </w:tc>
        <w:tc>
          <w:tcPr>
            <w:tcW w:w="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7"/>
                <w:szCs w:val="17"/>
                <w:b w:val="1"/>
                <w:bCs w:val="1"/>
                <w:color w:val="auto"/>
              </w:rPr>
              <w:t>Amortized</w:t>
            </w:r>
          </w:p>
        </w:tc>
        <w:tc>
          <w:tcPr>
            <w:tcW w:w="10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Cost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Yield</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Cost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Yield</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Cost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Yield</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Cost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Yield</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Available-for-sale</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(Dollars in thousands)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State and municipal</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8,663</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2.17%</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w:t>
            </w:r>
          </w:p>
        </w:tc>
        <w:tc>
          <w:tcPr>
            <w:tcW w:w="24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241,360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60"/>
              <w:spacing w:after="0"/>
              <w:rPr>
                <w:sz w:val="20"/>
                <w:szCs w:val="20"/>
                <w:color w:val="auto"/>
              </w:rPr>
            </w:pPr>
            <w:r>
              <w:rPr>
                <w:rFonts w:ascii="Arial" w:cs="Arial" w:eastAsia="Arial" w:hAnsi="Arial"/>
                <w:sz w:val="17"/>
                <w:szCs w:val="17"/>
                <w:color w:val="auto"/>
              </w:rPr>
              <w:t>Mortgage-backed securities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1.90%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3,037</w:t>
            </w:r>
          </w:p>
        </w:tc>
        <w:tc>
          <w:tcPr>
            <w:tcW w:w="1340" w:type="dxa"/>
            <w:vAlign w:val="bottom"/>
            <w:gridSpan w:val="3"/>
          </w:tcPr>
          <w:p>
            <w:pPr>
              <w:jc w:val="right"/>
              <w:ind w:right="120"/>
              <w:spacing w:after="0"/>
              <w:rPr>
                <w:sz w:val="20"/>
                <w:szCs w:val="20"/>
                <w:color w:val="auto"/>
              </w:rPr>
            </w:pPr>
            <w:r>
              <w:rPr>
                <w:rFonts w:ascii="Arial" w:cs="Arial" w:eastAsia="Arial" w:hAnsi="Arial"/>
                <w:sz w:val="17"/>
                <w:szCs w:val="17"/>
                <w:color w:val="auto"/>
              </w:rPr>
              <w:t>1.88%</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53,154</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2.23%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379,750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191"/>
        </w:trPr>
        <w:tc>
          <w:tcPr>
            <w:tcW w:w="2380" w:type="dxa"/>
            <w:vAlign w:val="bottom"/>
            <w:gridSpan w:val="2"/>
            <w:shd w:val="clear" w:color="auto" w:fill="CCEEFF"/>
          </w:tcPr>
          <w:p>
            <w:pPr>
              <w:ind w:left="160"/>
              <w:spacing w:after="0" w:line="191" w:lineRule="exact"/>
              <w:rPr>
                <w:sz w:val="20"/>
                <w:szCs w:val="20"/>
                <w:color w:val="auto"/>
              </w:rPr>
            </w:pPr>
            <w:r>
              <w:rPr>
                <w:rFonts w:ascii="Arial" w:cs="Arial" w:eastAsia="Arial" w:hAnsi="Arial"/>
                <w:sz w:val="17"/>
                <w:szCs w:val="17"/>
                <w:color w:val="auto"/>
              </w:rPr>
              <w:t>Collateralized mortgage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obligations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76,189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380" w:type="dxa"/>
            <w:vAlign w:val="bottom"/>
            <w:gridSpan w:val="2"/>
          </w:tcPr>
          <w:p>
            <w:pPr>
              <w:ind w:left="160"/>
              <w:spacing w:after="0" w:line="191" w:lineRule="exact"/>
              <w:rPr>
                <w:sz w:val="20"/>
                <w:szCs w:val="20"/>
                <w:color w:val="auto"/>
              </w:rPr>
            </w:pPr>
            <w:r>
              <w:rPr>
                <w:rFonts w:ascii="Arial" w:cs="Arial" w:eastAsia="Arial" w:hAnsi="Arial"/>
                <w:sz w:val="17"/>
                <w:szCs w:val="17"/>
                <w:color w:val="auto"/>
              </w:rPr>
              <w:t>Asset-backed and 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300"/>
              <w:spacing w:after="0"/>
              <w:rPr>
                <w:sz w:val="20"/>
                <w:szCs w:val="20"/>
                <w:color w:val="auto"/>
              </w:rPr>
            </w:pPr>
            <w:r>
              <w:rPr>
                <w:rFonts w:ascii="Arial" w:cs="Arial" w:eastAsia="Arial" w:hAnsi="Arial"/>
                <w:sz w:val="17"/>
                <w:szCs w:val="17"/>
                <w:color w:val="auto"/>
              </w:rPr>
              <w:t>amortizing securities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1,689</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19,218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Other securities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ind w:left="300"/>
              <w:spacing w:after="0"/>
              <w:rPr>
                <w:sz w:val="20"/>
                <w:szCs w:val="20"/>
                <w:color w:val="auto"/>
              </w:rPr>
            </w:pPr>
            <w:r>
              <w:rPr>
                <w:rFonts w:ascii="Arial" w:cs="Arial" w:eastAsia="Arial" w:hAnsi="Arial"/>
                <w:sz w:val="17"/>
                <w:szCs w:val="17"/>
                <w:color w:val="auto"/>
              </w:rPr>
              <w:t>Total available-for-sale</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1,901</w:t>
            </w: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3.43%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11,700</w:t>
            </w:r>
          </w:p>
        </w:tc>
        <w:tc>
          <w:tcPr>
            <w:tcW w:w="1340" w:type="dxa"/>
            <w:vAlign w:val="bottom"/>
            <w:gridSpan w:val="3"/>
          </w:tcPr>
          <w:p>
            <w:pPr>
              <w:jc w:val="right"/>
              <w:ind w:right="120"/>
              <w:spacing w:after="0"/>
              <w:rPr>
                <w:sz w:val="20"/>
                <w:szCs w:val="20"/>
                <w:color w:val="auto"/>
              </w:rPr>
            </w:pPr>
            <w:r>
              <w:rPr>
                <w:rFonts w:ascii="Arial" w:cs="Arial" w:eastAsia="Arial" w:hAnsi="Arial"/>
                <w:sz w:val="17"/>
                <w:szCs w:val="17"/>
                <w:color w:val="auto"/>
              </w:rPr>
              <w:t>2.09%</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150,540</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3.76%</w:t>
            </w:r>
          </w:p>
        </w:tc>
        <w:tc>
          <w:tcPr>
            <w:tcW w:w="24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640,328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Total deposits at December 31, 2022 were $3.41 billion, representing an increase of $65.2 million, or 2.0%, compared to $3.34 billion at December 31, 2021. The increase in total deposits since December 31, 2021 was primarily due to organic growth and customers maintaining higher balances. Deposit balances peaked in the third quarter of 2022 and then declined $54.1 million in the fourth quarter of 2022 principally as the result of increased competition for deposits amid overall deposit outflows in the United States banking system. As of December 31, 2022, 33.8% of total deposits were comprised of noninterest-bearing demand accounts, 57.8% of interest-bearing non-maturity accounts and 8.4% of time deposits.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20"/>
                <w:szCs w:val="20"/>
                <w:color w:val="auto"/>
              </w:rPr>
            </w:pPr>
            <w:r>
              <w:rPr>
                <w:rFonts w:ascii="Arial" w:cs="Arial" w:eastAsia="Arial" w:hAnsi="Arial"/>
                <w:sz w:val="17"/>
                <w:szCs w:val="17"/>
                <w:color w:val="auto"/>
              </w:rPr>
              <w:t>The following table shows the deposit mix as of the dates presented: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2"/>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December 31, 2022</w:t>
            </w:r>
          </w:p>
        </w:tc>
        <w:tc>
          <w:tcPr>
            <w:tcW w:w="160" w:type="dxa"/>
            <w:vAlign w:val="bottom"/>
          </w:tcPr>
          <w:p>
            <w:pPr>
              <w:spacing w:after="0"/>
              <w:rPr>
                <w:sz w:val="24"/>
                <w:szCs w:val="24"/>
                <w:color w:val="auto"/>
              </w:rPr>
            </w:pPr>
          </w:p>
        </w:tc>
        <w:tc>
          <w:tcPr>
            <w:tcW w:w="2400" w:type="dxa"/>
            <w:vAlign w:val="bottom"/>
            <w:gridSpan w:val="4"/>
          </w:tcPr>
          <w:p>
            <w:pPr>
              <w:jc w:val="right"/>
              <w:ind w:right="680"/>
              <w:spacing w:after="0"/>
              <w:rPr>
                <w:sz w:val="20"/>
                <w:szCs w:val="20"/>
                <w:color w:val="auto"/>
              </w:rPr>
            </w:pPr>
            <w:r>
              <w:rPr>
                <w:rFonts w:ascii="Arial" w:cs="Arial" w:eastAsia="Arial" w:hAnsi="Arial"/>
                <w:sz w:val="17"/>
                <w:szCs w:val="17"/>
                <w:b w:val="1"/>
                <w:bCs w:val="1"/>
                <w:color w:val="auto"/>
              </w:rPr>
              <w:t>December 31, 2021</w:t>
            </w:r>
          </w:p>
        </w:tc>
      </w:tr>
      <w:tr>
        <w:trPr>
          <w:trHeight w:val="226"/>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 of Total</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 of Total</w:t>
            </w:r>
          </w:p>
        </w:tc>
        <w:tc>
          <w:tcPr>
            <w:tcW w:w="140" w:type="dxa"/>
            <w:vAlign w:val="bottom"/>
          </w:tcPr>
          <w:p>
            <w:pPr>
              <w:spacing w:after="0"/>
              <w:rPr>
                <w:sz w:val="19"/>
                <w:szCs w:val="19"/>
                <w:color w:val="auto"/>
              </w:rPr>
            </w:pPr>
          </w:p>
        </w:tc>
      </w:tr>
      <w:tr>
        <w:trPr>
          <w:trHeight w:val="204"/>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(Dollars in</w:t>
            </w:r>
          </w:p>
        </w:tc>
        <w:tc>
          <w:tcPr>
            <w:tcW w:w="1360" w:type="dxa"/>
            <w:vAlign w:val="bottom"/>
            <w:gridSpan w:val="3"/>
          </w:tcPr>
          <w:p>
            <w:pPr>
              <w:jc w:val="right"/>
              <w:ind w:right="455"/>
              <w:spacing w:after="0"/>
              <w:rPr>
                <w:sz w:val="20"/>
                <w:szCs w:val="20"/>
                <w:color w:val="auto"/>
              </w:rPr>
            </w:pPr>
            <w:r>
              <w:rPr>
                <w:rFonts w:ascii="Arial" w:cs="Arial" w:eastAsia="Arial" w:hAnsi="Arial"/>
                <w:sz w:val="17"/>
                <w:szCs w:val="17"/>
                <w:b w:val="1"/>
                <w:bCs w:val="1"/>
                <w:color w:val="auto"/>
                <w:w w:val="87"/>
              </w:rPr>
              <w:t>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Noninterest-bearing deposits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1,150,488</w:t>
            </w:r>
          </w:p>
        </w:tc>
        <w:tc>
          <w:tcPr>
            <w:tcW w:w="2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33.8%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1,071,367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NOW and other transaction accounts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350,910</w:t>
            </w:r>
          </w:p>
        </w:tc>
        <w:tc>
          <w:tcPr>
            <w:tcW w:w="220" w:type="dxa"/>
            <w:vAlign w:val="bottom"/>
          </w:tcPr>
          <w:p>
            <w:pPr>
              <w:spacing w:after="0"/>
              <w:rPr>
                <w:sz w:val="17"/>
                <w:szCs w:val="17"/>
                <w:color w:val="auto"/>
              </w:rPr>
            </w:pPr>
          </w:p>
        </w:tc>
        <w:tc>
          <w:tcPr>
            <w:tcW w:w="1360" w:type="dxa"/>
            <w:vAlign w:val="bottom"/>
            <w:gridSpan w:val="2"/>
          </w:tcPr>
          <w:p>
            <w:pPr>
              <w:jc w:val="right"/>
              <w:ind w:right="35"/>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395,322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11.8%</w:t>
            </w:r>
          </w:p>
        </w:tc>
      </w:tr>
      <w:tr>
        <w:trPr>
          <w:trHeight w:val="20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Money market and other savings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1,618,833</w:t>
            </w:r>
          </w:p>
        </w:tc>
        <w:tc>
          <w:tcPr>
            <w:tcW w:w="2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47.5%</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1,534,795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45.9%</w:t>
            </w:r>
          </w:p>
        </w:tc>
      </w:tr>
      <w:tr>
        <w:trPr>
          <w:trHeight w:val="204"/>
        </w:trPr>
        <w:tc>
          <w:tcPr>
            <w:tcW w:w="5980" w:type="dxa"/>
            <w:vAlign w:val="bottom"/>
          </w:tcPr>
          <w:p>
            <w:pPr>
              <w:spacing w:after="0"/>
              <w:rPr>
                <w:sz w:val="20"/>
                <w:szCs w:val="20"/>
                <w:color w:val="auto"/>
              </w:rPr>
            </w:pPr>
            <w:r>
              <w:rPr>
                <w:rFonts w:ascii="Arial" w:cs="Arial" w:eastAsia="Arial" w:hAnsi="Arial"/>
                <w:sz w:val="17"/>
                <w:szCs w:val="17"/>
                <w:color w:val="auto"/>
              </w:rPr>
              <w:t>Time deposits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286,199</w:t>
            </w:r>
          </w:p>
        </w:tc>
        <w:tc>
          <w:tcPr>
            <w:tcW w:w="220" w:type="dxa"/>
            <w:vAlign w:val="bottom"/>
          </w:tcPr>
          <w:p>
            <w:pPr>
              <w:spacing w:after="0"/>
              <w:rPr>
                <w:sz w:val="17"/>
                <w:szCs w:val="17"/>
                <w:color w:val="auto"/>
              </w:rPr>
            </w:pPr>
          </w:p>
        </w:tc>
        <w:tc>
          <w:tcPr>
            <w:tcW w:w="1360" w:type="dxa"/>
            <w:vAlign w:val="bottom"/>
            <w:gridSpan w:val="2"/>
          </w:tcPr>
          <w:p>
            <w:pPr>
              <w:jc w:val="right"/>
              <w:ind w:right="35"/>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339,738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10.2%</w:t>
            </w:r>
          </w:p>
        </w:tc>
      </w:tr>
      <w:tr>
        <w:trPr>
          <w:trHeight w:val="25"/>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5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deposits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3,406,430</w:t>
            </w:r>
          </w:p>
        </w:tc>
        <w:tc>
          <w:tcPr>
            <w:tcW w:w="22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3,341,222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average deposit balances and weighted average rates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2021</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2020</w:t>
            </w: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560"/>
              <w:spacing w:after="0" w:line="187" w:lineRule="exact"/>
              <w:rPr>
                <w:sz w:val="20"/>
                <w:szCs w:val="20"/>
                <w:color w:val="auto"/>
              </w:rPr>
            </w:pPr>
            <w:r>
              <w:rPr>
                <w:rFonts w:ascii="Arial" w:cs="Arial" w:eastAsia="Arial" w:hAnsi="Arial"/>
                <w:sz w:val="17"/>
                <w:szCs w:val="17"/>
                <w:b w:val="1"/>
                <w:bCs w:val="1"/>
                <w:color w:val="auto"/>
                <w:w w:val="98"/>
              </w:rPr>
              <w:t>Average</w:t>
            </w:r>
          </w:p>
        </w:tc>
        <w:tc>
          <w:tcPr>
            <w:tcW w:w="10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1"/>
              </w:rPr>
              <w:t>Weighted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80"/>
              <w:spacing w:after="0" w:line="187" w:lineRule="exact"/>
              <w:rPr>
                <w:sz w:val="20"/>
                <w:szCs w:val="20"/>
                <w:color w:val="auto"/>
              </w:rPr>
            </w:pPr>
            <w:r>
              <w:rPr>
                <w:rFonts w:ascii="Arial" w:cs="Arial" w:eastAsia="Arial" w:hAnsi="Arial"/>
                <w:sz w:val="17"/>
                <w:szCs w:val="17"/>
                <w:b w:val="1"/>
                <w:bCs w:val="1"/>
                <w:color w:val="auto"/>
              </w:rPr>
              <w:t>Average</w:t>
            </w:r>
          </w:p>
        </w:tc>
        <w:tc>
          <w:tcPr>
            <w:tcW w:w="1040" w:type="dxa"/>
            <w:vAlign w:val="bottom"/>
          </w:tcPr>
          <w:p>
            <w:pPr>
              <w:jc w:val="right"/>
              <w:ind w:right="135"/>
              <w:spacing w:after="0" w:line="187" w:lineRule="exact"/>
              <w:rPr>
                <w:sz w:val="20"/>
                <w:szCs w:val="20"/>
                <w:color w:val="auto"/>
              </w:rPr>
            </w:pPr>
            <w:r>
              <w:rPr>
                <w:rFonts w:ascii="Arial" w:cs="Arial" w:eastAsia="Arial" w:hAnsi="Arial"/>
                <w:sz w:val="17"/>
                <w:szCs w:val="17"/>
                <w:b w:val="1"/>
                <w:bCs w:val="1"/>
                <w:color w:val="auto"/>
              </w:rPr>
              <w:t>Weighted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right"/>
              <w:ind w:right="540"/>
              <w:spacing w:after="0" w:line="187" w:lineRule="exact"/>
              <w:rPr>
                <w:sz w:val="20"/>
                <w:szCs w:val="20"/>
                <w:color w:val="auto"/>
              </w:rPr>
            </w:pPr>
            <w:r>
              <w:rPr>
                <w:rFonts w:ascii="Arial" w:cs="Arial" w:eastAsia="Arial" w:hAnsi="Arial"/>
                <w:sz w:val="17"/>
                <w:szCs w:val="17"/>
                <w:b w:val="1"/>
                <w:bCs w:val="1"/>
                <w:color w:val="auto"/>
                <w:w w:val="98"/>
              </w:rPr>
              <w:t>Average</w:t>
            </w:r>
          </w:p>
        </w:tc>
        <w:tc>
          <w:tcPr>
            <w:tcW w:w="104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88"/>
              </w:rPr>
              <w:t>Weighted</w:t>
            </w:r>
          </w:p>
        </w:tc>
        <w:tc>
          <w:tcPr>
            <w:tcW w:w="140" w:type="dxa"/>
            <w:vAlign w:val="bottom"/>
          </w:tcPr>
          <w:p>
            <w:pPr>
              <w:spacing w:after="0"/>
              <w:rPr>
                <w:sz w:val="16"/>
                <w:szCs w:val="16"/>
                <w:color w:val="auto"/>
              </w:rPr>
            </w:pPr>
          </w:p>
        </w:tc>
      </w:tr>
      <w:tr>
        <w:trPr>
          <w:trHeight w:val="226"/>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8"/>
              </w:rPr>
              <w:t>Balance</w:t>
            </w: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Average Rate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Balance</w:t>
            </w: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Average Rate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Balance</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Average Rate</w:t>
            </w:r>
          </w:p>
        </w:tc>
        <w:tc>
          <w:tcPr>
            <w:tcW w:w="140" w:type="dxa"/>
            <w:vAlign w:val="bottom"/>
          </w:tcPr>
          <w:p>
            <w:pPr>
              <w:spacing w:after="0"/>
              <w:rPr>
                <w:sz w:val="19"/>
                <w:szCs w:val="19"/>
                <w:color w:val="auto"/>
              </w:rPr>
            </w:pPr>
          </w:p>
        </w:tc>
      </w:tr>
      <w:tr>
        <w:trPr>
          <w:trHeight w:val="204"/>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w w:val="99"/>
              </w:rPr>
              <w:t>(Dollars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Noninterest-bearing deposits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1,189,730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1,016,835</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888,653</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3280" w:type="dxa"/>
            <w:vAlign w:val="bottom"/>
          </w:tcPr>
          <w:p>
            <w:pPr>
              <w:spacing w:after="0"/>
              <w:rPr>
                <w:sz w:val="20"/>
                <w:szCs w:val="20"/>
                <w:color w:val="auto"/>
              </w:rPr>
            </w:pPr>
            <w:r>
              <w:rPr>
                <w:rFonts w:ascii="Arial" w:cs="Arial" w:eastAsia="Arial" w:hAnsi="Arial"/>
                <w:sz w:val="17"/>
                <w:szCs w:val="17"/>
                <w:color w:val="auto"/>
              </w:rPr>
              <w:t>Interest-bearing deposits: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1"/>
        </w:trPr>
        <w:tc>
          <w:tcPr>
            <w:tcW w:w="3280" w:type="dxa"/>
            <w:vAlign w:val="bottom"/>
            <w:shd w:val="clear" w:color="auto" w:fill="CCEEFF"/>
          </w:tcPr>
          <w:p>
            <w:pPr>
              <w:ind w:left="160"/>
              <w:spacing w:after="0" w:line="191" w:lineRule="exact"/>
              <w:rPr>
                <w:sz w:val="20"/>
                <w:szCs w:val="20"/>
                <w:color w:val="auto"/>
              </w:rPr>
            </w:pPr>
            <w:r>
              <w:rPr>
                <w:rFonts w:ascii="Arial" w:cs="Arial" w:eastAsia="Arial" w:hAnsi="Arial"/>
                <w:sz w:val="17"/>
                <w:szCs w:val="17"/>
                <w:color w:val="auto"/>
              </w:rPr>
              <w:t>NOW and interest-bearing demand</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32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352,791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355,274</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329,431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0.13%</w:t>
            </w:r>
          </w:p>
        </w:tc>
      </w:tr>
      <w:tr>
        <w:trPr>
          <w:trHeight w:val="204"/>
        </w:trPr>
        <w:tc>
          <w:tcPr>
            <w:tcW w:w="3280" w:type="dxa"/>
            <w:vAlign w:val="bottom"/>
          </w:tcPr>
          <w:p>
            <w:pPr>
              <w:ind w:left="160"/>
              <w:spacing w:after="0"/>
              <w:rPr>
                <w:sz w:val="20"/>
                <w:szCs w:val="20"/>
                <w:color w:val="auto"/>
              </w:rPr>
            </w:pPr>
            <w:r>
              <w:rPr>
                <w:rFonts w:ascii="Arial" w:cs="Arial" w:eastAsia="Arial" w:hAnsi="Arial"/>
                <w:sz w:val="17"/>
                <w:szCs w:val="17"/>
                <w:color w:val="auto"/>
              </w:rPr>
              <w:t>Savings accounts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151,128</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0.32%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132,426</w:t>
            </w: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0.09%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113,681</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0.09%</w:t>
            </w:r>
          </w:p>
        </w:tc>
      </w:tr>
      <w:tr>
        <w:trPr>
          <w:trHeight w:val="204"/>
        </w:trPr>
        <w:tc>
          <w:tcPr>
            <w:tcW w:w="32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Money market accounts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1,385,969</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1,353,978</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1,209,976</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0.48%</w:t>
            </w:r>
          </w:p>
        </w:tc>
      </w:tr>
      <w:tr>
        <w:trPr>
          <w:trHeight w:val="209"/>
        </w:trPr>
        <w:tc>
          <w:tcPr>
            <w:tcW w:w="3280" w:type="dxa"/>
            <w:vAlign w:val="bottom"/>
          </w:tcPr>
          <w:p>
            <w:pPr>
              <w:ind w:left="160"/>
              <w:spacing w:after="0"/>
              <w:rPr>
                <w:sz w:val="20"/>
                <w:szCs w:val="20"/>
                <w:color w:val="auto"/>
              </w:rPr>
            </w:pPr>
            <w:r>
              <w:rPr>
                <w:rFonts w:ascii="Arial" w:cs="Arial" w:eastAsia="Arial" w:hAnsi="Arial"/>
                <w:sz w:val="17"/>
                <w:szCs w:val="17"/>
                <w:color w:val="auto"/>
              </w:rPr>
              <w:t>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327,289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329,509</w:t>
            </w:r>
          </w:p>
        </w:tc>
        <w:tc>
          <w:tcPr>
            <w:tcW w:w="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331,623</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1.68%</w:t>
            </w:r>
          </w:p>
        </w:tc>
      </w:tr>
      <w:tr>
        <w:trPr>
          <w:trHeight w:val="209"/>
        </w:trPr>
        <w:tc>
          <w:tcPr>
            <w:tcW w:w="3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2,217,177</w:t>
            </w: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2,171,187</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0.38%</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1,984,711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0.60%</w:t>
            </w:r>
          </w:p>
        </w:tc>
      </w:tr>
      <w:tr>
        <w:trPr>
          <w:trHeight w:val="204"/>
        </w:trPr>
        <w:tc>
          <w:tcPr>
            <w:tcW w:w="3280" w:type="dxa"/>
            <w:vAlign w:val="bottom"/>
          </w:tcPr>
          <w:p>
            <w:pPr>
              <w:ind w:left="460"/>
              <w:spacing w:after="0"/>
              <w:rPr>
                <w:sz w:val="20"/>
                <w:szCs w:val="20"/>
                <w:color w:val="auto"/>
              </w:rPr>
            </w:pPr>
            <w:r>
              <w:rPr>
                <w:rFonts w:ascii="Arial" w:cs="Arial" w:eastAsia="Arial" w:hAnsi="Arial"/>
                <w:sz w:val="17"/>
                <w:szCs w:val="17"/>
                <w:color w:val="auto"/>
              </w:rPr>
              <w:t>Total deposits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3,406,907</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0.50%</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3,188,022</w:t>
            </w: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0.26%</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2,873,364</w:t>
            </w:r>
          </w:p>
        </w:tc>
        <w:tc>
          <w:tcPr>
            <w:tcW w:w="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0.41%</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scheduled maturities of uninsured certificates of deposits or other time deposits as of December 31, 2022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820" w:type="dxa"/>
            <w:vAlign w:val="bottom"/>
            <w:gridSpan w:val="4"/>
          </w:tcPr>
          <w:p>
            <w:pPr>
              <w:spacing w:after="0"/>
              <w:rPr>
                <w:sz w:val="20"/>
                <w:szCs w:val="20"/>
                <w:color w:val="auto"/>
              </w:rPr>
            </w:pPr>
            <w:r>
              <w:rPr>
                <w:rFonts w:ascii="Arial" w:cs="Arial" w:eastAsia="Arial" w:hAnsi="Arial"/>
                <w:sz w:val="14"/>
                <w:szCs w:val="14"/>
                <w:i w:val="1"/>
                <w:iCs w:val="1"/>
                <w:color w:val="0000EE"/>
              </w:rPr>
              <w:t>Table of Contents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6"/>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0"/>
              </w:rPr>
              <w:t>Three</w:t>
            </w: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Three to</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Six to</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After</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820" w:type="dxa"/>
            <w:vAlign w:val="bottom"/>
            <w:gridSpan w:val="4"/>
          </w:tcPr>
          <w:p>
            <w:pPr>
              <w:spacing w:after="0"/>
              <w:rPr>
                <w:sz w:val="20"/>
                <w:szCs w:val="20"/>
                <w:color w:val="auto"/>
              </w:rPr>
            </w:pPr>
            <w:r>
              <w:rPr>
                <w:rFonts w:ascii="Arial" w:cs="Arial" w:eastAsia="Arial" w:hAnsi="Arial"/>
                <w:sz w:val="17"/>
                <w:szCs w:val="17"/>
                <w:b w:val="1"/>
                <w:bCs w:val="1"/>
                <w:color w:val="auto"/>
              </w:rPr>
              <w:t>(Dollars in thousands)</w:t>
            </w:r>
          </w:p>
        </w:tc>
        <w:tc>
          <w:tcPr>
            <w:tcW w:w="116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9"/>
              </w:rPr>
              <w:t>Months</w:t>
            </w: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Six Months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12 Months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12 Months</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r>
      <w:tr>
        <w:trPr>
          <w:trHeight w:val="204"/>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15,770</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65,700</w:t>
            </w:r>
          </w:p>
        </w:tc>
        <w:tc>
          <w:tcPr>
            <w:tcW w:w="10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amount of uninsured deposits as of December 31, 2022 was $1.04 billion.</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Borrowed Funds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deposits, we utilize advances from the FHLB and other borrowings as a supplementary funding source to finance our operations.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FHLB Advances</w:t>
      </w:r>
      <w:r>
        <w:rPr>
          <w:rFonts w:ascii="Arial" w:cs="Arial" w:eastAsia="Arial" w:hAnsi="Arial"/>
          <w:sz w:val="17"/>
          <w:szCs w:val="17"/>
          <w:color w:val="auto"/>
        </w:rPr>
        <w:t>. The FHLB allows us to borrow, both short and long-term, on a blanket floating lien status collateralized by first mortgage loans and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loans as well as FHLB stock. At December 31, 2022 and December 31, 2021 we had total remaining borrowing capacity from the FHLB of $920.2 million and $903.9 million,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20"/>
                <w:szCs w:val="20"/>
                <w:color w:val="auto"/>
              </w:rPr>
            </w:pPr>
            <w:r>
              <w:rPr>
                <w:rFonts w:ascii="Arial" w:cs="Arial" w:eastAsia="Arial" w:hAnsi="Arial"/>
                <w:sz w:val="17"/>
                <w:szCs w:val="17"/>
                <w:color w:val="auto"/>
              </w:rPr>
              <w:t>The following table sets forth our long-term FHLB borrowings as of and for the periods indicated:</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92"/>
        </w:trPr>
        <w:tc>
          <w:tcPr>
            <w:tcW w:w="7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60" w:type="dxa"/>
            <w:vAlign w:val="bottom"/>
            <w:gridSpan w:val="7"/>
          </w:tcPr>
          <w:p>
            <w:pPr>
              <w:jc w:val="center"/>
              <w:ind w:right="160"/>
              <w:spacing w:after="0"/>
              <w:rPr>
                <w:sz w:val="20"/>
                <w:szCs w:val="20"/>
                <w:color w:val="auto"/>
              </w:rPr>
            </w:pPr>
            <w:r>
              <w:rPr>
                <w:rFonts w:ascii="Arial" w:cs="Arial" w:eastAsia="Arial" w:hAnsi="Arial"/>
                <w:sz w:val="17"/>
                <w:szCs w:val="17"/>
                <w:b w:val="1"/>
                <w:bCs w:val="1"/>
                <w:color w:val="auto"/>
                <w:w w:val="90"/>
              </w:rPr>
              <w:t>As of and for the Year</w:t>
            </w:r>
          </w:p>
        </w:tc>
      </w:tr>
      <w:tr>
        <w:trPr>
          <w:trHeight w:val="226"/>
        </w:trPr>
        <w:tc>
          <w:tcPr>
            <w:tcW w:w="7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60" w:type="dxa"/>
            <w:vAlign w:val="bottom"/>
            <w:gridSpan w:val="7"/>
          </w:tcPr>
          <w:p>
            <w:pPr>
              <w:jc w:val="center"/>
              <w:ind w:right="140"/>
              <w:spacing w:after="0"/>
              <w:rPr>
                <w:sz w:val="20"/>
                <w:szCs w:val="20"/>
                <w:color w:val="auto"/>
              </w:rPr>
            </w:pPr>
            <w:r>
              <w:rPr>
                <w:rFonts w:ascii="Arial" w:cs="Arial" w:eastAsia="Arial" w:hAnsi="Arial"/>
                <w:sz w:val="17"/>
                <w:szCs w:val="17"/>
                <w:b w:val="1"/>
                <w:bCs w:val="1"/>
                <w:color w:val="auto"/>
                <w:w w:val="89"/>
              </w:rPr>
              <w:t>Ended December 31,</w:t>
            </w:r>
          </w:p>
        </w:tc>
      </w:tr>
      <w:tr>
        <w:trPr>
          <w:trHeight w:val="209"/>
        </w:trPr>
        <w:tc>
          <w:tcPr>
            <w:tcW w:w="7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8"/>
                <w:szCs w:val="18"/>
                <w:color w:val="auto"/>
              </w:rPr>
            </w:pPr>
          </w:p>
        </w:tc>
      </w:tr>
      <w:tr>
        <w:trPr>
          <w:trHeight w:val="204"/>
        </w:trPr>
        <w:tc>
          <w:tcPr>
            <w:tcW w:w="7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60" w:type="dxa"/>
            <w:vAlign w:val="bottom"/>
            <w:gridSpan w:val="7"/>
          </w:tcPr>
          <w:p>
            <w:pPr>
              <w:jc w:val="center"/>
              <w:ind w:right="160"/>
              <w:spacing w:after="0"/>
              <w:rPr>
                <w:sz w:val="20"/>
                <w:szCs w:val="20"/>
                <w:color w:val="auto"/>
              </w:rPr>
            </w:pPr>
            <w:r>
              <w:rPr>
                <w:rFonts w:ascii="Arial" w:cs="Arial" w:eastAsia="Arial" w:hAnsi="Arial"/>
                <w:sz w:val="17"/>
                <w:szCs w:val="17"/>
                <w:b w:val="1"/>
                <w:bCs w:val="1"/>
                <w:color w:val="auto"/>
                <w:w w:val="89"/>
              </w:rPr>
              <w:t>(Dollars in thousands)</w:t>
            </w:r>
          </w:p>
        </w:tc>
      </w:tr>
      <w:tr>
        <w:trPr>
          <w:trHeight w:val="204"/>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Amount outstanding at year-end</w:t>
            </w:r>
          </w:p>
        </w:tc>
        <w:tc>
          <w:tcPr>
            <w:tcW w:w="1820" w:type="dxa"/>
            <w:vAlign w:val="bottom"/>
            <w:gridSpan w:val="2"/>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7680" w:type="dxa"/>
            <w:vAlign w:val="bottom"/>
          </w:tcPr>
          <w:p>
            <w:pPr>
              <w:spacing w:after="0"/>
              <w:rPr>
                <w:sz w:val="20"/>
                <w:szCs w:val="20"/>
                <w:color w:val="auto"/>
              </w:rPr>
            </w:pPr>
            <w:r>
              <w:rPr>
                <w:rFonts w:ascii="Arial" w:cs="Arial" w:eastAsia="Arial" w:hAnsi="Arial"/>
                <w:sz w:val="17"/>
                <w:szCs w:val="17"/>
                <w:color w:val="auto"/>
              </w:rPr>
              <w:t>Weighted average interest rate at year-end</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Maximum month-end balance during the year</w:t>
            </w:r>
          </w:p>
        </w:tc>
        <w:tc>
          <w:tcPr>
            <w:tcW w:w="1820" w:type="dxa"/>
            <w:vAlign w:val="bottom"/>
            <w:gridSpan w:val="2"/>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75,000</w:t>
            </w:r>
          </w:p>
        </w:tc>
      </w:tr>
      <w:tr>
        <w:trPr>
          <w:trHeight w:val="204"/>
        </w:trPr>
        <w:tc>
          <w:tcPr>
            <w:tcW w:w="7680" w:type="dxa"/>
            <w:vAlign w:val="bottom"/>
          </w:tcPr>
          <w:p>
            <w:pPr>
              <w:spacing w:after="0"/>
              <w:rPr>
                <w:sz w:val="20"/>
                <w:szCs w:val="20"/>
                <w:color w:val="auto"/>
              </w:rPr>
            </w:pPr>
            <w:r>
              <w:rPr>
                <w:rFonts w:ascii="Arial" w:cs="Arial" w:eastAsia="Arial" w:hAnsi="Arial"/>
                <w:sz w:val="17"/>
                <w:szCs w:val="17"/>
                <w:color w:val="auto"/>
              </w:rPr>
              <w:t>Average balance outstanding during the year</w:t>
            </w:r>
          </w:p>
        </w:tc>
        <w:tc>
          <w:tcPr>
            <w:tcW w:w="1820" w:type="dxa"/>
            <w:vAlign w:val="bottom"/>
            <w:gridSpan w:val="2"/>
          </w:tcPr>
          <w:p>
            <w:pPr>
              <w:jc w:val="right"/>
              <w:ind w:right="655"/>
              <w:spacing w:after="0"/>
              <w:rPr>
                <w:sz w:val="20"/>
                <w:szCs w:val="20"/>
                <w:color w:val="auto"/>
              </w:rPr>
            </w:pPr>
            <w:r>
              <w:rPr>
                <w:rFonts w:ascii="Arial" w:cs="Arial" w:eastAsia="Arial" w:hAnsi="Arial"/>
                <w:sz w:val="17"/>
                <w:szCs w:val="17"/>
                <w:color w:val="auto"/>
              </w:rPr>
              <w:t>$</w:t>
            </w:r>
          </w:p>
        </w:tc>
        <w:tc>
          <w:tcPr>
            <w:tcW w:w="3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19,641</w:t>
            </w:r>
          </w:p>
        </w:tc>
      </w:tr>
      <w:tr>
        <w:trPr>
          <w:trHeight w:val="204"/>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interest rate during the year</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0.19%</w:t>
            </w:r>
          </w:p>
        </w:tc>
      </w:tr>
    </w:tbl>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used FHLB letters of credit to pledge to certain public deposits. These letters of credit expired in July 2021 and the Company began pledging securities to these public funds rather than renewing the letters of credit. As a result, there were no FHLB letters of credit outstanding at December 31, 2022 and 2021.</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Federal Reserve Bank of Dallas</w:t>
      </w:r>
      <w:r>
        <w:rPr>
          <w:rFonts w:ascii="Arial" w:cs="Arial" w:eastAsia="Arial" w:hAnsi="Arial"/>
          <w:sz w:val="16"/>
          <w:szCs w:val="16"/>
          <w:color w:val="auto"/>
        </w:rPr>
        <w:t>. The Bank has a line of credit with the FRB. The amount of the line is determined on a monthly basis by the Federal Reserve Bank.</w:t>
      </w:r>
      <w:r>
        <w:rPr>
          <w:rFonts w:ascii="Arial" w:cs="Arial" w:eastAsia="Arial" w:hAnsi="Arial"/>
          <w:sz w:val="16"/>
          <w:szCs w:val="16"/>
          <w:i w:val="1"/>
          <w:iCs w:val="1"/>
          <w:color w:val="auto"/>
        </w:rPr>
        <w:t xml:space="preserve"> </w:t>
      </w:r>
      <w:r>
        <w:rPr>
          <w:rFonts w:ascii="Arial" w:cs="Arial" w:eastAsia="Arial" w:hAnsi="Arial"/>
          <w:sz w:val="16"/>
          <w:szCs w:val="16"/>
          <w:color w:val="auto"/>
        </w:rPr>
        <w:t>The line is collateralized by a blanket floating lien on all agriculture, commercial and consumer loans. The amount of the line was $648.3 million and $593.6 million at December 31, 2022 and 2021, respectively. There were no amounts outstanding on the FRB line of credit at December 31, 2022 and 2021.</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Lines of Credit</w:t>
      </w:r>
      <w:r>
        <w:rPr>
          <w:rFonts w:ascii="Arial" w:cs="Arial" w:eastAsia="Arial" w:hAnsi="Arial"/>
          <w:sz w:val="17"/>
          <w:szCs w:val="17"/>
          <w:color w:val="auto"/>
        </w:rPr>
        <w:t>. The Bank has uncollateralized lines of credit with multiple banks as a source of funding for liquidity management. The total amount of the lines was</w:t>
      </w:r>
      <w:r>
        <w:rPr>
          <w:rFonts w:ascii="Arial" w:cs="Arial" w:eastAsia="Arial" w:hAnsi="Arial"/>
          <w:sz w:val="17"/>
          <w:szCs w:val="17"/>
          <w:i w:val="1"/>
          <w:iCs w:val="1"/>
          <w:color w:val="auto"/>
        </w:rPr>
        <w:t xml:space="preserve"> </w:t>
      </w:r>
      <w:r>
        <w:rPr>
          <w:rFonts w:ascii="Arial" w:cs="Arial" w:eastAsia="Arial" w:hAnsi="Arial"/>
          <w:sz w:val="17"/>
          <w:szCs w:val="17"/>
          <w:color w:val="auto"/>
        </w:rPr>
        <w:t>$160.0 million and $160.0 million as of December 31, 2022 and 2021. The lines were not used at December 31,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Subordinated Debt</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December 2018, the Company issued $26.5 million in subordinated notes. Notes totaling $12.4 million have a maturity date of December 2028 and an average fixed rate of 5.74% for the first five years. The remaining $14.1 million of notes have a maturity date of December 2030 and an average fixed rate of 6.41% for the first seven years. After the fixed rate periods, all notes will float at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2022, the total amount of subordinated debt outstanding was $76.5 million, less approximately $511 thousand of remaining debt issuance costs for a total balance of $76.0 million.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Junior Subordinated Deferrable Interest Debentures and Trust Preferred Securities</w:t>
      </w:r>
      <w:r>
        <w:rPr>
          <w:rFonts w:ascii="Arial" w:cs="Arial" w:eastAsia="Arial" w:hAnsi="Arial"/>
          <w:sz w:val="15"/>
          <w:szCs w:val="15"/>
          <w:color w:val="auto"/>
        </w:rPr>
        <w:t>. Between March 2004 and June 2007, the Company formed three wholly-owned</w:t>
      </w:r>
      <w:r>
        <w:rPr>
          <w:rFonts w:ascii="Arial" w:cs="Arial" w:eastAsia="Arial" w:hAnsi="Arial"/>
          <w:sz w:val="15"/>
          <w:szCs w:val="15"/>
          <w:i w:val="1"/>
          <w:iCs w:val="1"/>
          <w:color w:val="auto"/>
        </w:rPr>
        <w:t xml:space="preserve"> </w:t>
      </w:r>
      <w:r>
        <w:rPr>
          <w:rFonts w:ascii="Arial" w:cs="Arial" w:eastAsia="Arial" w:hAnsi="Arial"/>
          <w:sz w:val="15"/>
          <w:szCs w:val="15"/>
          <w:color w:val="auto"/>
        </w:rPr>
        <w:t>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2022 and 2021.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chart below indicates certain information, as of December 31, 2022,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Stated</w:t>
            </w:r>
          </w:p>
        </w:tc>
        <w:tc>
          <w:tcPr>
            <w:tcW w:w="23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Maturity Date</w:t>
            </w:r>
          </w:p>
        </w:tc>
        <w:tc>
          <w:tcPr>
            <w:tcW w:w="23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of Trust</w:t>
            </w:r>
          </w:p>
        </w:tc>
        <w:tc>
          <w:tcPr>
            <w:tcW w:w="2360" w:type="dxa"/>
            <w:vAlign w:val="bottom"/>
          </w:tcPr>
          <w:p>
            <w:pPr>
              <w:jc w:val="center"/>
              <w:spacing w:after="0"/>
              <w:rPr>
                <w:sz w:val="20"/>
                <w:szCs w:val="20"/>
                <w:color w:val="auto"/>
              </w:rPr>
            </w:pPr>
            <w:r>
              <w:rPr>
                <w:rFonts w:ascii="Arial" w:cs="Arial" w:eastAsia="Arial" w:hAnsi="Arial"/>
                <w:sz w:val="17"/>
                <w:szCs w:val="17"/>
                <w:b w:val="1"/>
                <w:bCs w:val="1"/>
                <w:color w:val="auto"/>
                <w:w w:val="90"/>
              </w:rPr>
              <w:t>Interest Rate of</w:t>
            </w: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of Trust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Preferred</w:t>
            </w:r>
          </w:p>
        </w:tc>
        <w:tc>
          <w:tcPr>
            <w:tcW w:w="2360" w:type="dxa"/>
            <w:vAlign w:val="bottom"/>
          </w:tcPr>
          <w:p>
            <w:pPr>
              <w:jc w:val="center"/>
              <w:spacing w:after="0"/>
              <w:rPr>
                <w:sz w:val="20"/>
                <w:szCs w:val="20"/>
                <w:color w:val="auto"/>
              </w:rPr>
            </w:pPr>
            <w:r>
              <w:rPr>
                <w:rFonts w:ascii="Arial" w:cs="Arial" w:eastAsia="Arial" w:hAnsi="Arial"/>
                <w:sz w:val="17"/>
                <w:szCs w:val="17"/>
                <w:b w:val="1"/>
                <w:bCs w:val="1"/>
                <w:color w:val="auto"/>
                <w:w w:val="91"/>
              </w:rPr>
              <w:t>Trust Preferred</w:t>
            </w:r>
          </w:p>
        </w:tc>
      </w:tr>
      <w:tr>
        <w:trPr>
          <w:trHeight w:val="193"/>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right"/>
              <w:ind w:right="600"/>
              <w:spacing w:after="0" w:line="193" w:lineRule="exact"/>
              <w:rPr>
                <w:sz w:val="20"/>
                <w:szCs w:val="20"/>
                <w:color w:val="auto"/>
              </w:rPr>
            </w:pPr>
            <w:r>
              <w:rPr>
                <w:rFonts w:ascii="Arial" w:cs="Arial" w:eastAsia="Arial" w:hAnsi="Arial"/>
                <w:sz w:val="17"/>
                <w:szCs w:val="17"/>
                <w:b w:val="1"/>
                <w:bCs w:val="1"/>
                <w:color w:val="auto"/>
              </w:rPr>
              <w:t>Issue</w:t>
            </w:r>
          </w:p>
        </w:tc>
        <w:tc>
          <w:tcPr>
            <w:tcW w:w="1220" w:type="dxa"/>
            <w:vAlign w:val="bottom"/>
            <w:gridSpan w:val="2"/>
          </w:tcPr>
          <w:p>
            <w:pPr>
              <w:jc w:val="center"/>
              <w:ind w:right="400"/>
              <w:spacing w:after="0" w:line="193" w:lineRule="exact"/>
              <w:rPr>
                <w:sz w:val="20"/>
                <w:szCs w:val="20"/>
                <w:color w:val="auto"/>
              </w:rPr>
            </w:pPr>
            <w:r>
              <w:rPr>
                <w:rFonts w:ascii="Arial" w:cs="Arial" w:eastAsia="Arial" w:hAnsi="Arial"/>
                <w:sz w:val="17"/>
                <w:szCs w:val="17"/>
                <w:b w:val="1"/>
                <w:bCs w:val="1"/>
                <w:color w:val="auto"/>
                <w:w w:val="92"/>
              </w:rPr>
              <w:t>Preferred</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3" w:lineRule="exact"/>
              <w:rPr>
                <w:sz w:val="20"/>
                <w:szCs w:val="20"/>
                <w:color w:val="auto"/>
              </w:rPr>
            </w:pPr>
            <w:r>
              <w:rPr>
                <w:rFonts w:ascii="Arial" w:cs="Arial" w:eastAsia="Arial" w:hAnsi="Arial"/>
                <w:sz w:val="17"/>
                <w:szCs w:val="17"/>
                <w:b w:val="1"/>
                <w:bCs w:val="1"/>
                <w:color w:val="auto"/>
                <w:w w:val="91"/>
              </w:rPr>
              <w:t>Amount of</w:t>
            </w:r>
          </w:p>
        </w:tc>
        <w:tc>
          <w:tcPr>
            <w:tcW w:w="1220" w:type="dxa"/>
            <w:vAlign w:val="bottom"/>
            <w:gridSpan w:val="2"/>
          </w:tcPr>
          <w:p>
            <w:pPr>
              <w:jc w:val="center"/>
              <w:ind w:right="80"/>
              <w:spacing w:after="0" w:line="193" w:lineRule="exact"/>
              <w:rPr>
                <w:sz w:val="20"/>
                <w:szCs w:val="20"/>
                <w:color w:val="auto"/>
              </w:rPr>
            </w:pPr>
            <w:r>
              <w:rPr>
                <w:rFonts w:ascii="Arial" w:cs="Arial" w:eastAsia="Arial" w:hAnsi="Arial"/>
                <w:sz w:val="17"/>
                <w:szCs w:val="17"/>
                <w:b w:val="1"/>
                <w:bCs w:val="1"/>
                <w:color w:val="auto"/>
                <w:w w:val="87"/>
              </w:rPr>
              <w:t>Securities and</w:t>
            </w:r>
          </w:p>
        </w:tc>
        <w:tc>
          <w:tcPr>
            <w:tcW w:w="236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87"/>
              </w:rPr>
              <w:t>Securities and</w:t>
            </w:r>
          </w:p>
        </w:tc>
      </w:tr>
      <w:tr>
        <w:trPr>
          <w:trHeight w:val="231"/>
        </w:trPr>
        <w:tc>
          <w:tcPr>
            <w:tcW w:w="3720" w:type="dxa"/>
            <w:vAlign w:val="bottom"/>
            <w:gridSpan w:val="2"/>
          </w:tcPr>
          <w:p>
            <w:pPr>
              <w:spacing w:after="0"/>
              <w:rPr>
                <w:sz w:val="20"/>
                <w:szCs w:val="20"/>
                <w:color w:val="auto"/>
              </w:rPr>
            </w:pPr>
            <w:r>
              <w:rPr>
                <w:rFonts w:ascii="Arial" w:cs="Arial" w:eastAsia="Arial" w:hAnsi="Arial"/>
                <w:sz w:val="17"/>
                <w:szCs w:val="17"/>
                <w:b w:val="1"/>
                <w:bCs w:val="1"/>
                <w:color w:val="auto"/>
              </w:rPr>
              <w:t>Name of Trust</w:t>
            </w:r>
          </w:p>
        </w:tc>
        <w:tc>
          <w:tcPr>
            <w:tcW w:w="120" w:type="dxa"/>
            <w:vAlign w:val="bottom"/>
          </w:tcPr>
          <w:p>
            <w:pPr>
              <w:spacing w:after="0"/>
              <w:rPr>
                <w:sz w:val="20"/>
                <w:szCs w:val="20"/>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7"/>
                <w:szCs w:val="17"/>
                <w:b w:val="1"/>
                <w:bCs w:val="1"/>
                <w:color w:val="auto"/>
              </w:rPr>
              <w:t>Date</w:t>
            </w: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6"/>
              </w:rPr>
              <w:t>Securities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Debentures</w:t>
            </w:r>
          </w:p>
        </w:tc>
        <w:tc>
          <w:tcPr>
            <w:tcW w:w="1220" w:type="dxa"/>
            <w:vAlign w:val="bottom"/>
            <w:gridSpan w:val="2"/>
          </w:tcPr>
          <w:p>
            <w:pPr>
              <w:jc w:val="center"/>
              <w:ind w:right="100"/>
              <w:spacing w:after="0" w:line="231" w:lineRule="exact"/>
              <w:rPr>
                <w:sz w:val="20"/>
                <w:szCs w:val="20"/>
                <w:color w:val="auto"/>
              </w:rPr>
            </w:pPr>
            <w:r>
              <w:rPr>
                <w:rFonts w:ascii="Arial" w:cs="Arial" w:eastAsia="Arial" w:hAnsi="Arial"/>
                <w:sz w:val="16"/>
                <w:szCs w:val="16"/>
                <w:b w:val="1"/>
                <w:bCs w:val="1"/>
                <w:color w:val="auto"/>
                <w:w w:val="91"/>
              </w:rPr>
              <w:t>Debentures</w:t>
            </w:r>
            <w:r>
              <w:rPr>
                <w:rFonts w:ascii="Arial" w:cs="Arial" w:eastAsia="Arial" w:hAnsi="Arial"/>
                <w:sz w:val="26"/>
                <w:szCs w:val="26"/>
                <w:b w:val="1"/>
                <w:bCs w:val="1"/>
                <w:color w:val="auto"/>
                <w:w w:val="91"/>
                <w:vertAlign w:val="superscript"/>
              </w:rPr>
              <w:t>(1)</w:t>
            </w:r>
          </w:p>
        </w:tc>
        <w:tc>
          <w:tcPr>
            <w:tcW w:w="2360" w:type="dxa"/>
            <w:vAlign w:val="bottom"/>
          </w:tcPr>
          <w:p>
            <w:pPr>
              <w:jc w:val="center"/>
              <w:spacing w:after="0" w:line="231" w:lineRule="exact"/>
              <w:rPr>
                <w:sz w:val="20"/>
                <w:szCs w:val="20"/>
                <w:color w:val="auto"/>
              </w:rPr>
            </w:pPr>
            <w:r>
              <w:rPr>
                <w:rFonts w:ascii="Arial" w:cs="Arial" w:eastAsia="Arial" w:hAnsi="Arial"/>
                <w:sz w:val="16"/>
                <w:szCs w:val="16"/>
                <w:b w:val="1"/>
                <w:bCs w:val="1"/>
                <w:color w:val="auto"/>
                <w:w w:val="88"/>
              </w:rPr>
              <w:t>Debentures</w:t>
            </w:r>
            <w:r>
              <w:rPr>
                <w:rFonts w:ascii="Arial" w:cs="Arial" w:eastAsia="Arial" w:hAnsi="Arial"/>
                <w:sz w:val="26"/>
                <w:szCs w:val="26"/>
                <w:b w:val="1"/>
                <w:bCs w:val="1"/>
                <w:color w:val="auto"/>
                <w:w w:val="88"/>
                <w:vertAlign w:val="superscript"/>
              </w:rPr>
              <w:t>(2)(3)</w:t>
            </w:r>
          </w:p>
        </w:tc>
      </w:tr>
      <w:tr>
        <w:trPr>
          <w:trHeight w:val="25"/>
        </w:trPr>
        <w:tc>
          <w:tcPr>
            <w:tcW w:w="20" w:type="dxa"/>
            <w:vAlign w:val="bottom"/>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shd w:val="clear" w:color="auto" w:fill="000000"/>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ind w:left="300"/>
              <w:spacing w:after="0"/>
              <w:rPr>
                <w:sz w:val="20"/>
                <w:szCs w:val="20"/>
                <w:color w:val="auto"/>
              </w:rPr>
            </w:pPr>
            <w:r>
              <w:rPr>
                <w:rFonts w:ascii="Arial" w:cs="Arial" w:eastAsia="Arial" w:hAnsi="Arial"/>
                <w:sz w:val="17"/>
                <w:szCs w:val="17"/>
                <w:b w:val="1"/>
                <w:bCs w:val="1"/>
                <w:color w:val="auto"/>
              </w:rPr>
              <w:t>(Dollars in thousands)</w:t>
            </w:r>
          </w:p>
        </w:tc>
        <w:tc>
          <w:tcPr>
            <w:tcW w:w="236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37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South Plains Financial Capital Trust III</w:t>
            </w:r>
          </w:p>
        </w:tc>
        <w:tc>
          <w:tcPr>
            <w:tcW w:w="1240" w:type="dxa"/>
            <w:vAlign w:val="bottom"/>
            <w:gridSpan w:val="3"/>
            <w:shd w:val="clear" w:color="auto" w:fill="CCEEFF"/>
          </w:tcPr>
          <w:p>
            <w:pPr>
              <w:jc w:val="right"/>
              <w:ind w:right="100"/>
              <w:spacing w:after="0" w:line="191" w:lineRule="exact"/>
              <w:rPr>
                <w:sz w:val="20"/>
                <w:szCs w:val="20"/>
                <w:color w:val="auto"/>
              </w:rPr>
            </w:pPr>
            <w:r>
              <w:rPr>
                <w:rFonts w:ascii="Arial" w:cs="Arial" w:eastAsia="Arial" w:hAnsi="Arial"/>
                <w:sz w:val="17"/>
                <w:szCs w:val="17"/>
                <w:color w:val="auto"/>
              </w:rPr>
              <w:t>2004</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3-mo. LIBOR</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2034</w:t>
            </w:r>
          </w:p>
        </w:tc>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+ 265 bps; 6.97%</w:t>
            </w:r>
          </w:p>
        </w:tc>
      </w:tr>
      <w:tr>
        <w:trPr>
          <w:trHeight w:val="191"/>
        </w:trPr>
        <w:tc>
          <w:tcPr>
            <w:tcW w:w="20" w:type="dxa"/>
            <w:vAlign w:val="bottom"/>
          </w:tcPr>
          <w:p>
            <w:pPr>
              <w:spacing w:after="0"/>
              <w:rPr>
                <w:sz w:val="16"/>
                <w:szCs w:val="16"/>
                <w:color w:val="auto"/>
              </w:rPr>
            </w:pPr>
          </w:p>
        </w:tc>
        <w:tc>
          <w:tcPr>
            <w:tcW w:w="3700" w:type="dxa"/>
            <w:vAlign w:val="bottom"/>
          </w:tcPr>
          <w:p>
            <w:pPr>
              <w:spacing w:after="0" w:line="191" w:lineRule="exact"/>
              <w:rPr>
                <w:sz w:val="20"/>
                <w:szCs w:val="20"/>
                <w:color w:val="auto"/>
              </w:rPr>
            </w:pPr>
            <w:r>
              <w:rPr>
                <w:rFonts w:ascii="Arial" w:cs="Arial" w:eastAsia="Arial" w:hAnsi="Arial"/>
                <w:sz w:val="17"/>
                <w:szCs w:val="17"/>
                <w:color w:val="auto"/>
              </w:rPr>
              <w:t>South Plains Financial Capital Trust IV</w:t>
            </w:r>
          </w:p>
        </w:tc>
        <w:tc>
          <w:tcPr>
            <w:tcW w:w="1240" w:type="dxa"/>
            <w:vAlign w:val="bottom"/>
            <w:gridSpan w:val="3"/>
          </w:tcPr>
          <w:p>
            <w:pPr>
              <w:jc w:val="right"/>
              <w:ind w:right="100"/>
              <w:spacing w:after="0" w:line="191" w:lineRule="exact"/>
              <w:rPr>
                <w:sz w:val="20"/>
                <w:szCs w:val="20"/>
                <w:color w:val="auto"/>
              </w:rPr>
            </w:pPr>
            <w:r>
              <w:rPr>
                <w:rFonts w:ascii="Arial" w:cs="Arial" w:eastAsia="Arial" w:hAnsi="Arial"/>
                <w:sz w:val="17"/>
                <w:szCs w:val="17"/>
                <w:color w:val="auto"/>
              </w:rPr>
              <w:t>2005</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line="191" w:lineRule="exact"/>
              <w:rPr>
                <w:sz w:val="20"/>
                <w:szCs w:val="20"/>
                <w:color w:val="auto"/>
              </w:rPr>
            </w:pPr>
            <w:r>
              <w:rPr>
                <w:rFonts w:ascii="Arial" w:cs="Arial" w:eastAsia="Arial" w:hAnsi="Arial"/>
                <w:sz w:val="17"/>
                <w:szCs w:val="17"/>
                <w:color w:val="auto"/>
              </w:rPr>
              <w:t>33-mo. LIBOR</w:t>
            </w: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20,619</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2035</w:t>
            </w:r>
          </w:p>
        </w:tc>
        <w:tc>
          <w:tcPr>
            <w:tcW w:w="2360" w:type="dxa"/>
            <w:vAlign w:val="bottom"/>
          </w:tcPr>
          <w:p>
            <w:pPr>
              <w:spacing w:after="0"/>
              <w:rPr>
                <w:sz w:val="20"/>
                <w:szCs w:val="20"/>
                <w:color w:val="auto"/>
              </w:rPr>
            </w:pPr>
            <w:r>
              <w:rPr>
                <w:rFonts w:ascii="Arial" w:cs="Arial" w:eastAsia="Arial" w:hAnsi="Arial"/>
                <w:sz w:val="17"/>
                <w:szCs w:val="17"/>
                <w:color w:val="auto"/>
              </w:rPr>
              <w:t>+ 139 bps; 6.16%</w:t>
            </w: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South Plains Financial Capital Trust V</w:t>
            </w:r>
          </w:p>
        </w:tc>
        <w:tc>
          <w:tcPr>
            <w:tcW w:w="1240" w:type="dxa"/>
            <w:vAlign w:val="bottom"/>
            <w:gridSpan w:val="3"/>
            <w:shd w:val="clear" w:color="auto" w:fill="CCEEFF"/>
          </w:tcPr>
          <w:p>
            <w:pPr>
              <w:jc w:val="right"/>
              <w:ind w:right="100"/>
              <w:spacing w:after="0" w:line="193" w:lineRule="exact"/>
              <w:rPr>
                <w:sz w:val="20"/>
                <w:szCs w:val="20"/>
                <w:color w:val="auto"/>
              </w:rPr>
            </w:pPr>
            <w:r>
              <w:rPr>
                <w:rFonts w:ascii="Arial" w:cs="Arial" w:eastAsia="Arial" w:hAnsi="Arial"/>
                <w:sz w:val="17"/>
                <w:szCs w:val="17"/>
                <w:color w:val="auto"/>
              </w:rPr>
              <w:t>2007</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3-mo. LIBOR</w:t>
            </w:r>
          </w:p>
        </w:tc>
      </w:tr>
      <w:tr>
        <w:trPr>
          <w:trHeight w:val="222"/>
        </w:trPr>
        <w:tc>
          <w:tcPr>
            <w:tcW w:w="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15,000</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15,464</w:t>
            </w: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2037</w:t>
            </w: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+ 150 bps; 6.27%</w:t>
            </w: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Total</w:t>
            </w:r>
          </w:p>
        </w:tc>
        <w:tc>
          <w:tcPr>
            <w:tcW w:w="14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46,393</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91" w:lineRule="exact"/>
        <w:rPr>
          <w:sz w:val="20"/>
          <w:szCs w:val="20"/>
          <w:color w:val="auto"/>
        </w:rPr>
      </w:pPr>
    </w:p>
    <w:p>
      <w:pPr>
        <w:ind w:left="300" w:hanging="298"/>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May be redeemed at the Company’s option.</w:t>
      </w:r>
    </w:p>
    <w:p>
      <w:pPr>
        <w:spacing w:after="0" w:line="19" w:lineRule="exact"/>
        <w:rPr>
          <w:rFonts w:ascii="Arial" w:cs="Arial" w:eastAsia="Arial" w:hAnsi="Arial"/>
          <w:sz w:val="17"/>
          <w:szCs w:val="17"/>
          <w:color w:val="auto"/>
        </w:rPr>
      </w:pPr>
    </w:p>
    <w:p>
      <w:pPr>
        <w:ind w:left="300" w:hanging="298"/>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Interest payable quarterly with principal due at maturity.</w:t>
      </w:r>
    </w:p>
    <w:p>
      <w:pPr>
        <w:spacing w:after="0" w:line="8" w:lineRule="exact"/>
        <w:rPr>
          <w:rFonts w:ascii="Arial" w:cs="Arial" w:eastAsia="Arial" w:hAnsi="Arial"/>
          <w:sz w:val="17"/>
          <w:szCs w:val="17"/>
          <w:color w:val="auto"/>
        </w:rPr>
      </w:pPr>
    </w:p>
    <w:p>
      <w:pPr>
        <w:ind w:left="300" w:hanging="298"/>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Rate as of last reset date, prior to December 31,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stockholders.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if the projected future net interest income levels would be acceptable. The Company attempts to stay within acceptable net interest income levels.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Requirements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Total stockholders’ equity decreased to $357.0 million as of December 31, 2022, compared to $407.4 million as of December 31, 2021. The decrease from December 31, 2021 was primarily the result of a decline in the accumulated other comprehensive income (“AOCI”) of $78.8 million, repurchases of common stock of $22.7 million, and by $8.0 million in dividends paid, partially offset by $58.2 million in net earnings for the year ended December 31, 2022. The decrease in AOCI was attributed to the decline in fair value of our available for sale securities, partially offset by an increase in fair value of our fair value hedges, as a result of the rising interest rate environment.</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consolidated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December 31, 2022, both we and the Bank met all the capital adequacy requirements to which we and the Bank were subject. At December 31, 2022, we and the Bank were “well capitalized” under the regulatory framework for prompt corrective action. Management believes that no conditions or events have occurred since December 31, 2022 that would materially adversely change such capital classifications. From time to time, we may need to raise additional capital to support our and the Bank’s further growth and to maintain our “well capitalized” status.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table below also summarizes the capital requirements applicable to us and the Bank in order to be considered “well-capitalized” from a regulatory perspective, as well as our and the Bank’s capital ratios as of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Arial" w:cs="Arial" w:eastAsia="Arial" w:hAnsi="Arial"/>
                <w:sz w:val="17"/>
                <w:szCs w:val="17"/>
                <w:b w:val="1"/>
                <w:bCs w:val="1"/>
                <w:color w:val="auto"/>
              </w:rPr>
              <w:t>Minimum Capital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left="535"/>
              <w:spacing w:after="0"/>
              <w:rPr>
                <w:sz w:val="20"/>
                <w:szCs w:val="20"/>
                <w:color w:val="auto"/>
              </w:rPr>
            </w:pPr>
            <w:r>
              <w:rPr>
                <w:rFonts w:ascii="Arial" w:cs="Arial" w:eastAsia="Arial" w:hAnsi="Arial"/>
                <w:sz w:val="17"/>
                <w:szCs w:val="17"/>
                <w:b w:val="1"/>
                <w:bCs w:val="1"/>
                <w:color w:val="auto"/>
                <w:w w:val="96"/>
              </w:rPr>
              <w:t>Minimum</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Arial" w:cs="Arial" w:eastAsia="Arial" w:hAnsi="Arial"/>
                <w:sz w:val="17"/>
                <w:szCs w:val="17"/>
                <w:b w:val="1"/>
                <w:bCs w:val="1"/>
                <w:color w:val="auto"/>
              </w:rPr>
              <w:t>Requirement with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7"/>
              </w:rPr>
              <w:t>To be Considered</w:t>
            </w:r>
          </w:p>
        </w:tc>
      </w:tr>
      <w:tr>
        <w:trPr>
          <w:trHeight w:val="226"/>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ind w:left="800"/>
              <w:spacing w:after="0"/>
              <w:rPr>
                <w:sz w:val="20"/>
                <w:szCs w:val="20"/>
                <w:color w:val="auto"/>
              </w:rPr>
            </w:pPr>
            <w:r>
              <w:rPr>
                <w:rFonts w:ascii="Arial" w:cs="Arial" w:eastAsia="Arial" w:hAnsi="Arial"/>
                <w:sz w:val="17"/>
                <w:szCs w:val="17"/>
                <w:b w:val="1"/>
                <w:bCs w:val="1"/>
                <w:color w:val="auto"/>
              </w:rPr>
              <w:t>Actual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5"/>
              </w:rPr>
              <w:t>Capital Buffer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Well Capitalized</w:t>
            </w:r>
          </w:p>
        </w:tc>
      </w:tr>
      <w:tr>
        <w:trPr>
          <w:trHeight w:val="209"/>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Amount</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8"/>
              </w:rPr>
              <w:t>Ratio</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w w:val="90"/>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 December 31, 2022</w:t>
            </w: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3160" w:type="dxa"/>
            <w:vAlign w:val="bottom"/>
            <w:gridSpan w:val="2"/>
          </w:tcPr>
          <w:p>
            <w:pPr>
              <w:spacing w:after="0"/>
              <w:rPr>
                <w:sz w:val="20"/>
                <w:szCs w:val="20"/>
                <w:color w:val="auto"/>
              </w:rPr>
            </w:pPr>
            <w:r>
              <w:rPr>
                <w:rFonts w:ascii="Arial" w:cs="Arial" w:eastAsia="Arial" w:hAnsi="Arial"/>
                <w:sz w:val="17"/>
                <w:szCs w:val="17"/>
                <w:color w:val="auto"/>
              </w:rPr>
              <w:t>Total capital (to risk-weighted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559,094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7"/>
              <w:spacing w:after="0"/>
              <w:rPr>
                <w:sz w:val="20"/>
                <w:szCs w:val="20"/>
                <w:color w:val="auto"/>
              </w:rPr>
            </w:pPr>
            <w:r>
              <w:rPr>
                <w:rFonts w:ascii="Arial" w:cs="Arial" w:eastAsia="Arial" w:hAnsi="Arial"/>
                <w:sz w:val="17"/>
                <w:szCs w:val="17"/>
                <w:color w:val="auto"/>
                <w:w w:val="90"/>
              </w:rPr>
              <w:t>16.58%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354,045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454,427</w:t>
            </w:r>
          </w:p>
        </w:tc>
        <w:tc>
          <w:tcPr>
            <w:tcW w:w="240" w:type="dxa"/>
            <w:vAlign w:val="bottom"/>
          </w:tcPr>
          <w:p>
            <w:pPr>
              <w:spacing w:after="0"/>
              <w:rPr>
                <w:sz w:val="17"/>
                <w:szCs w:val="17"/>
                <w:color w:val="auto"/>
              </w:rPr>
            </w:pPr>
          </w:p>
        </w:tc>
        <w:tc>
          <w:tcPr>
            <w:tcW w:w="1060" w:type="dxa"/>
            <w:vAlign w:val="bottom"/>
            <w:gridSpan w:val="2"/>
          </w:tcPr>
          <w:p>
            <w:pPr>
              <w:jc w:val="center"/>
              <w:ind w:left="337"/>
              <w:spacing w:after="0"/>
              <w:rPr>
                <w:sz w:val="20"/>
                <w:szCs w:val="20"/>
                <w:color w:val="auto"/>
              </w:rPr>
            </w:pPr>
            <w:r>
              <w:rPr>
                <w:rFonts w:ascii="Arial" w:cs="Arial" w:eastAsia="Arial" w:hAnsi="Arial"/>
                <w:sz w:val="17"/>
                <w:szCs w:val="17"/>
                <w:color w:val="auto"/>
                <w:w w:val="90"/>
              </w:rPr>
              <w:t>13.48%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353,967</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10.50%</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337,112</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Tier 1 capital (to risk-weighted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443,265</w:t>
            </w:r>
          </w:p>
        </w:tc>
        <w:tc>
          <w:tcPr>
            <w:tcW w:w="240" w:type="dxa"/>
            <w:vAlign w:val="bottom"/>
          </w:tcPr>
          <w:p>
            <w:pPr>
              <w:spacing w:after="0"/>
              <w:rPr>
                <w:sz w:val="17"/>
                <w:szCs w:val="17"/>
                <w:color w:val="auto"/>
              </w:rPr>
            </w:pPr>
          </w:p>
        </w:tc>
        <w:tc>
          <w:tcPr>
            <w:tcW w:w="1060" w:type="dxa"/>
            <w:vAlign w:val="bottom"/>
            <w:gridSpan w:val="2"/>
          </w:tcPr>
          <w:p>
            <w:pPr>
              <w:jc w:val="center"/>
              <w:ind w:left="337"/>
              <w:spacing w:after="0"/>
              <w:rPr>
                <w:sz w:val="20"/>
                <w:szCs w:val="20"/>
                <w:color w:val="auto"/>
              </w:rPr>
            </w:pPr>
            <w:r>
              <w:rPr>
                <w:rFonts w:ascii="Arial" w:cs="Arial" w:eastAsia="Arial" w:hAnsi="Arial"/>
                <w:sz w:val="17"/>
                <w:szCs w:val="17"/>
                <w:color w:val="auto"/>
                <w:w w:val="90"/>
              </w:rPr>
              <w:t>13.15%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286,608</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414,559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7"/>
              <w:spacing w:after="0"/>
              <w:rPr>
                <w:sz w:val="20"/>
                <w:szCs w:val="20"/>
                <w:color w:val="auto"/>
              </w:rPr>
            </w:pPr>
            <w:r>
              <w:rPr>
                <w:rFonts w:ascii="Arial" w:cs="Arial" w:eastAsia="Arial" w:hAnsi="Arial"/>
                <w:sz w:val="17"/>
                <w:szCs w:val="17"/>
                <w:color w:val="auto"/>
                <w:w w:val="90"/>
              </w:rPr>
              <w:t>12.30%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286,545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269,689</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w:t>
            </w: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CET 1 capital (to risk-weighted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398,265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7"/>
              <w:spacing w:after="0"/>
              <w:rPr>
                <w:sz w:val="20"/>
                <w:szCs w:val="20"/>
                <w:color w:val="auto"/>
              </w:rPr>
            </w:pPr>
            <w:r>
              <w:rPr>
                <w:rFonts w:ascii="Arial" w:cs="Arial" w:eastAsia="Arial" w:hAnsi="Arial"/>
                <w:sz w:val="17"/>
                <w:szCs w:val="17"/>
                <w:color w:val="auto"/>
                <w:w w:val="90"/>
              </w:rPr>
              <w:t>11.81%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236,030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414,559</w:t>
            </w:r>
          </w:p>
        </w:tc>
        <w:tc>
          <w:tcPr>
            <w:tcW w:w="240" w:type="dxa"/>
            <w:vAlign w:val="bottom"/>
          </w:tcPr>
          <w:p>
            <w:pPr>
              <w:spacing w:after="0"/>
              <w:rPr>
                <w:sz w:val="17"/>
                <w:szCs w:val="17"/>
                <w:color w:val="auto"/>
              </w:rPr>
            </w:pPr>
          </w:p>
        </w:tc>
        <w:tc>
          <w:tcPr>
            <w:tcW w:w="1060" w:type="dxa"/>
            <w:vAlign w:val="bottom"/>
            <w:gridSpan w:val="2"/>
          </w:tcPr>
          <w:p>
            <w:pPr>
              <w:jc w:val="center"/>
              <w:ind w:left="337"/>
              <w:spacing w:after="0"/>
              <w:rPr>
                <w:sz w:val="20"/>
                <w:szCs w:val="20"/>
                <w:color w:val="auto"/>
              </w:rPr>
            </w:pPr>
            <w:r>
              <w:rPr>
                <w:rFonts w:ascii="Arial" w:cs="Arial" w:eastAsia="Arial" w:hAnsi="Arial"/>
                <w:sz w:val="17"/>
                <w:szCs w:val="17"/>
                <w:color w:val="auto"/>
                <w:w w:val="90"/>
              </w:rPr>
              <w:t>12.30%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235,978</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219,122</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6.50%</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Tier 1 capital (to average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443,265</w:t>
            </w:r>
          </w:p>
        </w:tc>
        <w:tc>
          <w:tcPr>
            <w:tcW w:w="240" w:type="dxa"/>
            <w:vAlign w:val="bottom"/>
          </w:tcPr>
          <w:p>
            <w:pPr>
              <w:spacing w:after="0"/>
              <w:rPr>
                <w:sz w:val="17"/>
                <w:szCs w:val="17"/>
                <w:color w:val="auto"/>
              </w:rPr>
            </w:pPr>
          </w:p>
        </w:tc>
        <w:tc>
          <w:tcPr>
            <w:tcW w:w="1060" w:type="dxa"/>
            <w:vAlign w:val="bottom"/>
            <w:gridSpan w:val="2"/>
          </w:tcPr>
          <w:p>
            <w:pPr>
              <w:jc w:val="center"/>
              <w:ind w:left="337"/>
              <w:spacing w:after="0"/>
              <w:rPr>
                <w:sz w:val="20"/>
                <w:szCs w:val="20"/>
                <w:color w:val="auto"/>
              </w:rPr>
            </w:pPr>
            <w:r>
              <w:rPr>
                <w:rFonts w:ascii="Arial" w:cs="Arial" w:eastAsia="Arial" w:hAnsi="Arial"/>
                <w:sz w:val="17"/>
                <w:szCs w:val="17"/>
                <w:color w:val="auto"/>
                <w:w w:val="90"/>
              </w:rPr>
              <w:t>11.03%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161,662</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414,559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7"/>
              <w:spacing w:after="0"/>
              <w:rPr>
                <w:sz w:val="20"/>
                <w:szCs w:val="20"/>
                <w:color w:val="auto"/>
              </w:rPr>
            </w:pPr>
            <w:r>
              <w:rPr>
                <w:rFonts w:ascii="Arial" w:cs="Arial" w:eastAsia="Arial" w:hAnsi="Arial"/>
                <w:sz w:val="17"/>
                <w:szCs w:val="17"/>
                <w:color w:val="auto"/>
                <w:w w:val="90"/>
              </w:rPr>
              <w:t>10.32%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161,574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200,774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53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center"/>
              <w:ind w:left="557"/>
              <w:spacing w:after="0"/>
              <w:rPr>
                <w:sz w:val="20"/>
                <w:szCs w:val="20"/>
                <w:color w:val="auto"/>
              </w:rPr>
            </w:pPr>
            <w:r>
              <w:rPr>
                <w:rFonts w:ascii="Arial" w:cs="Arial" w:eastAsia="Arial" w:hAnsi="Arial"/>
                <w:sz w:val="14"/>
                <w:szCs w:val="14"/>
                <w:color w:val="auto"/>
                <w:w w:val="89"/>
              </w:rPr>
              <w:t>57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4"/>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46"/>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4"/>
          </w:tcPr>
          <w:p>
            <w:pPr>
              <w:ind w:left="380"/>
              <w:spacing w:after="0"/>
              <w:rPr>
                <w:sz w:val="20"/>
                <w:szCs w:val="20"/>
                <w:color w:val="auto"/>
              </w:rPr>
            </w:pPr>
            <w:r>
              <w:rPr>
                <w:rFonts w:ascii="Arial" w:cs="Arial" w:eastAsia="Arial" w:hAnsi="Arial"/>
                <w:sz w:val="17"/>
                <w:szCs w:val="17"/>
                <w:b w:val="1"/>
                <w:bCs w:val="1"/>
                <w:color w:val="auto"/>
              </w:rPr>
              <w:t>Minimum Capital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left="535"/>
              <w:spacing w:after="0"/>
              <w:rPr>
                <w:sz w:val="20"/>
                <w:szCs w:val="20"/>
                <w:color w:val="auto"/>
              </w:rPr>
            </w:pPr>
            <w:r>
              <w:rPr>
                <w:rFonts w:ascii="Arial" w:cs="Arial" w:eastAsia="Arial" w:hAnsi="Arial"/>
                <w:sz w:val="17"/>
                <w:szCs w:val="17"/>
                <w:b w:val="1"/>
                <w:bCs w:val="1"/>
                <w:color w:val="auto"/>
                <w:w w:val="96"/>
              </w:rPr>
              <w:t>Minimum</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Arial" w:cs="Arial" w:eastAsia="Arial" w:hAnsi="Arial"/>
                <w:sz w:val="17"/>
                <w:szCs w:val="17"/>
                <w:b w:val="1"/>
                <w:bCs w:val="1"/>
                <w:color w:val="auto"/>
              </w:rPr>
              <w:t>Requirement with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7"/>
              </w:rPr>
              <w:t>To be Considered</w:t>
            </w:r>
          </w:p>
        </w:tc>
      </w:tr>
      <w:tr>
        <w:trPr>
          <w:trHeight w:val="226"/>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ind w:left="800"/>
              <w:spacing w:after="0"/>
              <w:rPr>
                <w:sz w:val="20"/>
                <w:szCs w:val="20"/>
                <w:color w:val="auto"/>
              </w:rPr>
            </w:pPr>
            <w:r>
              <w:rPr>
                <w:rFonts w:ascii="Arial" w:cs="Arial" w:eastAsia="Arial" w:hAnsi="Arial"/>
                <w:sz w:val="17"/>
                <w:szCs w:val="17"/>
                <w:b w:val="1"/>
                <w:bCs w:val="1"/>
                <w:color w:val="auto"/>
              </w:rPr>
              <w:t>Actual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5"/>
              </w:rPr>
              <w:t>Capital Buffer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Well Capitalized</w:t>
            </w: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Amount</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8"/>
              </w:rPr>
              <w:t>Ratio</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center"/>
              <w:ind w:right="420"/>
              <w:spacing w:after="0"/>
              <w:rPr>
                <w:sz w:val="20"/>
                <w:szCs w:val="20"/>
                <w:color w:val="auto"/>
              </w:rPr>
            </w:pPr>
            <w:r>
              <w:rPr>
                <w:rFonts w:ascii="Arial" w:cs="Arial" w:eastAsia="Arial" w:hAnsi="Arial"/>
                <w:sz w:val="17"/>
                <w:szCs w:val="17"/>
                <w:b w:val="1"/>
                <w:bCs w:val="1"/>
                <w:color w:val="auto"/>
                <w:w w:val="90"/>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 of December 31, 2021</w:t>
            </w: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3160" w:type="dxa"/>
            <w:vAlign w:val="bottom"/>
            <w:gridSpan w:val="3"/>
          </w:tcPr>
          <w:p>
            <w:pPr>
              <w:spacing w:after="0"/>
              <w:rPr>
                <w:sz w:val="20"/>
                <w:szCs w:val="20"/>
                <w:color w:val="auto"/>
              </w:rPr>
            </w:pPr>
            <w:r>
              <w:rPr>
                <w:rFonts w:ascii="Arial" w:cs="Arial" w:eastAsia="Arial" w:hAnsi="Arial"/>
                <w:sz w:val="17"/>
                <w:szCs w:val="17"/>
                <w:color w:val="auto"/>
              </w:rPr>
              <w:t>Total capital (to risk-weighted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524,836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18.40%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299,521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425,748</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14.93%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299,465</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10.50%</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285,205</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Tier 1 capital (to risk-weighted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413,322</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14.49%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242,469</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390,015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242,424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228,164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w:t>
            </w:r>
          </w:p>
        </w:tc>
      </w:tr>
      <w:tr>
        <w:trPr>
          <w:trHeight w:val="204"/>
        </w:trPr>
        <w:tc>
          <w:tcPr>
            <w:tcW w:w="20" w:type="dxa"/>
            <w:vAlign w:val="bottom"/>
          </w:tcPr>
          <w:p>
            <w:pPr>
              <w:spacing w:after="0"/>
              <w:rPr>
                <w:sz w:val="17"/>
                <w:szCs w:val="17"/>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CET 1 capital (to risk-weighted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368,322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199,681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390,015</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13.67%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199,644</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185,383</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6.50%</w:t>
            </w: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Tier 1 capital (to average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413,322</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10.77%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154,592</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7"/>
                <w:szCs w:val="17"/>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390,015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10.16%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154,503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191,859</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repurchased stock in accordance with its stock repurchase programs during 2022 and 2021. In 2022, we repurchased 859,802 shares of common stock for a total of $22.7 million. In 2021, we repurchased 393,529 shares of common stock for a total of $9.2 million. See Part II, Item 5, “Market for Registrant’s Common Equity, Related Stockholder Matters, and Issuer Purchases of Equity Securities”, of this Report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Sensitivity and Market Risk</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7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exposure to interest rate risk is managed by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ectPr>
          <w:pgSz w:w="11900" w:h="16838" w:orient="portrait"/>
          <w:cols w:equalWidth="0" w:num="1">
            <w:col w:w="11240"/>
          </w:cols>
          <w:pgMar w:left="320" w:top="106"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5"/>
              </w:rPr>
              <w:t>Table of Contents</w:t>
            </w:r>
          </w:p>
        </w:tc>
        <w:tc>
          <w:tcPr>
            <w:tcW w:w="7100" w:type="dxa"/>
            <w:vAlign w:val="bottom"/>
            <w:gridSpan w:val="2"/>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9640" w:type="dxa"/>
            <w:vAlign w:val="bottom"/>
            <w:gridSpan w:val="5"/>
          </w:tcPr>
          <w:p>
            <w:pPr>
              <w:spacing w:after="0"/>
              <w:rPr>
                <w:sz w:val="20"/>
                <w:szCs w:val="20"/>
                <w:color w:val="auto"/>
              </w:rPr>
            </w:pPr>
            <w:r>
              <w:rPr>
                <w:rFonts w:ascii="Arial" w:cs="Arial" w:eastAsia="Arial" w:hAnsi="Arial"/>
                <w:sz w:val="17"/>
                <w:szCs w:val="17"/>
                <w:color w:val="auto"/>
              </w:rPr>
              <w:t>The following tables summarize the simulated change in net interest income over a 12-month horizon as of the dates indicated:</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ind w:left="840"/>
              <w:spacing w:after="0"/>
              <w:rPr>
                <w:sz w:val="20"/>
                <w:szCs w:val="20"/>
                <w:color w:val="auto"/>
              </w:rPr>
            </w:pPr>
            <w:r>
              <w:rPr>
                <w:rFonts w:ascii="Arial" w:cs="Arial" w:eastAsia="Arial" w:hAnsi="Arial"/>
                <w:sz w:val="17"/>
                <w:szCs w:val="17"/>
                <w:b w:val="1"/>
                <w:bCs w:val="1"/>
                <w:color w:val="auto"/>
              </w:rPr>
              <w:t>As of December 31,</w:t>
            </w:r>
          </w:p>
        </w:tc>
      </w:tr>
      <w:tr>
        <w:trPr>
          <w:trHeight w:val="209"/>
        </w:trPr>
        <w:tc>
          <w:tcPr>
            <w:tcW w:w="9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r>
      <w:tr>
        <w:trPr>
          <w:trHeight w:val="187"/>
        </w:trPr>
        <w:tc>
          <w:tcPr>
            <w:tcW w:w="96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9"/>
              </w:rPr>
              <w:t>Percent Change 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7"/>
                <w:szCs w:val="17"/>
                <w:b w:val="1"/>
                <w:bCs w:val="1"/>
                <w:color w:val="auto"/>
                <w:w w:val="89"/>
              </w:rPr>
              <w:t>Percent Change in</w:t>
            </w:r>
          </w:p>
        </w:tc>
        <w:tc>
          <w:tcPr>
            <w:tcW w:w="100" w:type="dxa"/>
            <w:vAlign w:val="bottom"/>
          </w:tcPr>
          <w:p>
            <w:pPr>
              <w:spacing w:after="0"/>
              <w:rPr>
                <w:sz w:val="16"/>
                <w:szCs w:val="16"/>
                <w:color w:val="auto"/>
              </w:rPr>
            </w:pPr>
          </w:p>
        </w:tc>
      </w:tr>
      <w:tr>
        <w:trPr>
          <w:trHeight w:val="226"/>
        </w:trPr>
        <w:tc>
          <w:tcPr>
            <w:tcW w:w="8060" w:type="dxa"/>
            <w:vAlign w:val="bottom"/>
            <w:gridSpan w:val="3"/>
          </w:tcPr>
          <w:p>
            <w:pPr>
              <w:spacing w:after="0"/>
              <w:rPr>
                <w:sz w:val="20"/>
                <w:szCs w:val="20"/>
                <w:color w:val="auto"/>
              </w:rPr>
            </w:pPr>
            <w:r>
              <w:rPr>
                <w:rFonts w:ascii="Arial" w:cs="Arial" w:eastAsia="Arial" w:hAnsi="Arial"/>
                <w:sz w:val="17"/>
                <w:szCs w:val="17"/>
                <w:b w:val="1"/>
                <w:bCs w:val="1"/>
                <w:color w:val="auto"/>
              </w:rPr>
              <w:t>Change in Interest Rates (Basis Points)</w:t>
            </w:r>
          </w:p>
        </w:tc>
        <w:tc>
          <w:tcPr>
            <w:tcW w:w="15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Net Interest Income</w:t>
            </w:r>
          </w:p>
        </w:tc>
        <w:tc>
          <w:tcPr>
            <w:tcW w:w="160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91"/>
              </w:rPr>
              <w:t>Net Interest Income</w:t>
            </w:r>
          </w:p>
        </w:tc>
      </w:tr>
      <w:tr>
        <w:trPr>
          <w:trHeight w:val="204"/>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+300</w:t>
            </w:r>
          </w:p>
        </w:tc>
        <w:tc>
          <w:tcPr>
            <w:tcW w:w="6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w w:val="76"/>
              </w:rPr>
              <w:t>(1.50)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shd w:val="clear" w:color="auto" w:fill="CCEEFF"/>
          </w:tcPr>
          <w:p>
            <w:pPr>
              <w:spacing w:after="0"/>
              <w:rPr>
                <w:sz w:val="17"/>
                <w:szCs w:val="17"/>
                <w:color w:val="auto"/>
              </w:rPr>
            </w:pP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+200</w:t>
            </w:r>
          </w:p>
        </w:tc>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80"/>
              <w:spacing w:after="0"/>
              <w:rPr>
                <w:sz w:val="20"/>
                <w:szCs w:val="20"/>
                <w:color w:val="auto"/>
              </w:rPr>
            </w:pPr>
            <w:r>
              <w:rPr>
                <w:rFonts w:ascii="Arial" w:cs="Arial" w:eastAsia="Arial" w:hAnsi="Arial"/>
                <w:sz w:val="17"/>
                <w:szCs w:val="17"/>
                <w:color w:val="auto"/>
              </w:rPr>
              <w:t>(0.96)</w:t>
            </w:r>
          </w:p>
        </w:tc>
        <w:tc>
          <w:tcPr>
            <w:tcW w:w="1600" w:type="dxa"/>
            <w:vAlign w:val="bottom"/>
            <w:gridSpan w:val="3"/>
          </w:tcPr>
          <w:p>
            <w:pPr>
              <w:jc w:val="right"/>
              <w:ind w:right="100"/>
              <w:spacing w:after="0"/>
              <w:rPr>
                <w:sz w:val="20"/>
                <w:szCs w:val="20"/>
                <w:color w:val="auto"/>
              </w:rPr>
            </w:pPr>
            <w:r>
              <w:rPr>
                <w:rFonts w:ascii="Arial" w:cs="Arial" w:eastAsia="Arial" w:hAnsi="Arial"/>
                <w:sz w:val="17"/>
                <w:szCs w:val="17"/>
                <w:color w:val="auto"/>
              </w:rPr>
              <w:t>4.53</w:t>
            </w:r>
          </w:p>
        </w:tc>
      </w:tr>
      <w:tr>
        <w:trPr>
          <w:trHeight w:val="204"/>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+100</w:t>
            </w:r>
          </w:p>
        </w:tc>
        <w:tc>
          <w:tcPr>
            <w:tcW w:w="6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(0.61)</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2.02</w:t>
            </w:r>
          </w:p>
        </w:tc>
      </w:tr>
      <w:tr>
        <w:trPr>
          <w:trHeight w:val="204"/>
        </w:trPr>
        <w:tc>
          <w:tcPr>
            <w:tcW w:w="960" w:type="dxa"/>
            <w:vAlign w:val="bottom"/>
          </w:tcPr>
          <w:p>
            <w:pPr>
              <w:spacing w:after="0"/>
              <w:rPr>
                <w:sz w:val="20"/>
                <w:szCs w:val="20"/>
                <w:color w:val="auto"/>
              </w:rPr>
            </w:pPr>
            <w:r>
              <w:rPr>
                <w:rFonts w:ascii="Arial" w:cs="Arial" w:eastAsia="Arial" w:hAnsi="Arial"/>
                <w:sz w:val="17"/>
                <w:szCs w:val="17"/>
                <w:color w:val="auto"/>
              </w:rPr>
              <w:t>-100</w:t>
            </w:r>
          </w:p>
        </w:tc>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ind w:left="1080"/>
              <w:spacing w:after="0"/>
              <w:rPr>
                <w:sz w:val="20"/>
                <w:szCs w:val="20"/>
                <w:color w:val="auto"/>
              </w:rPr>
            </w:pPr>
            <w:r>
              <w:rPr>
                <w:rFonts w:ascii="Arial" w:cs="Arial" w:eastAsia="Arial" w:hAnsi="Arial"/>
                <w:sz w:val="17"/>
                <w:szCs w:val="17"/>
                <w:color w:val="auto"/>
              </w:rPr>
              <w:t>(1.50)</w:t>
            </w:r>
          </w:p>
        </w:tc>
        <w:tc>
          <w:tcPr>
            <w:tcW w:w="1600" w:type="dxa"/>
            <w:vAlign w:val="bottom"/>
            <w:gridSpan w:val="3"/>
          </w:tcPr>
          <w:p>
            <w:pPr>
              <w:jc w:val="right"/>
              <w:ind w:right="40"/>
              <w:spacing w:after="0"/>
              <w:rPr>
                <w:sz w:val="20"/>
                <w:szCs w:val="20"/>
                <w:color w:val="auto"/>
              </w:rPr>
            </w:pPr>
            <w:r>
              <w:rPr>
                <w:rFonts w:ascii="Arial" w:cs="Arial" w:eastAsia="Arial" w:hAnsi="Arial"/>
                <w:sz w:val="17"/>
                <w:szCs w:val="17"/>
                <w:color w:val="auto"/>
              </w:rPr>
              <w:t>(1.05)</w:t>
            </w:r>
          </w:p>
        </w:tc>
      </w:tr>
      <w:tr>
        <w:trPr>
          <w:trHeight w:val="204"/>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-200</w:t>
            </w:r>
          </w:p>
        </w:tc>
        <w:tc>
          <w:tcPr>
            <w:tcW w:w="6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(2.81)</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(1.92)</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7, “Management’s Discussion and Analysis of Financial Condition and Results of Operations” of this Report under the heading “Interest Rate Sensitivity and Market Risk.”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Tangible Book Value Per Common Share</w:t>
      </w:r>
      <w:r>
        <w:rPr>
          <w:rFonts w:ascii="Arial" w:cs="Arial" w:eastAsia="Arial" w:hAnsi="Arial"/>
          <w:sz w:val="17"/>
          <w:szCs w:val="17"/>
          <w:color w:val="auto"/>
        </w:rPr>
        <w:t>. Tangible book value per share is a non-GAAP measure generally used by investors, financial analysts and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Tangible Common Equity to Tangible Assets</w:t>
      </w:r>
      <w:r>
        <w:rPr>
          <w:rFonts w:ascii="Arial" w:cs="Arial" w:eastAsia="Arial" w:hAnsi="Arial"/>
          <w:sz w:val="15"/>
          <w:szCs w:val="15"/>
          <w:color w:val="auto"/>
        </w:rPr>
        <w:t>. Tangible common equity to tangible assets is a non-GAAP measure generally used by investors, financial analysts and</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8"/>
              </w:rPr>
              <w:t>As of December 31,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89"/>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5"/>
          </w:tcPr>
          <w:p>
            <w:pPr>
              <w:jc w:val="center"/>
              <w:spacing w:after="0"/>
              <w:rPr>
                <w:sz w:val="20"/>
                <w:szCs w:val="20"/>
                <w:color w:val="auto"/>
              </w:rPr>
            </w:pPr>
            <w:r>
              <w:rPr>
                <w:rFonts w:ascii="Arial" w:cs="Arial" w:eastAsia="Arial" w:hAnsi="Arial"/>
                <w:sz w:val="17"/>
                <w:szCs w:val="17"/>
                <w:b w:val="1"/>
                <w:bCs w:val="1"/>
                <w:color w:val="auto"/>
                <w:w w:val="89"/>
              </w:rPr>
              <w:t>(Dollars in thousands)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357,014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407,427</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370,048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Less: Goodwill and other intangibles</w:t>
            </w:r>
          </w:p>
        </w:tc>
        <w:tc>
          <w:tcPr>
            <w:tcW w:w="220" w:type="dxa"/>
            <w:vAlign w:val="bottom"/>
          </w:tcPr>
          <w:p>
            <w:pPr>
              <w:spacing w:after="0"/>
              <w:rPr>
                <w:sz w:val="18"/>
                <w:szCs w:val="18"/>
                <w:color w:val="auto"/>
              </w:rPr>
            </w:pPr>
          </w:p>
        </w:tc>
        <w:tc>
          <w:tcPr>
            <w:tcW w:w="1080" w:type="dxa"/>
            <w:vAlign w:val="bottom"/>
            <w:gridSpan w:val="3"/>
          </w:tcPr>
          <w:p>
            <w:pPr>
              <w:jc w:val="right"/>
              <w:ind w:right="55"/>
              <w:spacing w:after="0"/>
              <w:rPr>
                <w:sz w:val="20"/>
                <w:szCs w:val="20"/>
                <w:color w:val="auto"/>
              </w:rPr>
            </w:pPr>
            <w:r>
              <w:rPr>
                <w:rFonts w:ascii="Arial" w:cs="Arial" w:eastAsia="Arial" w:hAnsi="Arial"/>
                <w:sz w:val="17"/>
                <w:szCs w:val="17"/>
                <w:color w:val="auto"/>
              </w:rPr>
              <w:t>(23,857)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(25,403)</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(27,070)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Tangible common equity</w:t>
            </w: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$ 333,157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382,024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342,978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3,944,063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3,901,855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3,599,160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Less: Goodwill and other intangibles</w:t>
            </w:r>
          </w:p>
        </w:tc>
        <w:tc>
          <w:tcPr>
            <w:tcW w:w="220" w:type="dxa"/>
            <w:vAlign w:val="bottom"/>
          </w:tcPr>
          <w:p>
            <w:pPr>
              <w:spacing w:after="0"/>
              <w:rPr>
                <w:sz w:val="18"/>
                <w:szCs w:val="18"/>
                <w:color w:val="auto"/>
              </w:rPr>
            </w:pPr>
          </w:p>
        </w:tc>
        <w:tc>
          <w:tcPr>
            <w:tcW w:w="1080" w:type="dxa"/>
            <w:vAlign w:val="bottom"/>
            <w:gridSpan w:val="3"/>
          </w:tcPr>
          <w:p>
            <w:pPr>
              <w:jc w:val="right"/>
              <w:ind w:right="55"/>
              <w:spacing w:after="0"/>
              <w:rPr>
                <w:sz w:val="20"/>
                <w:szCs w:val="20"/>
                <w:color w:val="auto"/>
              </w:rPr>
            </w:pPr>
            <w:r>
              <w:rPr>
                <w:rFonts w:ascii="Arial" w:cs="Arial" w:eastAsia="Arial" w:hAnsi="Arial"/>
                <w:sz w:val="17"/>
                <w:szCs w:val="17"/>
                <w:color w:val="auto"/>
              </w:rPr>
              <w:t>(23,857)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(25,403)</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(27,070)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Tangible assets</w:t>
            </w: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3,920,206</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3,876,452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3,572,090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Shares outstanding</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17,027,197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17,760,243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18,076,364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stockholders’ equity to total assets</w:t>
            </w: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10.44%</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Tangible common equity to tangible assets</w:t>
            </w:r>
          </w:p>
        </w:tc>
        <w:tc>
          <w:tcPr>
            <w:tcW w:w="22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9.85%</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Book value per share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22.94</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Tangible book value per share</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21.51</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2022.</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Investment securities may be classified into trading, held-to-maturity, or available-for-sale portfolios. Securities that are held principally for resale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Loans that management has the intent and ability to hold for the foreseeable future or until maturity or payoff are reported at their outstanding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 provision for loan losses charged to</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Loans Held for Sale. </w:t>
      </w:r>
      <w:r>
        <w:rPr>
          <w:rFonts w:ascii="Arial" w:cs="Arial" w:eastAsia="Arial" w:hAnsi="Arial"/>
          <w:sz w:val="17"/>
          <w:szCs w:val="17"/>
          <w:color w:val="auto"/>
        </w:rPr>
        <w:t>Loans held for sale are comprised of residential mortgage loans. Loans that are originated for best efforts delivery are carried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cost or fair value as determined by aggregate outstanding commitments from investors or current investor yield requirements. All other loans held for sale are carried at fair value under the fair value option. Loans sold are typically subject to certain indemnification provisions with the investor; management does not believe these provisions will have any significant consequences.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Mortgage Servicing Rights Asset. </w:t>
      </w:r>
      <w:r>
        <w:rPr>
          <w:rFonts w:ascii="Arial" w:cs="Arial" w:eastAsia="Arial" w:hAnsi="Arial"/>
          <w:sz w:val="17"/>
          <w:szCs w:val="17"/>
          <w:color w:val="auto"/>
        </w:rPr>
        <w:t>When mortgage loans are sold with servicing retained, servicing rights are initially recorded at fair value with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7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Goodwill resulting from business combinations is generally determined as the excess of the fair value of the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See Note 1, Summary of Significant Accounting Policies, in the notes to the consolidated financial statements included elsewhere in this Report regarding the impact of new accounting pronouncements which we have adopted.</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6"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7"/>
          <w:szCs w:val="17"/>
          <w:color w:val="auto"/>
        </w:rPr>
        <w:t>See “Item 7. Management’s Discussion and Analysis of Financial Condition and Results of Operations – Interest Rate Sensitivity and Market Risk” of this Report for discussion on how the Company manages market risk.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i w:val="1"/>
                <w:iCs w:val="1"/>
                <w:color w:val="0000EE"/>
                <w:w w:val="85"/>
              </w:rPr>
              <w:t>Table of Contents</w:t>
            </w:r>
          </w:p>
        </w:tc>
        <w:tc>
          <w:tcPr>
            <w:tcW w:w="962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0580" w:type="dxa"/>
            <w:vAlign w:val="bottom"/>
            <w:gridSpan w:val="10"/>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675"/>
              <w:spacing w:after="0"/>
              <w:rPr>
                <w:sz w:val="20"/>
                <w:szCs w:val="20"/>
                <w:color w:val="auto"/>
              </w:rPr>
            </w:pPr>
            <w:r>
              <w:rPr>
                <w:rFonts w:ascii="Arial" w:cs="Arial" w:eastAsia="Arial" w:hAnsi="Arial"/>
                <w:sz w:val="17"/>
                <w:szCs w:val="17"/>
                <w:b w:val="1"/>
                <w:bCs w:val="1"/>
                <w:i w:val="1"/>
                <w:iCs w:val="1"/>
                <w:color w:val="auto"/>
                <w:w w:val="97"/>
              </w:rPr>
              <w:t>SOUTH PLAINS FINANCIAL, INC. AND SUBSIDIARIES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60" w:type="dxa"/>
            <w:vAlign w:val="bottom"/>
            <w:gridSpan w:val="4"/>
          </w:tcPr>
          <w:p>
            <w:pPr>
              <w:jc w:val="center"/>
              <w:ind w:right="2655"/>
              <w:spacing w:after="0"/>
              <w:rPr>
                <w:sz w:val="20"/>
                <w:szCs w:val="20"/>
                <w:color w:val="auto"/>
              </w:rPr>
            </w:pPr>
            <w:r>
              <w:rPr>
                <w:rFonts w:ascii="Arial" w:cs="Arial" w:eastAsia="Arial" w:hAnsi="Arial"/>
                <w:sz w:val="17"/>
                <w:szCs w:val="17"/>
                <w:b w:val="1"/>
                <w:bCs w:val="1"/>
                <w:i w:val="1"/>
                <w:iCs w:val="1"/>
                <w:color w:val="auto"/>
                <w:w w:val="97"/>
              </w:rPr>
              <w:t>CONSOLIDATED FINANCIAL STATEMENTS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0" w:type="dxa"/>
            <w:vAlign w:val="bottom"/>
            <w:gridSpan w:val="3"/>
          </w:tcPr>
          <w:p>
            <w:pPr>
              <w:jc w:val="center"/>
              <w:ind w:right="3215"/>
              <w:spacing w:after="0"/>
              <w:rPr>
                <w:sz w:val="20"/>
                <w:szCs w:val="20"/>
                <w:color w:val="auto"/>
              </w:rPr>
            </w:pPr>
            <w:r>
              <w:rPr>
                <w:rFonts w:ascii="Arial" w:cs="Arial" w:eastAsia="Arial" w:hAnsi="Arial"/>
                <w:sz w:val="17"/>
                <w:szCs w:val="17"/>
                <w:b w:val="1"/>
                <w:bCs w:val="1"/>
                <w:i w:val="1"/>
                <w:iCs w:val="1"/>
                <w:color w:val="auto"/>
                <w:w w:val="86"/>
              </w:rPr>
              <w:t>Years Ended December 31, 2022 and 2021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tcPr>
          <w:p>
            <w:pPr>
              <w:jc w:val="center"/>
              <w:ind w:right="3855"/>
              <w:spacing w:after="0"/>
              <w:rPr>
                <w:sz w:val="20"/>
                <w:szCs w:val="20"/>
                <w:color w:val="auto"/>
              </w:rPr>
            </w:pPr>
            <w:r>
              <w:rPr>
                <w:rFonts w:ascii="Arial" w:cs="Arial" w:eastAsia="Arial" w:hAnsi="Arial"/>
                <w:sz w:val="17"/>
                <w:szCs w:val="17"/>
                <w:b w:val="1"/>
                <w:bCs w:val="1"/>
                <w:i w:val="1"/>
                <w:iCs w:val="1"/>
                <w:color w:val="auto"/>
                <w:w w:val="96"/>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560" w:type="dxa"/>
            <w:vAlign w:val="bottom"/>
            <w:gridSpan w:val="9"/>
            <w:shd w:val="clear" w:color="auto" w:fill="CCEEFF"/>
          </w:tcPr>
          <w:p>
            <w:pPr>
              <w:spacing w:after="0" w:line="166" w:lineRule="exact"/>
              <w:rPr>
                <w:sz w:val="20"/>
                <w:szCs w:val="20"/>
                <w:color w:val="auto"/>
              </w:rPr>
            </w:pPr>
            <w:r>
              <w:rPr>
                <w:rFonts w:ascii="Arial" w:cs="Arial" w:eastAsia="Arial" w:hAnsi="Arial"/>
                <w:sz w:val="17"/>
                <w:szCs w:val="17"/>
                <w:color w:val="0000EE"/>
              </w:rPr>
              <w:t xml:space="preserve">Report of Independent Registered Public Accounting Firm </w:t>
            </w:r>
            <w:r>
              <w:rPr>
                <w:rFonts w:ascii="Arial" w:cs="Arial" w:eastAsia="Arial" w:hAnsi="Arial"/>
                <w:sz w:val="17"/>
                <w:szCs w:val="17"/>
                <w:color w:val="000000"/>
              </w:rPr>
              <w:t>(PCAOB ID #686)</w:t>
            </w:r>
          </w:p>
        </w:tc>
        <w:tc>
          <w:tcPr>
            <w:tcW w:w="660" w:type="dxa"/>
            <w:vAlign w:val="bottom"/>
            <w:shd w:val="clear" w:color="auto" w:fill="CCEEFF"/>
          </w:tcPr>
          <w:p>
            <w:pPr>
              <w:jc w:val="center"/>
              <w:spacing w:after="0" w:line="166" w:lineRule="exact"/>
              <w:rPr>
                <w:sz w:val="20"/>
                <w:szCs w:val="20"/>
                <w:color w:val="auto"/>
              </w:rPr>
            </w:pPr>
            <w:r>
              <w:rPr>
                <w:rFonts w:ascii="Arial" w:cs="Arial" w:eastAsia="Arial" w:hAnsi="Arial"/>
                <w:sz w:val="17"/>
                <w:szCs w:val="17"/>
                <w:color w:val="auto"/>
                <w:w w:val="84"/>
              </w:rPr>
              <w:t>64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9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60" w:type="dxa"/>
            <w:vAlign w:val="bottom"/>
            <w:gridSpan w:val="9"/>
          </w:tcPr>
          <w:p>
            <w:pPr>
              <w:spacing w:after="0" w:line="166" w:lineRule="exact"/>
              <w:rPr>
                <w:sz w:val="20"/>
                <w:szCs w:val="20"/>
                <w:color w:val="auto"/>
              </w:rPr>
            </w:pPr>
            <w:r>
              <w:rPr>
                <w:rFonts w:ascii="Arial" w:cs="Arial" w:eastAsia="Arial" w:hAnsi="Arial"/>
                <w:sz w:val="17"/>
                <w:szCs w:val="17"/>
                <w:color w:val="0000EE"/>
              </w:rPr>
              <w:t xml:space="preserve">Report of Independent Registered Public Accounting Firm </w:t>
            </w:r>
            <w:r>
              <w:rPr>
                <w:rFonts w:ascii="Arial" w:cs="Arial" w:eastAsia="Arial" w:hAnsi="Arial"/>
                <w:sz w:val="17"/>
                <w:szCs w:val="17"/>
                <w:color w:val="000000"/>
              </w:rPr>
              <w:t>(PCAOB ID #410)</w:t>
            </w:r>
          </w:p>
        </w:tc>
        <w:tc>
          <w:tcPr>
            <w:tcW w:w="660" w:type="dxa"/>
            <w:vAlign w:val="bottom"/>
          </w:tcPr>
          <w:p>
            <w:pPr>
              <w:jc w:val="center"/>
              <w:spacing w:after="0" w:line="166" w:lineRule="exact"/>
              <w:rPr>
                <w:sz w:val="20"/>
                <w:szCs w:val="20"/>
                <w:color w:val="auto"/>
              </w:rPr>
            </w:pPr>
            <w:r>
              <w:rPr>
                <w:rFonts w:ascii="Arial" w:cs="Arial" w:eastAsia="Arial" w:hAnsi="Arial"/>
                <w:sz w:val="17"/>
                <w:szCs w:val="17"/>
                <w:color w:val="auto"/>
                <w:w w:val="84"/>
              </w:rPr>
              <w:t>65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14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0560" w:type="dxa"/>
            <w:vAlign w:val="bottom"/>
            <w:gridSpan w:val="9"/>
          </w:tcPr>
          <w:p>
            <w:pPr>
              <w:spacing w:after="0"/>
              <w:rPr>
                <w:sz w:val="20"/>
                <w:szCs w:val="20"/>
                <w:color w:val="auto"/>
              </w:rPr>
            </w:pPr>
            <w:r>
              <w:rPr>
                <w:rFonts w:ascii="Arial" w:cs="Arial" w:eastAsia="Arial" w:hAnsi="Arial"/>
                <w:sz w:val="17"/>
                <w:szCs w:val="17"/>
                <w:color w:val="auto"/>
              </w:rPr>
              <w:t>Consolidated Financial Statements: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Borders>
              <w:bottom w:val="single" w:sz="8" w:color="0000EE"/>
            </w:tcBorders>
            <w:gridSpan w:val="2"/>
          </w:tcPr>
          <w:p>
            <w:pPr>
              <w:spacing w:after="0" w:line="166" w:lineRule="exact"/>
              <w:rPr>
                <w:sz w:val="20"/>
                <w:szCs w:val="20"/>
                <w:color w:val="auto"/>
              </w:rPr>
            </w:pPr>
            <w:r>
              <w:rPr>
                <w:rFonts w:ascii="Arial" w:cs="Arial" w:eastAsia="Arial" w:hAnsi="Arial"/>
                <w:sz w:val="17"/>
                <w:szCs w:val="17"/>
                <w:color w:val="0000EE"/>
                <w:w w:val="87"/>
              </w:rPr>
              <w:t>Consolidated Balance Sheets</w:t>
            </w:r>
          </w:p>
        </w:tc>
        <w:tc>
          <w:tcPr>
            <w:tcW w:w="8140" w:type="dxa"/>
            <w:vAlign w:val="bottom"/>
            <w:gridSpan w:val="6"/>
          </w:tcPr>
          <w:p>
            <w:pPr>
              <w:spacing w:after="0"/>
              <w:rPr>
                <w:sz w:val="15"/>
                <w:szCs w:val="15"/>
                <w:color w:val="auto"/>
              </w:rPr>
            </w:pPr>
          </w:p>
        </w:tc>
        <w:tc>
          <w:tcPr>
            <w:tcW w:w="660" w:type="dxa"/>
            <w:vAlign w:val="bottom"/>
          </w:tcPr>
          <w:p>
            <w:pPr>
              <w:jc w:val="center"/>
              <w:spacing w:after="0" w:line="166" w:lineRule="exact"/>
              <w:rPr>
                <w:sz w:val="20"/>
                <w:szCs w:val="20"/>
                <w:color w:val="auto"/>
              </w:rPr>
            </w:pPr>
            <w:r>
              <w:rPr>
                <w:rFonts w:ascii="Arial" w:cs="Arial" w:eastAsia="Arial" w:hAnsi="Arial"/>
                <w:sz w:val="17"/>
                <w:szCs w:val="17"/>
                <w:color w:val="auto"/>
                <w:w w:val="84"/>
              </w:rPr>
              <w:t>66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120" w:type="dxa"/>
            <w:vAlign w:val="bottom"/>
            <w:gridSpan w:val="8"/>
            <w:shd w:val="clear" w:color="auto" w:fill="CCEEFF"/>
          </w:tcPr>
          <w:p>
            <w:pPr>
              <w:spacing w:after="0" w:line="175" w:lineRule="exact"/>
              <w:rPr>
                <w:sz w:val="20"/>
                <w:szCs w:val="20"/>
                <w:color w:val="auto"/>
              </w:rPr>
            </w:pPr>
            <w:r>
              <w:rPr>
                <w:rFonts w:ascii="Arial" w:cs="Arial" w:eastAsia="Arial" w:hAnsi="Arial"/>
                <w:sz w:val="17"/>
                <w:szCs w:val="17"/>
                <w:color w:val="0000EE"/>
              </w:rPr>
              <w:t>Consolidated Statements of Comprehensive Income (Loss)</w:t>
            </w: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67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9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20" w:type="dxa"/>
            <w:vAlign w:val="bottom"/>
            <w:gridSpan w:val="8"/>
          </w:tcPr>
          <w:p>
            <w:pPr>
              <w:spacing w:after="0" w:line="166" w:lineRule="exact"/>
              <w:rPr>
                <w:sz w:val="20"/>
                <w:szCs w:val="20"/>
                <w:color w:val="auto"/>
              </w:rPr>
            </w:pPr>
            <w:r>
              <w:rPr>
                <w:rFonts w:ascii="Arial" w:cs="Arial" w:eastAsia="Arial" w:hAnsi="Arial"/>
                <w:sz w:val="17"/>
                <w:szCs w:val="17"/>
                <w:color w:val="0000EE"/>
              </w:rPr>
              <w:t>Consolidated Statements of Changes in Stockholders’ Equity</w:t>
            </w:r>
          </w:p>
        </w:tc>
        <w:tc>
          <w:tcPr>
            <w:tcW w:w="660" w:type="dxa"/>
            <w:vAlign w:val="bottom"/>
          </w:tcPr>
          <w:p>
            <w:pPr>
              <w:jc w:val="center"/>
              <w:spacing w:after="0" w:line="166" w:lineRule="exact"/>
              <w:rPr>
                <w:sz w:val="20"/>
                <w:szCs w:val="20"/>
                <w:color w:val="auto"/>
              </w:rPr>
            </w:pPr>
            <w:r>
              <w:rPr>
                <w:rFonts w:ascii="Arial" w:cs="Arial" w:eastAsia="Arial" w:hAnsi="Arial"/>
                <w:sz w:val="17"/>
                <w:szCs w:val="17"/>
                <w:color w:val="auto"/>
                <w:w w:val="84"/>
              </w:rPr>
              <w:t>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140" w:type="dxa"/>
            <w:vAlign w:val="bottom"/>
            <w:tcBorders>
              <w:top w:val="single" w:sz="8" w:color="0000EE"/>
            </w:tcBorders>
            <w:gridSpan w:val="7"/>
            <w:shd w:val="clear" w:color="auto" w:fill="CCEEFF"/>
          </w:tcPr>
          <w:p>
            <w:pPr>
              <w:spacing w:after="0" w:line="175" w:lineRule="exact"/>
              <w:rPr>
                <w:sz w:val="20"/>
                <w:szCs w:val="20"/>
                <w:color w:val="auto"/>
              </w:rPr>
            </w:pPr>
            <w:r>
              <w:rPr>
                <w:rFonts w:ascii="Arial" w:cs="Arial" w:eastAsia="Arial" w:hAnsi="Arial"/>
                <w:sz w:val="17"/>
                <w:szCs w:val="17"/>
                <w:color w:val="0000EE"/>
              </w:rPr>
              <w:t>Consolidated Statements of Cash Flows</w:t>
            </w:r>
          </w:p>
        </w:tc>
        <w:tc>
          <w:tcPr>
            <w:tcW w:w="598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line="175" w:lineRule="exact"/>
              <w:rPr>
                <w:sz w:val="20"/>
                <w:szCs w:val="20"/>
                <w:color w:val="auto"/>
              </w:rPr>
            </w:pPr>
            <w:r>
              <w:rPr>
                <w:rFonts w:ascii="Arial" w:cs="Arial" w:eastAsia="Arial" w:hAnsi="Arial"/>
                <w:sz w:val="17"/>
                <w:szCs w:val="17"/>
                <w:color w:val="auto"/>
                <w:w w:val="84"/>
              </w:rPr>
              <w:t>70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8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9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20" w:type="dxa"/>
            <w:vAlign w:val="bottom"/>
            <w:gridSpan w:val="8"/>
          </w:tcPr>
          <w:p>
            <w:pPr>
              <w:spacing w:after="0" w:line="166" w:lineRule="exact"/>
              <w:rPr>
                <w:sz w:val="20"/>
                <w:szCs w:val="20"/>
                <w:color w:val="auto"/>
              </w:rPr>
            </w:pPr>
            <w:r>
              <w:rPr>
                <w:rFonts w:ascii="Arial" w:cs="Arial" w:eastAsia="Arial" w:hAnsi="Arial"/>
                <w:sz w:val="17"/>
                <w:szCs w:val="17"/>
                <w:color w:val="0000EE"/>
              </w:rPr>
              <w:t>Notes to Consolidated Financial Statements</w:t>
            </w:r>
          </w:p>
        </w:tc>
        <w:tc>
          <w:tcPr>
            <w:tcW w:w="660" w:type="dxa"/>
            <w:vAlign w:val="bottom"/>
          </w:tcPr>
          <w:p>
            <w:pPr>
              <w:jc w:val="center"/>
              <w:spacing w:after="0" w:line="166" w:lineRule="exact"/>
              <w:rPr>
                <w:sz w:val="20"/>
                <w:szCs w:val="20"/>
                <w:color w:val="auto"/>
              </w:rPr>
            </w:pPr>
            <w:r>
              <w:rPr>
                <w:rFonts w:ascii="Arial" w:cs="Arial" w:eastAsia="Arial" w:hAnsi="Arial"/>
                <w:sz w:val="17"/>
                <w:szCs w:val="17"/>
                <w:color w:val="auto"/>
                <w:w w:val="84"/>
              </w:rPr>
              <w:t>71</w:t>
            </w:r>
          </w:p>
        </w:tc>
        <w:tc>
          <w:tcPr>
            <w:tcW w:w="0" w:type="dxa"/>
            <w:vAlign w:val="bottom"/>
          </w:tcPr>
          <w:p>
            <w:pPr>
              <w:spacing w:after="0"/>
              <w:rPr>
                <w:sz w:val="1"/>
                <w:szCs w:val="1"/>
                <w:color w:val="auto"/>
              </w:rPr>
            </w:pPr>
          </w:p>
        </w:tc>
      </w:tr>
      <w:tr>
        <w:trPr>
          <w:trHeight w:val="555"/>
        </w:trPr>
        <w:tc>
          <w:tcPr>
            <w:tcW w:w="460" w:type="dxa"/>
            <w:vAlign w:val="bottom"/>
            <w:gridSpan w:val="2"/>
          </w:tcPr>
          <w:p>
            <w:pPr>
              <w:spacing w:after="0"/>
              <w:rPr>
                <w:sz w:val="24"/>
                <w:szCs w:val="24"/>
                <w:color w:val="auto"/>
              </w:rPr>
            </w:pPr>
          </w:p>
        </w:tc>
        <w:tc>
          <w:tcPr>
            <w:tcW w:w="2960" w:type="dxa"/>
            <w:vAlign w:val="bottom"/>
            <w:tcBorders>
              <w:top w:val="single" w:sz="8" w:color="0000EE"/>
            </w:tcBorders>
            <w:gridSpan w:val="4"/>
          </w:tcPr>
          <w:p>
            <w:pPr>
              <w:spacing w:after="0"/>
              <w:rPr>
                <w:sz w:val="24"/>
                <w:szCs w:val="24"/>
                <w:color w:val="auto"/>
              </w:rPr>
            </w:pPr>
          </w:p>
        </w:tc>
        <w:tc>
          <w:tcPr>
            <w:tcW w:w="7160" w:type="dxa"/>
            <w:vAlign w:val="bottom"/>
            <w:gridSpan w:val="4"/>
          </w:tcPr>
          <w:p>
            <w:pPr>
              <w:jc w:val="center"/>
              <w:ind w:right="2655"/>
              <w:spacing w:after="0"/>
              <w:rPr>
                <w:sz w:val="20"/>
                <w:szCs w:val="20"/>
                <w:color w:val="auto"/>
              </w:rPr>
            </w:pPr>
            <w:r>
              <w:rPr>
                <w:rFonts w:ascii="Arial" w:cs="Arial" w:eastAsia="Arial" w:hAnsi="Arial"/>
                <w:sz w:val="14"/>
                <w:szCs w:val="14"/>
                <w:color w:val="auto"/>
                <w:w w:val="89"/>
              </w:rPr>
              <w:t>63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Shareholders, Board of Directors, and Audit Committee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South Plains Financial, Inc.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Lubbock, Texas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audited the accompanying consolidated balance sheet of South Plains Financial, Inc. and Subsidiaries (the “Company”) as of December 31, 2022, and the related consolidated statements of comprehensive income (loss), changes in stockholders’ equity, and cash flows for the year ended December 31, 2022, and the related notes (collectively referred to as the “financial statements”). In our opinion, the consolidated financial statements referred to above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color w:val="auto"/>
        </w:rPr>
        <w:t>FORVIS,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13, 2023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South Plains Financial, Inc.</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Lubbock, Texas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audited the accompanying consolidated balance sheet of South Plains Financial, Inc. and Subsidiaries (the “Company”) as of December 31, 2021, and the related consolidated statements of comprehensive income, changes in stockholders’ equity, and cash flows for each of the two years in the period ended December 31, 2021, and the related notes to the consolidated financial statements (collectively referred to as the “financial statements”). In our opinion, the consolidated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WEAVER AND TIDWELL, L.L.P.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served as South Plains Financial, Inc.’s auditor from 2018 to 2021.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Fort Worth, Texas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8680" w:type="dxa"/>
            <w:vAlign w:val="bottom"/>
            <w:gridSpan w:val="5"/>
          </w:tcPr>
          <w:p>
            <w:pPr>
              <w:spacing w:after="0"/>
              <w:rPr>
                <w:sz w:val="20"/>
                <w:szCs w:val="20"/>
                <w:color w:val="auto"/>
              </w:rPr>
            </w:pPr>
            <w:r>
              <w:rPr>
                <w:rFonts w:ascii="Arial" w:cs="Arial" w:eastAsia="Arial" w:hAnsi="Arial"/>
                <w:sz w:val="14"/>
                <w:szCs w:val="14"/>
                <w:i w:val="1"/>
                <w:iCs w:val="1"/>
                <w:color w:val="0000EE"/>
              </w:rPr>
              <w:t>Table of Contents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5180" w:type="dxa"/>
            <w:vAlign w:val="bottom"/>
          </w:tcPr>
          <w:p>
            <w:pPr>
              <w:jc w:val="center"/>
              <w:ind w:right="855"/>
              <w:spacing w:after="0"/>
              <w:rPr>
                <w:sz w:val="20"/>
                <w:szCs w:val="20"/>
                <w:color w:val="auto"/>
              </w:rPr>
            </w:pPr>
            <w:r>
              <w:rPr>
                <w:rFonts w:ascii="Arial" w:cs="Arial" w:eastAsia="Arial" w:hAnsi="Arial"/>
                <w:sz w:val="17"/>
                <w:szCs w:val="17"/>
                <w:b w:val="1"/>
                <w:bCs w:val="1"/>
                <w:i w:val="1"/>
                <w:iCs w:val="1"/>
                <w:color w:val="auto"/>
                <w:w w:val="97"/>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jc w:val="center"/>
              <w:ind w:right="855"/>
              <w:spacing w:after="0"/>
              <w:rPr>
                <w:sz w:val="20"/>
                <w:szCs w:val="20"/>
                <w:color w:val="auto"/>
              </w:rPr>
            </w:pPr>
            <w:r>
              <w:rPr>
                <w:rFonts w:ascii="Arial" w:cs="Arial" w:eastAsia="Arial" w:hAnsi="Arial"/>
                <w:sz w:val="17"/>
                <w:szCs w:val="17"/>
                <w:b w:val="1"/>
                <w:bCs w:val="1"/>
                <w:i w:val="1"/>
                <w:iCs w:val="1"/>
                <w:color w:val="auto"/>
                <w:w w:val="95"/>
              </w:rPr>
              <w:t>CONSOLIDATED BALANCE SHEETS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jc w:val="center"/>
              <w:ind w:right="835"/>
              <w:spacing w:after="0"/>
              <w:rPr>
                <w:sz w:val="20"/>
                <w:szCs w:val="20"/>
                <w:color w:val="auto"/>
              </w:rPr>
            </w:pPr>
            <w:r>
              <w:rPr>
                <w:rFonts w:ascii="Arial" w:cs="Arial" w:eastAsia="Arial" w:hAnsi="Arial"/>
                <w:sz w:val="17"/>
                <w:szCs w:val="17"/>
                <w:b w:val="1"/>
                <w:bCs w:val="1"/>
                <w:i w:val="1"/>
                <w:iCs w:val="1"/>
                <w:color w:val="auto"/>
                <w:w w:val="86"/>
              </w:rPr>
              <w:t>(Dollars in 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80" w:type="dxa"/>
            <w:vAlign w:val="bottom"/>
            <w:gridSpan w:val="5"/>
          </w:tcPr>
          <w:p>
            <w:pPr>
              <w:spacing w:after="0" w:line="166" w:lineRule="exact"/>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Cash and due from banks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61,613</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68,425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Interest-bearing deposits in banks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173,270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418,396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234,883</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Securities available for sale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701,711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724,504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Loans held for sale ($10,038 and $47,593 at fair value at December 31, 2022 and 2021, respectively)</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30,403</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76,507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Loans held for investment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2,748,081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2,437,577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ind w:left="140"/>
              <w:spacing w:after="0"/>
              <w:rPr>
                <w:sz w:val="20"/>
                <w:szCs w:val="20"/>
                <w:color w:val="auto"/>
              </w:rPr>
            </w:pPr>
            <w:r>
              <w:rPr>
                <w:rFonts w:ascii="Arial" w:cs="Arial" w:eastAsia="Arial" w:hAnsi="Arial"/>
                <w:sz w:val="17"/>
                <w:szCs w:val="17"/>
                <w:color w:val="auto"/>
              </w:rPr>
              <w:t>Allowance for loan losses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(39,288)</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(42,098)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Loans held for investment, net</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2,708,793</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2,395,479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Accrued interest receivable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16,432</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Premises and equipment, net</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56,337</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57,699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Bank-owned life insurance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73,174</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71,978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19,508</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19,508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Mortgage servicing rights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27,474</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19,700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tax asset,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22,818</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48,181</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26,826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3,944,063</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3,901,855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8660" w:type="dxa"/>
            <w:vAlign w:val="bottom"/>
            <w:gridSpan w:val="4"/>
            <w:shd w:val="clear" w:color="auto" w:fill="CCEEFF"/>
          </w:tcPr>
          <w:p>
            <w:pPr>
              <w:spacing w:after="0" w:line="166" w:lineRule="exact"/>
              <w:rPr>
                <w:sz w:val="20"/>
                <w:szCs w:val="20"/>
                <w:color w:val="auto"/>
              </w:rPr>
            </w:pPr>
            <w:r>
              <w:rPr>
                <w:rFonts w:ascii="Arial" w:cs="Arial" w:eastAsia="Arial" w:hAnsi="Arial"/>
                <w:sz w:val="17"/>
                <w:szCs w:val="17"/>
                <w:color w:val="auto"/>
              </w:rPr>
              <w:t>LIABILITIES AND STOCKHOLDERS’ EQUITY</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Deposits: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140"/>
              <w:spacing w:after="0"/>
              <w:rPr>
                <w:sz w:val="20"/>
                <w:szCs w:val="20"/>
                <w:color w:val="auto"/>
              </w:rPr>
            </w:pPr>
            <w:r>
              <w:rPr>
                <w:rFonts w:ascii="Arial" w:cs="Arial" w:eastAsia="Arial" w:hAnsi="Arial"/>
                <w:sz w:val="17"/>
                <w:szCs w:val="17"/>
                <w:color w:val="auto"/>
              </w:rPr>
              <w:t>Noninterest-bearing</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1,150,488</w:t>
            </w:r>
          </w:p>
        </w:tc>
        <w:tc>
          <w:tcPr>
            <w:tcW w:w="24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1,071,367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Interest-bearing</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2,255,942</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2,269,855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280"/>
              <w:spacing w:after="0"/>
              <w:rPr>
                <w:sz w:val="20"/>
                <w:szCs w:val="20"/>
                <w:color w:val="auto"/>
              </w:rPr>
            </w:pPr>
            <w:r>
              <w:rPr>
                <w:rFonts w:ascii="Arial" w:cs="Arial" w:eastAsia="Arial" w:hAnsi="Arial"/>
                <w:sz w:val="17"/>
                <w:szCs w:val="17"/>
                <w:color w:val="auto"/>
              </w:rPr>
              <w:t>Total deposits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3,406,430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3,341,222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Accrued expenses and other liabilities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58,265</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31,038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Subordinated debt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75,961</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75,775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Junior subordinated deferrable interest debentures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46,393</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46,393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7"/>
                <w:szCs w:val="17"/>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3,587,049</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3,494,428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4"/>
              </w:rPr>
              <w:t>Common stock, $1 par value, 30,000,000 shares authorized; 17,027,197 issued in 2022 and 17,760,243 issued in 2021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17,027</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14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112,834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133,215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292,261</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(65,108)</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13,702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357,014</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407,427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28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3,944,063</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3,901,855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SOUTH PLAINS FINANCIAL,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(Dollars in thousands, except per 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including fees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137,954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120,540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121,733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Securities: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Taxable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9,445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280"/>
              <w:spacing w:after="0"/>
              <w:rPr>
                <w:sz w:val="20"/>
                <w:szCs w:val="20"/>
                <w:color w:val="auto"/>
              </w:rPr>
            </w:pPr>
            <w:r>
              <w:rPr>
                <w:rFonts w:ascii="Arial" w:cs="Arial" w:eastAsia="Arial" w:hAnsi="Arial"/>
                <w:sz w:val="17"/>
                <w:szCs w:val="17"/>
                <w:color w:val="auto"/>
              </w:rPr>
              <w:t>Non taxable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4,639</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3,546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 funds sold and interest-bearing deposits in banks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440"/>
              <w:spacing w:after="0"/>
              <w:rPr>
                <w:sz w:val="20"/>
                <w:szCs w:val="20"/>
                <w:color w:val="auto"/>
              </w:rPr>
            </w:pPr>
            <w:r>
              <w:rPr>
                <w:rFonts w:ascii="Arial" w:cs="Arial" w:eastAsia="Arial" w:hAnsi="Arial"/>
                <w:sz w:val="17"/>
                <w:szCs w:val="17"/>
                <w:color w:val="auto"/>
              </w:rPr>
              <w:t>Total interest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135,036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138,231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Deposits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8,293</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Notes payable &amp; other borrowings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Subordinated debt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4,056</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Junior subordinated deferrable interest debentures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880</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interest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22,692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13,272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Net interest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121,764</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Provision for loan losses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(2,619)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(1,918)</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25,570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141,095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123,682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Service charges on deposit accounts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6,963</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7,032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insurance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8,314</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Net gain on sales of loans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20,764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51,184</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63,531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Bank card services and interchange fees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12,239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Other mortgage banking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8,542</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Realized gain on sale of securities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Investment commissions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1,934</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Fiduciary fees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2,917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5,376</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76,145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97,469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Noninterest expense: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Salaries and employee benefits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86,323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93,360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89,220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Occupancy and equipment,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14,560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9,740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6,752</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6,322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Marketing and development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3,225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IT and data services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4,007</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3,574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Bank card expenses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4,995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Arial" w:cs="Arial" w:eastAsia="Arial" w:hAnsi="Arial"/>
                <w:sz w:val="17"/>
                <w:szCs w:val="17"/>
                <w:color w:val="auto"/>
              </w:rPr>
              <w:t>Appraisal expenses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3,248</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2,782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7"/>
                <w:szCs w:val="17"/>
                <w:color w:val="auto"/>
              </w:rPr>
              <w:t>Total noninterest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144,089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148,030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141,715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73,151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73,121</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56,603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58,240</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58,614</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45,353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center"/>
        <w:ind w:left="340" w:right="2260"/>
        <w:spacing w:after="0" w:line="262" w:lineRule="auto"/>
        <w:rPr>
          <w:sz w:val="20"/>
          <w:szCs w:val="20"/>
          <w:color w:val="auto"/>
        </w:rPr>
      </w:pPr>
      <w:r>
        <w:rPr>
          <w:rFonts w:ascii="Arial" w:cs="Arial" w:eastAsia="Arial" w:hAnsi="Arial"/>
          <w:sz w:val="17"/>
          <w:szCs w:val="17"/>
          <w:b w:val="1"/>
          <w:bCs w:val="1"/>
          <w:i w:val="1"/>
          <w:iCs w:val="1"/>
          <w:color w:val="auto"/>
        </w:rPr>
        <w:t>SOUTH PLAINS FINANCIAL, INC. AND SUBSIDIARIES CONSOLIDATED STATEMENTS OF COMPREHENSIVE INCOME (LOSS) (CONTINUED) (Dollars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rPr>
                <w:sz w:val="20"/>
                <w:szCs w:val="20"/>
                <w:color w:val="auto"/>
              </w:rPr>
            </w:pPr>
            <w:r>
              <w:rPr>
                <w:rFonts w:ascii="Arial" w:cs="Arial" w:eastAsia="Arial" w:hAnsi="Arial"/>
                <w:sz w:val="17"/>
                <w:szCs w:val="17"/>
                <w:color w:val="auto"/>
              </w:rPr>
              <w:t>Earnings per share:</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54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3.35</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3.26</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Diluted</w:t>
            </w:r>
          </w:p>
        </w:tc>
        <w:tc>
          <w:tcPr>
            <w:tcW w:w="15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3.23</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3.17</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Net income</w:t>
            </w:r>
          </w:p>
        </w:tc>
        <w:tc>
          <w:tcPr>
            <w:tcW w:w="154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58,240</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58,614</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45,353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Unrealized gain (loss) on securities available for sale</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(114,367)</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(15,479)</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28,193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Change in fair value on hedged state and municipal securities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14,607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5,812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Reclassification adjustment for (gain) loss included in net income</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(2,318)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effect</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Arial" w:cs="Arial" w:eastAsia="Arial" w:hAnsi="Arial"/>
                <w:sz w:val="17"/>
                <w:szCs w:val="17"/>
                <w:color w:val="auto"/>
              </w:rPr>
              <w:t>Other comprehensive income (loss)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(78,810)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(7,637)</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20,381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Comprehensive income (loss)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50,977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center"/>
        <w:spacing w:after="0" w:line="262" w:lineRule="auto"/>
        <w:rPr>
          <w:sz w:val="20"/>
          <w:szCs w:val="20"/>
          <w:color w:val="auto"/>
        </w:rPr>
      </w:pPr>
      <w:r>
        <w:rPr>
          <w:rFonts w:ascii="Arial" w:cs="Arial" w:eastAsia="Arial" w:hAnsi="Arial"/>
          <w:sz w:val="17"/>
          <w:szCs w:val="17"/>
          <w:b w:val="1"/>
          <w:bCs w:val="1"/>
          <w:i w:val="1"/>
          <w:iCs w:val="1"/>
          <w:color w:val="auto"/>
        </w:rPr>
        <w:t>SOUTH PLAINS FINANCIAL, INC. AND SUBSIDIARIES CONSOLIDATED STATEMENTS OF CHANGES IN STOCKHOLDERS’ EQUITY (Dollars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9"/>
              </w:rPr>
              <w:t>Accumulated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40" w:type="dxa"/>
            <w:vAlign w:val="bottom"/>
            <w:gridSpan w:val="5"/>
            <w:vMerge w:val="restart"/>
          </w:tcPr>
          <w:p>
            <w:pPr>
              <w:jc w:val="right"/>
              <w:ind w:right="840"/>
              <w:spacing w:after="0"/>
              <w:rPr>
                <w:sz w:val="20"/>
                <w:szCs w:val="20"/>
                <w:color w:val="auto"/>
              </w:rPr>
            </w:pPr>
            <w:r>
              <w:rPr>
                <w:rFonts w:ascii="Arial" w:cs="Arial" w:eastAsia="Arial" w:hAnsi="Arial"/>
                <w:sz w:val="17"/>
                <w:szCs w:val="17"/>
                <w:b w:val="1"/>
                <w:bCs w:val="1"/>
                <w:color w:val="auto"/>
              </w:rPr>
              <w:t>Common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2"/>
              </w:rPr>
              <w:t>Other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4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Paid-in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Retained</w:t>
            </w:r>
          </w:p>
        </w:tc>
        <w:tc>
          <w:tcPr>
            <w:tcW w:w="14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7"/>
              </w:rPr>
              <w:t>Comprehensive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8"/>
              </w:rPr>
              <w:t>Earnings</w:t>
            </w:r>
          </w:p>
        </w:tc>
        <w:tc>
          <w:tcPr>
            <w:tcW w:w="8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8"/>
              </w:rPr>
              <w:t>Income (Loss)</w:t>
            </w:r>
          </w:p>
        </w:tc>
        <w:tc>
          <w:tcPr>
            <w:tcW w:w="2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18,036,115</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306,182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45,353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45,353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 $0.14 per share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20,381</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20,381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Exercise of employee stock options, net of</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69,855 shares for cashless exercise and net</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of 17,762 shares for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Repurchases of common stock</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(19,035)</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Stock based compensation</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Balance at December 31, 2020</w:t>
            </w:r>
          </w:p>
        </w:tc>
        <w:tc>
          <w:tcPr>
            <w:tcW w:w="1120" w:type="dxa"/>
            <w:vAlign w:val="bottom"/>
          </w:tcPr>
          <w:p>
            <w:pPr>
              <w:jc w:val="right"/>
              <w:spacing w:after="0"/>
              <w:rPr>
                <w:sz w:val="20"/>
                <w:szCs w:val="20"/>
                <w:color w:val="auto"/>
              </w:rPr>
            </w:pPr>
            <w:r>
              <w:rPr>
                <w:rFonts w:ascii="Arial" w:cs="Arial" w:eastAsia="Arial" w:hAnsi="Arial"/>
                <w:sz w:val="17"/>
                <w:szCs w:val="17"/>
                <w:color w:val="auto"/>
              </w:rPr>
              <w:t>18,076,364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189,521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21,339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370,048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Cash dividends declared - $0.30 per share</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(5,385)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(5,385)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(7,637)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(7,637)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line="191" w:lineRule="exact"/>
              <w:rPr>
                <w:sz w:val="20"/>
                <w:szCs w:val="20"/>
                <w:color w:val="auto"/>
              </w:rPr>
            </w:pPr>
            <w:r>
              <w:rPr>
                <w:rFonts w:ascii="Arial" w:cs="Arial" w:eastAsia="Arial" w:hAnsi="Arial"/>
                <w:sz w:val="17"/>
                <w:szCs w:val="17"/>
                <w:color w:val="auto"/>
              </w:rPr>
              <w:t>Exercise of employee stock options, net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w w:val="93"/>
              </w:rPr>
              <w:t>82,004 shares for cashless exercise and net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of 23,559 shares for taxes</w:t>
            </w:r>
          </w:p>
        </w:tc>
        <w:tc>
          <w:tcPr>
            <w:tcW w:w="1120" w:type="dxa"/>
            <w:vAlign w:val="bottom"/>
          </w:tcPr>
          <w:p>
            <w:pPr>
              <w:jc w:val="right"/>
              <w:spacing w:after="0"/>
              <w:rPr>
                <w:sz w:val="20"/>
                <w:szCs w:val="20"/>
                <w:color w:val="auto"/>
              </w:rPr>
            </w:pPr>
            <w:r>
              <w:rPr>
                <w:rFonts w:ascii="Arial" w:cs="Arial" w:eastAsia="Arial" w:hAnsi="Arial"/>
                <w:sz w:val="17"/>
                <w:szCs w:val="17"/>
                <w:color w:val="auto"/>
              </w:rPr>
              <w:t>77,408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Repurchases of common stock</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(393,529)</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17,760,243</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242,750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13,702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407,427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58,240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58,240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declared - $0.46 per share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(78,810)</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(78,810)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Impact of adoption of Topic 842 related to</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leases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line="191" w:lineRule="exact"/>
              <w:rPr>
                <w:sz w:val="20"/>
                <w:szCs w:val="20"/>
                <w:color w:val="auto"/>
              </w:rPr>
            </w:pPr>
            <w:r>
              <w:rPr>
                <w:rFonts w:ascii="Arial" w:cs="Arial" w:eastAsia="Arial" w:hAnsi="Arial"/>
                <w:sz w:val="17"/>
                <w:szCs w:val="17"/>
                <w:color w:val="auto"/>
              </w:rPr>
              <w:t>Exercise of employee stock options, net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w w:val="90"/>
              </w:rPr>
              <w:t>141,762 shares for cashless exercise and net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7"/>
                <w:szCs w:val="17"/>
                <w:color w:val="auto"/>
              </w:rPr>
              <w:t>of 42,386 shares for taxes</w:t>
            </w:r>
          </w:p>
        </w:tc>
        <w:tc>
          <w:tcPr>
            <w:tcW w:w="1120" w:type="dxa"/>
            <w:vAlign w:val="bottom"/>
          </w:tcPr>
          <w:p>
            <w:pPr>
              <w:jc w:val="right"/>
              <w:spacing w:after="0"/>
              <w:rPr>
                <w:sz w:val="20"/>
                <w:szCs w:val="20"/>
                <w:color w:val="auto"/>
              </w:rPr>
            </w:pPr>
            <w:r>
              <w:rPr>
                <w:rFonts w:ascii="Arial" w:cs="Arial" w:eastAsia="Arial" w:hAnsi="Arial"/>
                <w:sz w:val="17"/>
                <w:szCs w:val="17"/>
                <w:color w:val="auto"/>
              </w:rPr>
              <w:t>126,756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Repurchases of common stock</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(859,802)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17,027,197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292,261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(65,108)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SOUTH PLAINS FINANCIAL,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(Dollars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58,614</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from operating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Provision for loan losses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(2,619)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6,436</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6,575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Accretion and amortization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4,513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Other gains, net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(166)</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(729)</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(2,539)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gain on sales of loans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(20,764)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(51,184)</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(63,531)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Proceeds from sales of loans held for sale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783,212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1,577,953</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1,434,173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Loans originated for sale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(719,413)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(1,500,995)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(1,442,913)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Deferred income tax expense (benefit)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1,453</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(1,588)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Earnings on bank-owned life insurance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Stock-based compensation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1,639</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Change in valuation of mortgage servicing rights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(4,705)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Net change in: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interest receivable and other assets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3,382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ind w:left="440"/>
              <w:spacing w:after="0"/>
              <w:rPr>
                <w:sz w:val="20"/>
                <w:szCs w:val="20"/>
                <w:color w:val="auto"/>
              </w:rPr>
            </w:pPr>
            <w:r>
              <w:rPr>
                <w:rFonts w:ascii="Arial" w:cs="Arial" w:eastAsia="Arial" w:hAnsi="Arial"/>
                <w:sz w:val="17"/>
                <w:szCs w:val="17"/>
                <w:color w:val="auto"/>
              </w:rPr>
              <w:t>Accrued expenses and other liabilities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(191)</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1,671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Net cash provided by operating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123,590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96,271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Activity in securities available for sale: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(176,713)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(61,548)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(279,727)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Sales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94,514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Maturities, prepayments, and calls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120,325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114,850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Loan originations and principal collections, net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(311,459)</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(218,458)</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(84,991)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acquisition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Goodwill adjustment related to litigation settlement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premises and equipment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(4,469)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Proceeds from sales of premises and equipment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1,458</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of foreclosed assets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ind w:left="440"/>
              <w:spacing w:after="0"/>
              <w:rPr>
                <w:sz w:val="20"/>
                <w:szCs w:val="20"/>
                <w:color w:val="auto"/>
              </w:rPr>
            </w:pPr>
            <w:r>
              <w:rPr>
                <w:rFonts w:ascii="Arial" w:cs="Arial" w:eastAsia="Arial" w:hAnsi="Arial"/>
                <w:sz w:val="17"/>
                <w:szCs w:val="17"/>
                <w:color w:val="auto"/>
              </w:rPr>
              <w:t>Net cash used in investing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(408,857)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(159,841)</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(156,228)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Net change in deposits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366,871</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277,494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Net change in short-term borrowings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(26,550)</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(10,615)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Proceeds from subordinated debt issuance, net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Proceeds from notes payable and other borrowings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Payments to tax authorities for stock-based compensation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(1,168)</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Payments made on notes payable and other borrowings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(75,000)</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dividends paid on common stock</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(8,012)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(5,385)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7"/>
                <w:szCs w:val="17"/>
                <w:color w:val="auto"/>
              </w:rPr>
              <w:t>Payments to repurchase common stock</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(22,699)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(9,227)</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Net cash provided by 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33,329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250,084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3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(251,938)</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186,514</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7"/>
                <w:szCs w:val="17"/>
                <w:color w:val="auto"/>
              </w:rPr>
              <w:t>Beginning cash and cash equivalents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486,821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300,307</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158,099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Ending 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234,883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486,821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300,307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 of cash flow information: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Interest paid on deposits and borrowed funds</w:t>
            </w:r>
          </w:p>
        </w:tc>
        <w:tc>
          <w:tcPr>
            <w:tcW w:w="132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21,770</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13,471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taxes paid</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7"/>
                <w:szCs w:val="17"/>
                <w:color w:val="auto"/>
              </w:rPr>
              <w:t>Supplemental schedule of noncash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transferred to foreclosed assets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Arial" w:cs="Arial" w:eastAsia="Arial" w:hAnsi="Arial"/>
                <w:sz w:val="17"/>
                <w:szCs w:val="17"/>
                <w:color w:val="auto"/>
              </w:rPr>
              <w:t>Business combination measurement period adjustment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to mortgage servicing rights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9,196</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9,829</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ind w:left="3500"/>
        <w:spacing w:after="0"/>
        <w:rPr>
          <w:sz w:val="20"/>
          <w:szCs w:val="20"/>
          <w:color w:val="auto"/>
        </w:rPr>
      </w:pPr>
      <w:r>
        <w:rPr>
          <w:rFonts w:ascii="Arial" w:cs="Arial" w:eastAsia="Arial" w:hAnsi="Arial"/>
          <w:sz w:val="17"/>
          <w:szCs w:val="17"/>
          <w:b w:val="1"/>
          <w:bCs w:val="1"/>
          <w:i w:val="1"/>
          <w:iCs w:val="1"/>
          <w:color w:val="auto"/>
        </w:rPr>
        <w:t>SOUTH PLAINS FINANCIAL, INC. AND SUBSIDIARIES</w:t>
      </w:r>
    </w:p>
    <w:p>
      <w:pPr>
        <w:spacing w:after="0" w:line="20" w:lineRule="exact"/>
        <w:rPr>
          <w:sz w:val="20"/>
          <w:szCs w:val="20"/>
          <w:color w:val="auto"/>
        </w:rPr>
      </w:pPr>
    </w:p>
    <w:p>
      <w:pPr>
        <w:ind w:left="3480"/>
        <w:spacing w:after="0"/>
        <w:rPr>
          <w:sz w:val="20"/>
          <w:szCs w:val="20"/>
          <w:color w:val="auto"/>
        </w:rPr>
      </w:pPr>
      <w:r>
        <w:rPr>
          <w:rFonts w:ascii="Arial" w:cs="Arial" w:eastAsia="Arial" w:hAnsi="Arial"/>
          <w:sz w:val="17"/>
          <w:szCs w:val="17"/>
          <w:b w:val="1"/>
          <w:bCs w:val="1"/>
          <w:i w:val="1"/>
          <w:iCs w:val="1"/>
          <w:color w:val="auto"/>
        </w:rPr>
        <w:t>NOTES TO CONSOLIDATED FINANCIAL STATEMENTS</w:t>
      </w:r>
    </w:p>
    <w:p>
      <w:pPr>
        <w:spacing w:after="0" w:line="201"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i w:val="1"/>
          <w:iCs w:val="1"/>
          <w:color w:val="auto"/>
        </w:rPr>
        <w:t>1</w:t>
      </w:r>
      <w:r>
        <w:rPr>
          <w:rFonts w:ascii="Arial" w:cs="Arial" w:eastAsia="Arial" w:hAnsi="Arial"/>
          <w:sz w:val="17"/>
          <w:szCs w:val="17"/>
          <w:i w:val="1"/>
          <w:iCs w:val="1"/>
          <w:color w:val="auto"/>
        </w:rPr>
        <w:t>.</w:t>
      </w:r>
      <w:r>
        <w:rPr>
          <w:sz w:val="20"/>
          <w:szCs w:val="20"/>
          <w:color w:val="auto"/>
        </w:rPr>
        <w:tab/>
      </w:r>
      <w:r>
        <w:rPr>
          <w:rFonts w:ascii="Arial" w:cs="Arial" w:eastAsia="Arial" w:hAnsi="Arial"/>
          <w:sz w:val="16"/>
          <w:szCs w:val="16"/>
          <w:b w:val="1"/>
          <w:bCs w:val="1"/>
          <w:i w:val="1"/>
          <w:iCs w:val="1"/>
          <w:color w:val="auto"/>
        </w:rPr>
        <w:t>SUMMARY OF SIGNIFICANT ACCOUNTING POLICIES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Nature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South Plains Financial, Inc. (“SPFI”) is a Texas corporation and registered bank holding company that conducts its principal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20"/>
                <w:szCs w:val="20"/>
                <w:color w:val="auto"/>
              </w:rPr>
            </w:pPr>
            <w:r>
              <w:rPr>
                <w:rFonts w:ascii="Arial" w:cs="Arial" w:eastAsia="Arial" w:hAnsi="Arial"/>
                <w:sz w:val="17"/>
                <w:szCs w:val="17"/>
                <w:color w:val="auto"/>
              </w:rPr>
              <w:t>Wholly-Owned, Consolidated Subsidiaries:</w:t>
            </w:r>
          </w:p>
        </w:tc>
        <w:tc>
          <w:tcPr>
            <w:tcW w:w="6560" w:type="dxa"/>
            <w:vAlign w:val="bottom"/>
          </w:tcPr>
          <w:p>
            <w:pPr>
              <w:spacing w:after="0"/>
              <w:rPr>
                <w:sz w:val="18"/>
                <w:szCs w:val="18"/>
                <w:color w:val="auto"/>
              </w:rPr>
            </w:pPr>
          </w:p>
        </w:tc>
      </w:tr>
      <w:tr>
        <w:trPr>
          <w:trHeight w:val="204"/>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City Bank</w:t>
            </w:r>
          </w:p>
        </w:tc>
        <w:tc>
          <w:tcPr>
            <w:tcW w:w="65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Bank subsidiary</w:t>
            </w:r>
          </w:p>
        </w:tc>
      </w:tr>
      <w:tr>
        <w:trPr>
          <w:trHeight w:val="204"/>
        </w:trPr>
        <w:tc>
          <w:tcPr>
            <w:tcW w:w="4680" w:type="dxa"/>
            <w:vAlign w:val="bottom"/>
          </w:tcPr>
          <w:p>
            <w:pPr>
              <w:ind w:left="160"/>
              <w:spacing w:after="0"/>
              <w:rPr>
                <w:sz w:val="20"/>
                <w:szCs w:val="20"/>
                <w:color w:val="auto"/>
              </w:rPr>
            </w:pPr>
            <w:r>
              <w:rPr>
                <w:rFonts w:ascii="Arial" w:cs="Arial" w:eastAsia="Arial" w:hAnsi="Arial"/>
                <w:sz w:val="17"/>
                <w:szCs w:val="17"/>
                <w:color w:val="auto"/>
              </w:rPr>
              <w:t>Windmark Insurance Agency, Inc. (“Windmark”)</w:t>
            </w:r>
          </w:p>
        </w:tc>
        <w:tc>
          <w:tcPr>
            <w:tcW w:w="6560" w:type="dxa"/>
            <w:vAlign w:val="bottom"/>
          </w:tcPr>
          <w:p>
            <w:pPr>
              <w:ind w:left="960"/>
              <w:spacing w:after="0"/>
              <w:rPr>
                <w:sz w:val="20"/>
                <w:szCs w:val="20"/>
                <w:color w:val="auto"/>
              </w:rPr>
            </w:pPr>
            <w:r>
              <w:rPr>
                <w:rFonts w:ascii="Arial" w:cs="Arial" w:eastAsia="Arial" w:hAnsi="Arial"/>
                <w:sz w:val="17"/>
                <w:szCs w:val="17"/>
                <w:color w:val="auto"/>
              </w:rPr>
              <w:t>Non-bank subsidiary</w:t>
            </w:r>
          </w:p>
        </w:tc>
      </w:tr>
      <w:tr>
        <w:trPr>
          <w:trHeight w:val="204"/>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Ruidoso Retail, Inc.</w:t>
            </w:r>
          </w:p>
        </w:tc>
        <w:tc>
          <w:tcPr>
            <w:tcW w:w="65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Non-bank subsidiary</w:t>
            </w:r>
          </w:p>
        </w:tc>
      </w:tr>
      <w:tr>
        <w:trPr>
          <w:trHeight w:val="204"/>
        </w:trPr>
        <w:tc>
          <w:tcPr>
            <w:tcW w:w="4680" w:type="dxa"/>
            <w:vAlign w:val="bottom"/>
          </w:tcPr>
          <w:p>
            <w:pPr>
              <w:ind w:left="160"/>
              <w:spacing w:after="0"/>
              <w:rPr>
                <w:sz w:val="20"/>
                <w:szCs w:val="20"/>
                <w:color w:val="auto"/>
              </w:rPr>
            </w:pPr>
            <w:r>
              <w:rPr>
                <w:rFonts w:ascii="Arial" w:cs="Arial" w:eastAsia="Arial" w:hAnsi="Arial"/>
                <w:sz w:val="17"/>
                <w:szCs w:val="17"/>
                <w:color w:val="auto"/>
              </w:rPr>
              <w:t>CB Provence, LLC</w:t>
            </w:r>
          </w:p>
        </w:tc>
        <w:tc>
          <w:tcPr>
            <w:tcW w:w="6560" w:type="dxa"/>
            <w:vAlign w:val="bottom"/>
          </w:tcPr>
          <w:p>
            <w:pPr>
              <w:ind w:left="960"/>
              <w:spacing w:after="0"/>
              <w:rPr>
                <w:sz w:val="20"/>
                <w:szCs w:val="20"/>
                <w:color w:val="auto"/>
              </w:rPr>
            </w:pPr>
            <w:r>
              <w:rPr>
                <w:rFonts w:ascii="Arial" w:cs="Arial" w:eastAsia="Arial" w:hAnsi="Arial"/>
                <w:sz w:val="17"/>
                <w:szCs w:val="17"/>
                <w:color w:val="auto"/>
              </w:rPr>
              <w:t>Non-bank subsidiary</w:t>
            </w:r>
          </w:p>
        </w:tc>
      </w:tr>
      <w:tr>
        <w:trPr>
          <w:trHeight w:val="204"/>
        </w:trPr>
        <w:tc>
          <w:tcPr>
            <w:tcW w:w="4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CBT Brushy Creek, LLC</w:t>
            </w:r>
          </w:p>
        </w:tc>
        <w:tc>
          <w:tcPr>
            <w:tcW w:w="65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Non-bank subsidiary</w:t>
            </w:r>
          </w:p>
        </w:tc>
      </w:tr>
      <w:tr>
        <w:trPr>
          <w:trHeight w:val="204"/>
        </w:trPr>
        <w:tc>
          <w:tcPr>
            <w:tcW w:w="4680" w:type="dxa"/>
            <w:vAlign w:val="bottom"/>
          </w:tcPr>
          <w:p>
            <w:pPr>
              <w:ind w:left="160"/>
              <w:spacing w:after="0"/>
              <w:rPr>
                <w:sz w:val="20"/>
                <w:szCs w:val="20"/>
                <w:color w:val="auto"/>
              </w:rPr>
            </w:pPr>
            <w:r>
              <w:rPr>
                <w:rFonts w:ascii="Arial" w:cs="Arial" w:eastAsia="Arial" w:hAnsi="Arial"/>
                <w:sz w:val="17"/>
                <w:szCs w:val="17"/>
                <w:color w:val="auto"/>
              </w:rPr>
              <w:t>CBT Properties, LLC</w:t>
            </w:r>
          </w:p>
        </w:tc>
        <w:tc>
          <w:tcPr>
            <w:tcW w:w="6560" w:type="dxa"/>
            <w:vAlign w:val="bottom"/>
          </w:tcPr>
          <w:p>
            <w:pPr>
              <w:ind w:left="960"/>
              <w:spacing w:after="0"/>
              <w:rPr>
                <w:sz w:val="20"/>
                <w:szCs w:val="20"/>
                <w:color w:val="auto"/>
              </w:rPr>
            </w:pPr>
            <w:r>
              <w:rPr>
                <w:rFonts w:ascii="Arial" w:cs="Arial" w:eastAsia="Arial" w:hAnsi="Arial"/>
                <w:sz w:val="17"/>
                <w:szCs w:val="17"/>
                <w:color w:val="auto"/>
              </w:rPr>
              <w:t>Non-bank subsidiary</w:t>
            </w:r>
          </w:p>
        </w:tc>
      </w:tr>
      <w:tr>
        <w:trPr>
          <w:trHeight w:val="204"/>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Wholly-Owned, Equity Method Subsidiaries:</w:t>
            </w:r>
          </w:p>
        </w:tc>
        <w:tc>
          <w:tcPr>
            <w:tcW w:w="6560" w:type="dxa"/>
            <w:vAlign w:val="bottom"/>
            <w:shd w:val="clear" w:color="auto" w:fill="CCEEFF"/>
          </w:tcPr>
          <w:p>
            <w:pPr>
              <w:spacing w:after="0"/>
              <w:rPr>
                <w:sz w:val="17"/>
                <w:szCs w:val="17"/>
                <w:color w:val="auto"/>
              </w:rPr>
            </w:pPr>
          </w:p>
        </w:tc>
      </w:tr>
      <w:tr>
        <w:trPr>
          <w:trHeight w:val="215"/>
        </w:trPr>
        <w:tc>
          <w:tcPr>
            <w:tcW w:w="4680" w:type="dxa"/>
            <w:vAlign w:val="bottom"/>
          </w:tcPr>
          <w:p>
            <w:pPr>
              <w:ind w:left="160"/>
              <w:spacing w:after="0"/>
              <w:rPr>
                <w:sz w:val="20"/>
                <w:szCs w:val="20"/>
                <w:color w:val="auto"/>
              </w:rPr>
            </w:pPr>
            <w:r>
              <w:rPr>
                <w:rFonts w:ascii="Arial" w:cs="Arial" w:eastAsia="Arial" w:hAnsi="Arial"/>
                <w:sz w:val="17"/>
                <w:szCs w:val="17"/>
                <w:color w:val="auto"/>
              </w:rPr>
              <w:t>South Plains Financial Capital Trusts (SPFCT) III-V</w:t>
            </w:r>
          </w:p>
        </w:tc>
        <w:tc>
          <w:tcPr>
            <w:tcW w:w="6560" w:type="dxa"/>
            <w:vAlign w:val="bottom"/>
          </w:tcPr>
          <w:p>
            <w:pPr>
              <w:ind w:left="960"/>
              <w:spacing w:after="0"/>
              <w:rPr>
                <w:sz w:val="20"/>
                <w:szCs w:val="20"/>
                <w:color w:val="auto"/>
              </w:rPr>
            </w:pPr>
            <w:r>
              <w:rPr>
                <w:rFonts w:ascii="Arial" w:cs="Arial" w:eastAsia="Arial" w:hAnsi="Arial"/>
                <w:sz w:val="17"/>
                <w:szCs w:val="17"/>
                <w:color w:val="auto"/>
              </w:rPr>
              <w:t>Non-bank subsidiaries</w:t>
            </w:r>
          </w:p>
        </w:tc>
      </w:tr>
    </w:tbl>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u w:val="single" w:color="auto"/>
          <w:color w:val="auto"/>
        </w:rPr>
        <w:t>Basis of Presentation and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consolidated financial statements include the accounts of SPFI and its wholly-owned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referred to as the “Company”) identified above. All significant intercompany balances and transactions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consolidated financial statements are prepared and presented in accordance with generally accepted accounting principles (“GAAP”) in the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Financial Accounting Standards Board (“FASB”) Accounting Standards Codification (“ASC”) </w:t>
      </w:r>
      <w:r>
        <w:rPr>
          <w:rFonts w:ascii="Arial" w:cs="Arial" w:eastAsia="Arial" w:hAnsi="Arial"/>
          <w:sz w:val="17"/>
          <w:szCs w:val="17"/>
          <w:color w:val="auto"/>
        </w:rPr>
        <w:t>constitutes GAAP for nongovernmental entities.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u w:val="single" w:color="auto"/>
          <w:color w:val="auto"/>
        </w:rPr>
        <w:t>Use of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 The preparation of financial statements in conformity with GAAP requires management to make estimates and assumptions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Concentration of 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 The bank subsidiary is primarily involved in real estate, commercial, agricultural, and consumer lending activities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Comprehensive Income (Loss)</w:t>
      </w:r>
      <w:r>
        <w:rPr>
          <w:rFonts w:ascii="Arial" w:cs="Arial" w:eastAsia="Arial" w:hAnsi="Arial"/>
          <w:sz w:val="16"/>
          <w:szCs w:val="16"/>
          <w:i w:val="1"/>
          <w:iCs w:val="1"/>
          <w:color w:val="auto"/>
        </w:rPr>
        <w:t xml:space="preserve"> </w:t>
      </w:r>
      <w:r>
        <w:rPr>
          <w:rFonts w:ascii="Arial" w:cs="Arial" w:eastAsia="Arial" w:hAnsi="Arial"/>
          <w:sz w:val="16"/>
          <w:szCs w:val="16"/>
          <w:color w:val="auto"/>
        </w:rPr>
        <w:t>– Comprehensive income (loss) is comprised of net income or loss and other comprehensive income or loss (“OCI”).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examples of OCI items are unrealized holding gains and losses on securities available for sale, subsequent decreases (if not an other-than-temporary impairment) or increases in the fair value of securities available for sale previously written down as impaired, and net gains and losses on fair value hedges.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includes all cash on hand, balances due from other banks, and federal funds sold, all of which have original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three months, as cash and cash equivalents in the accompanying consolidated financial statements. On March 15, 2020, the Federal Reserve Bank announced that it had reduced regulatory reserve requirements to zero percent effective on March 26, 2020; therefore, no cash is required to be maintained to satisfy regulatory reserve requirements.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u w:val="single" w:color="auto"/>
          <w:color w:val="auto"/>
        </w:rPr>
        <w:t>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Investment securities may be classified into trading, held to maturity (“HTM”) or available for sale (“AFS”) portfolios. Securities that are held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u w:val="single" w:color="auto"/>
          <w:color w:val="auto"/>
        </w:rPr>
        <w:t>Nonmarketable Equity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Securities with limited marketability, such as stock in the Federal Home Loan Bank of Dallas (“FHLB”), are carried at cost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u w:val="single" w:color="auto"/>
          <w:color w:val="auto"/>
        </w:rPr>
        <w:t>Loans</w:t>
      </w:r>
      <w:r>
        <w:rPr>
          <w:rFonts w:ascii="Arial" w:cs="Arial" w:eastAsia="Arial" w:hAnsi="Arial"/>
          <w:sz w:val="16"/>
          <w:szCs w:val="16"/>
          <w:i w:val="1"/>
          <w:iCs w:val="1"/>
          <w:color w:val="auto"/>
        </w:rPr>
        <w:t xml:space="preserve"> </w:t>
      </w:r>
      <w:r>
        <w:rPr>
          <w:rFonts w:ascii="Arial" w:cs="Arial" w:eastAsia="Arial" w:hAnsi="Arial"/>
          <w:sz w:val="16"/>
          <w:szCs w:val="16"/>
          <w:color w:val="auto"/>
        </w:rPr>
        <w:t>– Loans that management has the intent and ability to hold for the foreseeable future or until maturity or payoff are reported at their outstanding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6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u w:val="single" w:color="auto"/>
          <w:color w:val="auto"/>
        </w:rPr>
        <w:t>Allowance for Loan Losses</w:t>
      </w:r>
      <w:r>
        <w:rPr>
          <w:rFonts w:ascii="Arial" w:cs="Arial" w:eastAsia="Arial" w:hAnsi="Arial"/>
          <w:sz w:val="15"/>
          <w:szCs w:val="15"/>
          <w:i w:val="1"/>
          <w:iCs w:val="1"/>
          <w:color w:val="auto"/>
        </w:rPr>
        <w:t xml:space="preserve"> </w:t>
      </w:r>
      <w:r>
        <w:rPr>
          <w:rFonts w:ascii="Arial" w:cs="Arial" w:eastAsia="Arial" w:hAnsi="Arial"/>
          <w:sz w:val="15"/>
          <w:szCs w:val="15"/>
          <w:color w:val="auto"/>
        </w:rPr>
        <w:t>– The allowance for loan losses is established by management as an estimate to cover probable loan losses through a provision for loan</w:t>
      </w:r>
      <w:r>
        <w:rPr>
          <w:rFonts w:ascii="Arial" w:cs="Arial" w:eastAsia="Arial" w:hAnsi="Arial"/>
          <w:sz w:val="15"/>
          <w:szCs w:val="15"/>
          <w:i w:val="1"/>
          <w:iCs w:val="1"/>
          <w:color w:val="auto"/>
        </w:rPr>
        <w:t xml:space="preserve"> </w:t>
      </w:r>
      <w:r>
        <w:rPr>
          <w:rFonts w:ascii="Arial" w:cs="Arial" w:eastAsia="Arial" w:hAnsi="Arial"/>
          <w:sz w:val="15"/>
          <w:szCs w:val="15"/>
          <w:color w:val="auto"/>
        </w:rPr>
        <w:t>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Acquired Loans</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that the Company acquires in connection with business combinations are recorded at fair value with no carryover of the acquired entity’s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Any loans the Company determines have evidence of deterioration of credit quality since origination, and it is probable, at acquisition, that all contractually required payments will not be collected, are considered to be purchase credit impaired loans. 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FASB ASC 310-30, </w:t>
      </w:r>
      <w:r>
        <w:rPr>
          <w:rFonts w:ascii="Arial" w:cs="Arial" w:eastAsia="Arial" w:hAnsi="Arial"/>
          <w:sz w:val="15"/>
          <w:szCs w:val="15"/>
          <w:i w:val="1"/>
          <w:iCs w:val="1"/>
          <w:color w:val="auto"/>
        </w:rPr>
        <w:t>Loans and Debt Securities Acquired with Deteriorated Credit Quality.</w:t>
      </w:r>
      <w:r>
        <w:rPr>
          <w:rFonts w:ascii="Arial" w:cs="Arial" w:eastAsia="Arial" w:hAnsi="Arial"/>
          <w:sz w:val="15"/>
          <w:szCs w:val="15"/>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Loans acquired through business combinations that do not meet the specific criteria of ASC 310-30 are accounted for under ASC 310-20,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t>
      </w:r>
      <w:r>
        <w:rPr>
          <w:rFonts w:ascii="Arial" w:cs="Arial" w:eastAsia="Arial" w:hAnsi="Arial"/>
          <w:sz w:val="17"/>
          <w:szCs w:val="17"/>
          <w:i w:val="1"/>
          <w:iCs w:val="1"/>
          <w:color w:val="auto"/>
        </w:rPr>
        <w:t>Nonrefundable Fees and Other Costs</w:t>
      </w:r>
      <w:r>
        <w:rPr>
          <w:rFonts w:ascii="Arial" w:cs="Arial" w:eastAsia="Arial" w:hAnsi="Arial"/>
          <w:sz w:val="17"/>
          <w:szCs w:val="17"/>
          <w:color w:val="auto"/>
        </w:rPr>
        <w:t>. These loans are initially recorded at fair value, and include credit and interest rate marks associated with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i w:val="1"/>
          <w:iCs w:val="1"/>
          <w:color w:val="auto"/>
        </w:rPr>
        <w:t xml:space="preserve"> </w:t>
      </w:r>
      <w:r>
        <w:rPr>
          <w:rFonts w:ascii="Arial" w:cs="Arial" w:eastAsia="Arial" w:hAnsi="Arial"/>
          <w:sz w:val="17"/>
          <w:szCs w:val="17"/>
          <w:color w:val="auto"/>
        </w:rPr>
        <w:t>– When mortgage loans are sold with servicing retained, servicing rights are initially recorded at fair value with the income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7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Under the fair value measurement method, the Company measures servicing rights at fair value at each reporting date and reports changes in the fair value of servicing rights in earnings in the period in which the changes occur, and are included with Other mortgage banking income in the consolidated financial statements. The fair value of servicing rights are subject to significant fluctuations as a result of changes in estimated and actual prepayment speeds and default rates and losses.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Servicing fee income, which is reported in the consolidated financial statements as Other mortgage banking income, is recorded for fees earned for servicing loans. The fees are based on a contractual percentage of the outstanding principal or a fixed amount per loan and recorded when income is earned. Servicing income was $4.1 million, $3.1 million, and $781 thousand for the years ended December 31, 2022, 2021, and 2020, respectively.</w:t>
      </w:r>
    </w:p>
    <w:p>
      <w:pPr>
        <w:spacing w:after="0" w:line="17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i w:val="1"/>
          <w:iCs w:val="1"/>
          <w:u w:val="single" w:color="auto"/>
          <w:color w:val="auto"/>
        </w:rPr>
        <w:t>Transfers of Financial Assets</w:t>
      </w:r>
      <w:r>
        <w:rPr>
          <w:rFonts w:ascii="Arial" w:cs="Arial" w:eastAsia="Arial" w:hAnsi="Arial"/>
          <w:sz w:val="15"/>
          <w:szCs w:val="15"/>
          <w:i w:val="1"/>
          <w:iCs w:val="1"/>
          <w:color w:val="auto"/>
        </w:rPr>
        <w:t xml:space="preserve"> </w:t>
      </w:r>
      <w:r>
        <w:rPr>
          <w:rFonts w:ascii="Arial" w:cs="Arial" w:eastAsia="Arial" w:hAnsi="Arial"/>
          <w:sz w:val="15"/>
          <w:szCs w:val="15"/>
          <w:color w:val="auto"/>
        </w:rPr>
        <w:t>– Transfers of financial assets are accounted for as sales, when control over the assets has been relinquished. Control over transferred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Loans Held for Sale</w:t>
      </w:r>
      <w:r>
        <w:rPr>
          <w:rFonts w:ascii="Arial" w:cs="Arial" w:eastAsia="Arial" w:hAnsi="Arial"/>
          <w:sz w:val="17"/>
          <w:szCs w:val="17"/>
          <w:i w:val="1"/>
          <w:iCs w:val="1"/>
          <w:color w:val="auto"/>
        </w:rPr>
        <w:t xml:space="preserve"> </w:t>
      </w:r>
      <w:r>
        <w:rPr>
          <w:rFonts w:ascii="Arial" w:cs="Arial" w:eastAsia="Arial" w:hAnsi="Arial"/>
          <w:sz w:val="17"/>
          <w:szCs w:val="17"/>
          <w:color w:val="auto"/>
        </w:rPr>
        <w:t>– Loans held for sale are comprised of residential mortgage loans. Loans that are originated for best efforts delivery are carried at the lower of</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cost or fair value as determined by aggregate outstanding commitments from investors or current investor yield requirements. All other loans held for sale are carried at fair value under the fair value option. Loans sold are typically subject to certain indemnification provisions with the investor; management does not believe these provisions will have any significant consequences.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Premises and Equipment</w:t>
      </w:r>
      <w:r>
        <w:rPr>
          <w:rFonts w:ascii="Arial" w:cs="Arial" w:eastAsia="Arial" w:hAnsi="Arial"/>
          <w:sz w:val="15"/>
          <w:szCs w:val="15"/>
          <w:i w:val="1"/>
          <w:iCs w:val="1"/>
          <w:color w:val="auto"/>
        </w:rPr>
        <w:t xml:space="preserve"> </w:t>
      </w:r>
      <w:r>
        <w:rPr>
          <w:rFonts w:ascii="Arial" w:cs="Arial" w:eastAsia="Arial" w:hAnsi="Arial"/>
          <w:sz w:val="15"/>
          <w:szCs w:val="15"/>
          <w:color w:val="auto"/>
        </w:rPr>
        <w:t>– Land is carried at cost. Buildings and equipment are carried at cost, less accumulated depreciation computed on the straight-line method.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Buildings and improvements are depreciated on a useful life up to 40 years. Furniture and equipment are depreciated on a useful life between 3 to 10 years.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Foreclosed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Assets acquired through, or in lieu of, loan foreclosure or repossession are held for sale and are initially recorded at fair value less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Bank-Owned Life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 The bank subsidiary has purchased life insurance policies on various officers and also is the beneficiary. These policies are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party insurance companies. Assets are carried at the cash surrender value and changes in the cash surrender values are recognized in other noninterest income in the accompanying consolidated financial statements.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Goodwill and Other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Goodwill resulting from business combinations is generally determined as the excess of the fair value of the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impairment recorded for the years ended December 31, 2022, 2021 and 2020, respectively.</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remaining other intangible assets consist of customer relationship and employment agreement intangible assets and are amortized over their estimated useful lives of 5 years using the straight-line method.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Mortgage Banking 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Commitments to fund mortgage loans (interest rate locks) to be sold into the secondary market, forward commitments for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 These mortgage banking derivatives are not designated in hedge relationships.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rate on the loan is locked.</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order to hedge the change in interest rates resulting from all other mortgage commitments to fund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rate on the loan is locked. Changes in the fair values of these derivatives are included in net gain on sales of loans in the consolidated financial statements.</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 Company’s intentions and belief as</w:t>
      </w:r>
      <w:r>
        <w:rPr>
          <w:rFonts w:ascii="Arial" w:cs="Arial" w:eastAsia="Arial" w:hAnsi="Arial"/>
          <w:sz w:val="17"/>
          <w:szCs w:val="17"/>
          <w:i w:val="1"/>
          <w:iCs w:val="1"/>
          <w:color w:val="auto"/>
        </w:rPr>
        <w:t xml:space="preserve"> </w:t>
      </w:r>
      <w:r>
        <w:rPr>
          <w:rFonts w:ascii="Arial" w:cs="Arial" w:eastAsia="Arial" w:hAnsi="Arial"/>
          <w:sz w:val="17"/>
          <w:szCs w:val="17"/>
          <w:color w:val="auto"/>
        </w:rPr>
        <w:t>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(loss)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u w:val="single" w:color="auto"/>
          <w:color w:val="auto"/>
        </w:rPr>
        <w:t>Leases</w:t>
      </w:r>
      <w:r>
        <w:rPr>
          <w:rFonts w:ascii="Arial" w:cs="Arial" w:eastAsia="Arial" w:hAnsi="Arial"/>
          <w:sz w:val="15"/>
          <w:szCs w:val="15"/>
          <w:i w:val="1"/>
          <w:iCs w:val="1"/>
          <w:color w:val="auto"/>
        </w:rPr>
        <w:t xml:space="preserve"> </w:t>
      </w:r>
      <w:r>
        <w:rPr>
          <w:rFonts w:ascii="Arial" w:cs="Arial" w:eastAsia="Arial" w:hAnsi="Arial"/>
          <w:sz w:val="15"/>
          <w:szCs w:val="15"/>
          <w:color w:val="auto"/>
        </w:rPr>
        <w:t>– During the second quarter of 2022, the Company adopted Accounting Standards Update (“ASU”) No. 2016-02 — Leases (Topic 842), effective as of</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 2022, using the alternative transition method under the option to apply the lease standard at its effective date without adjusting the prior period comparative financial statements. The Company elected the package of practical expedients to not reassess: (i) whether any existing contracts are or contain a lease,</w:t>
      </w:r>
    </w:p>
    <w:p>
      <w:pPr>
        <w:spacing w:after="0" w:line="2" w:lineRule="exact"/>
        <w:rPr>
          <w:sz w:val="20"/>
          <w:szCs w:val="20"/>
          <w:color w:val="auto"/>
        </w:rPr>
      </w:pPr>
    </w:p>
    <w:p>
      <w:pPr>
        <w:jc w:val="both"/>
        <w:ind w:firstLine="2"/>
        <w:spacing w:after="0" w:line="253" w:lineRule="auto"/>
        <w:tabs>
          <w:tab w:leader="none" w:pos="27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lease classification of any existing leases, and (iii) initial direct costs related to existing leases. The Company also elected to apply additional practical expedients to include both the lease and nonlease components of all leases as a single component and account for it as a lease and to use hindsight for leases existing at the adoption date. The Company recorded a $9.4 million right-of-use (“ROU”) asset, offset by a $10.3 million lease liability, and a $717 thousand, net of tax, cumulative effect adjustment debit to retained earnings.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 (Loss).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u w:val="single" w:color="auto"/>
          <w:color w:val="auto"/>
        </w:rPr>
        <w:t>Revenue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majority of the Company’s revenues come from interest income and other sources, including loans, securities and derivatives,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the scope of ASC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OREO. Substantially all of the Company’s revenue is generated from contracts with customers. Noninterest income streams within the scope of Topic 606 are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Charges on Deposit Accounts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 Card Services and Interchange Fees</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Commissions and Fiduciary Trust Fees</w:t>
      </w:r>
    </w:p>
    <w:p>
      <w:pPr>
        <w:spacing w:after="0" w:line="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addition, certain trust customers have contracted with the Company to provide trust dissolution services, which are based on a unitary management fee treated as a single performance obligation. The Company’s performance obligation is satisfied over time 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 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Gains/Losses on Sales of OREO</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2022 and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Acquisition Costs</w:t>
      </w:r>
    </w:p>
    <w:p>
      <w:pPr>
        <w:spacing w:after="0" w:line="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Insurance Activities</w:t>
      </w:r>
    </w:p>
    <w:p>
      <w:pPr>
        <w:spacing w:after="0" w:line="2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Company’s primary source of revenues for insurance activities are commissions from underwriting enterprises, based on a percentage of premiums paid by clients. These commissions and fees revenues are substantially recognized at a point in time on the effective date of the associated policies when control of the policy transfers to the client. Commissions are fixed at the contract effective date and generally are based on a percentage of premiums for insurance coverage. Commissions depend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sponsors an equity incentive plan under which options to acquire shares of the Company’s common stock may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u w:val="single" w:color="auto"/>
          <w:color w:val="auto"/>
        </w:rPr>
        <w:t>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 Advertising costs are recognized when incurred. Advertising costs during 2022, 2021, and 2020 were approximately $3.1 million, $2.6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$2.6 million, respectively.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u w:val="single" w:color="auto"/>
          <w:color w:val="auto"/>
        </w:rPr>
        <w:t>Income Taxes</w:t>
      </w:r>
      <w:r>
        <w:rPr>
          <w:rFonts w:ascii="Arial" w:cs="Arial" w:eastAsia="Arial" w:hAnsi="Arial"/>
          <w:sz w:val="15"/>
          <w:szCs w:val="15"/>
          <w:i w:val="1"/>
          <w:iCs w:val="1"/>
          <w:color w:val="auto"/>
        </w:rPr>
        <w:t xml:space="preserve"> </w:t>
      </w:r>
      <w:r>
        <w:rPr>
          <w:rFonts w:ascii="Arial" w:cs="Arial" w:eastAsia="Arial" w:hAnsi="Arial"/>
          <w:sz w:val="15"/>
          <w:szCs w:val="15"/>
          <w:color w:val="auto"/>
        </w:rPr>
        <w:t>– The Company files a consolidated federal income tax return including the results of its wholly owned subsidiary, the Bank. The Company estimates</w:t>
      </w:r>
      <w:r>
        <w:rPr>
          <w:rFonts w:ascii="Arial" w:cs="Arial" w:eastAsia="Arial" w:hAnsi="Arial"/>
          <w:sz w:val="15"/>
          <w:szCs w:val="15"/>
          <w:i w:val="1"/>
          <w:iCs w:val="1"/>
          <w:color w:val="auto"/>
        </w:rPr>
        <w:t xml:space="preserve"> </w:t>
      </w:r>
      <w:r>
        <w:rPr>
          <w:rFonts w:ascii="Arial" w:cs="Arial" w:eastAsia="Arial" w:hAnsi="Arial"/>
          <w:sz w:val="15"/>
          <w:szCs w:val="15"/>
          <w:color w:val="auto"/>
        </w:rPr>
        <w:t>income taxes payable based on the amount it expects to owe. Income tax expense is the total of the current year income tax due or refundable and the change in deferred tax assets and liabilities (excluding deferred tax assets and liabilities related to components of other comprehensive income (loss)).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State of Texas franchise tax is an income tax for financial reporting purposes under GAAP and the Company and its subsidiaries are subject to the modified tax as a combined group.</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u w:val="single" w:color="auto"/>
          <w:color w:val="auto"/>
        </w:rPr>
        <w:t>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 Basic earnings per share is net income divided by the weighted average number of common shares outstanding during the period. Shares held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South Plains Financial, Inc. Employee Stock Ownership Plan (“ESOP”)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Fair Values of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Fair values of financial instruments are estimated using relevant market information and other assumptions, as more fully</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Note 22. Fair value estimates involve uncertainties and matters of significant judgment. Changes in assumptions or in market conditions could significantly affect estimates.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u w:val="single" w:color="auto"/>
          <w:color w:val="auto"/>
        </w:rPr>
        <w:t>Trust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Custodial assets of City Bank’s trust department, other than cash on deposit at City Bank, if any, are not included in the accompanying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because they are not assets of City Bank.</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Segment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has two reportable segments: banking and insurance. The accounting policies of the segments are the same as those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summary of significant accounting policies. The Company’s reportable segments are strategic business units that offer different products and services. Operations are managed and financial performance is evaluated on a Company-wide basis.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Certain amounts in the 2020 and 2021 consolidated financial statements have been reclassified to conform to the 2022 presentation.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Recent Accounting Pronouncements</w:t>
      </w:r>
      <w:r>
        <w:rPr>
          <w:rFonts w:ascii="Arial" w:cs="Arial" w:eastAsia="Arial" w:hAnsi="Arial"/>
          <w:sz w:val="17"/>
          <w:szCs w:val="17"/>
          <w:i w:val="1"/>
          <w:iCs w:val="1"/>
          <w:color w:val="auto"/>
        </w:rPr>
        <w:t xml:space="preserve"> </w:t>
      </w:r>
      <w:r>
        <w:rPr>
          <w:rFonts w:ascii="Arial" w:cs="Arial" w:eastAsia="Arial" w:hAnsi="Arial"/>
          <w:sz w:val="17"/>
          <w:szCs w:val="17"/>
          <w:color w:val="auto"/>
        </w:rPr>
        <w:t>– Updates to ASC are prescribed in ASU, which are not authoritative until incorporated into the ASC.</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ASU 2021-01, Reference Rate Reform (Topic 848)</w:t>
      </w:r>
      <w:r>
        <w:rPr>
          <w:rFonts w:ascii="Arial" w:cs="Arial" w:eastAsia="Arial" w:hAnsi="Arial"/>
          <w:sz w:val="16"/>
          <w:szCs w:val="16"/>
          <w:color w:val="auto"/>
        </w:rPr>
        <w:t>. In January 2021, the FASB issued ASU 2021-01 to clarify the scope of Topic 848 so that derivatives affected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color w:val="auto"/>
        </w:rPr>
        <w:t xml:space="preserve">ASU 2020-04, Reference Rate Reform (Topic 848): Facilitation of the Effects of Reference Rate Reform on Financial Reporting. </w:t>
      </w:r>
      <w:r>
        <w:rPr>
          <w:rFonts w:ascii="Arial" w:cs="Arial" w:eastAsia="Arial" w:hAnsi="Arial"/>
          <w:sz w:val="15"/>
          <w:szCs w:val="15"/>
          <w:color w:val="auto"/>
        </w:rPr>
        <w:t>In March 2020, the FASB issued</w:t>
      </w:r>
      <w:r>
        <w:rPr>
          <w:rFonts w:ascii="Arial" w:cs="Arial" w:eastAsia="Arial" w:hAnsi="Arial"/>
          <w:sz w:val="15"/>
          <w:szCs w:val="15"/>
          <w:i w:val="1"/>
          <w:iCs w:val="1"/>
          <w:color w:val="auto"/>
        </w:rPr>
        <w:t xml:space="preserve"> </w:t>
      </w:r>
      <w:r>
        <w:rPr>
          <w:rFonts w:ascii="Arial" w:cs="Arial" w:eastAsia="Arial" w:hAnsi="Arial"/>
          <w:sz w:val="15"/>
          <w:szCs w:val="15"/>
          <w:color w:val="auto"/>
        </w:rPr>
        <w:t>ASU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ASU 2019-12, Income Taxes, Simplifying the Accounting for Income Taxes (Topic 740). </w:t>
      </w:r>
      <w:r>
        <w:rPr>
          <w:rFonts w:ascii="Arial" w:cs="Arial" w:eastAsia="Arial" w:hAnsi="Arial"/>
          <w:sz w:val="16"/>
          <w:szCs w:val="16"/>
          <w:color w:val="auto"/>
        </w:rPr>
        <w:t>In December 2019, the FASB issued ASU 2019-12 to simplify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ASU 2017-04, Intangibles - Goodwill and Other (Topic 350). </w:t>
      </w:r>
      <w:r>
        <w:rPr>
          <w:rFonts w:ascii="Arial" w:cs="Arial" w:eastAsia="Arial" w:hAnsi="Arial"/>
          <w:sz w:val="17"/>
          <w:szCs w:val="17"/>
          <w:color w:val="auto"/>
        </w:rPr>
        <w:t>This ASU simplifies the accounting for goodwill impairment for all entities by eliminating Step 2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material impact on its financial statements.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color w:val="auto"/>
        </w:rPr>
        <w:t xml:space="preserve">ASU 2016-13 Financial Instruments - Credit Losses (Topic 326). </w:t>
      </w:r>
      <w:r>
        <w:rPr>
          <w:rFonts w:ascii="Arial" w:cs="Arial" w:eastAsia="Arial" w:hAnsi="Arial"/>
          <w:sz w:val="15"/>
          <w:szCs w:val="15"/>
          <w:color w:val="auto"/>
        </w:rPr>
        <w:t>The FASB issued guidance to replace the incurred loss model with an expected loss model,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The Company adopted CECL on January 1, 2023 and anticipates recognizing a one-time, after tax cumulative effect charge of approximately $900 thousand to retained earnings at the beginning of the first quarter of 2023, increasing the allowance for credit losses by approximately $100 thousand and increasing the off-balance sheet reserve for unfunded commitments by approximately $1.0 million. The allowance for credit losses at the transition date may vary from our estimate due to refinements in the loss estimation models or factors.</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u w:val="single" w:color="auto"/>
          <w:color w:val="auto"/>
        </w:rPr>
        <w:t>Subsequent Events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has evaluated subsequent events and transactions from December 31, 2022 through the date this Form 10-K was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for potential recognition or disclosure as required by GAAP.</w:t>
      </w:r>
    </w:p>
    <w:p>
      <w:pPr>
        <w:spacing w:after="0" w:line="165" w:lineRule="exact"/>
        <w:rPr>
          <w:sz w:val="20"/>
          <w:szCs w:val="20"/>
          <w:color w:val="auto"/>
        </w:rPr>
      </w:pPr>
    </w:p>
    <w:p>
      <w:pPr>
        <w:ind w:left="300" w:hanging="298"/>
        <w:spacing w:after="0"/>
        <w:tabs>
          <w:tab w:leader="none" w:pos="30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SECURITIES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 of securities, with gross unrealized gains and losses, at year-end follow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left="99"/>
              <w:spacing w:after="0"/>
              <w:rPr>
                <w:sz w:val="20"/>
                <w:szCs w:val="20"/>
                <w:color w:val="auto"/>
              </w:rPr>
            </w:pPr>
            <w:r>
              <w:rPr>
                <w:rFonts w:ascii="Arial" w:cs="Arial" w:eastAsia="Arial" w:hAnsi="Arial"/>
                <w:sz w:val="17"/>
                <w:szCs w:val="17"/>
                <w:b w:val="1"/>
                <w:bCs w:val="1"/>
                <w:color w:val="auto"/>
                <w:w w:val="85"/>
              </w:rPr>
              <w:t>Gross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Gross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Amortized</w:t>
            </w:r>
          </w:p>
        </w:tc>
        <w:tc>
          <w:tcPr>
            <w:tcW w:w="960" w:type="dxa"/>
            <w:vAlign w:val="bottom"/>
          </w:tcPr>
          <w:p>
            <w:pPr>
              <w:jc w:val="center"/>
              <w:ind w:left="79"/>
              <w:spacing w:after="0"/>
              <w:rPr>
                <w:sz w:val="20"/>
                <w:szCs w:val="20"/>
                <w:color w:val="auto"/>
              </w:rPr>
            </w:pPr>
            <w:r>
              <w:rPr>
                <w:rFonts w:ascii="Arial" w:cs="Arial" w:eastAsia="Arial" w:hAnsi="Arial"/>
                <w:sz w:val="17"/>
                <w:szCs w:val="17"/>
                <w:b w:val="1"/>
                <w:bCs w:val="1"/>
                <w:color w:val="auto"/>
                <w:w w:val="92"/>
              </w:rPr>
              <w:t>Unrealized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Unrealized</w:t>
            </w:r>
          </w:p>
        </w:tc>
        <w:tc>
          <w:tcPr>
            <w:tcW w:w="22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Fair</w:t>
            </w:r>
          </w:p>
        </w:tc>
      </w:tr>
      <w:tr>
        <w:trPr>
          <w:trHeight w:val="226"/>
        </w:trPr>
        <w:tc>
          <w:tcPr>
            <w:tcW w:w="13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Cost</w:t>
            </w:r>
          </w:p>
        </w:tc>
        <w:tc>
          <w:tcPr>
            <w:tcW w:w="960" w:type="dxa"/>
            <w:vAlign w:val="bottom"/>
          </w:tcPr>
          <w:p>
            <w:pPr>
              <w:jc w:val="center"/>
              <w:ind w:left="99"/>
              <w:spacing w:after="0"/>
              <w:rPr>
                <w:sz w:val="20"/>
                <w:szCs w:val="20"/>
                <w:color w:val="auto"/>
              </w:rPr>
            </w:pPr>
            <w:r>
              <w:rPr>
                <w:rFonts w:ascii="Arial" w:cs="Arial" w:eastAsia="Arial" w:hAnsi="Arial"/>
                <w:sz w:val="17"/>
                <w:szCs w:val="17"/>
                <w:b w:val="1"/>
                <w:bCs w:val="1"/>
                <w:color w:val="auto"/>
                <w:w w:val="88"/>
              </w:rPr>
              <w:t>Gains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78"/>
              </w:rPr>
              <w:t>Losses</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Value</w:t>
            </w:r>
          </w:p>
        </w:tc>
      </w:tr>
      <w:tr>
        <w:trPr>
          <w:trHeight w:val="166"/>
        </w:trPr>
        <w:tc>
          <w:tcPr>
            <w:tcW w:w="138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b w:val="1"/>
                <w:bCs w:val="1"/>
                <w:color w:val="auto"/>
                <w:w w:val="88"/>
              </w:rPr>
              <w:t>December 31</w:t>
            </w:r>
            <w:r>
              <w:rPr>
                <w:rFonts w:ascii="Arial" w:cs="Arial" w:eastAsia="Arial" w:hAnsi="Arial"/>
                <w:sz w:val="17"/>
                <w:szCs w:val="17"/>
                <w:color w:val="auto"/>
                <w:w w:val="88"/>
              </w:rPr>
              <w:t>,</w:t>
            </w:r>
            <w:r>
              <w:rPr>
                <w:rFonts w:ascii="Arial" w:cs="Arial" w:eastAsia="Arial" w:hAnsi="Arial"/>
                <w:sz w:val="17"/>
                <w:szCs w:val="17"/>
                <w:b w:val="1"/>
                <w:bCs w:val="1"/>
                <w:color w:val="auto"/>
                <w:w w:val="88"/>
              </w:rPr>
              <w:t xml:space="preserve"> 2022</w:t>
            </w:r>
          </w:p>
        </w:tc>
        <w:tc>
          <w:tcPr>
            <w:tcW w:w="46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7"/>
                <w:szCs w:val="17"/>
                <w:color w:val="auto"/>
              </w:rPr>
              <w:t>Available for sale: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259,429</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(34,401)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225,055</w:t>
            </w:r>
          </w:p>
        </w:tc>
      </w:tr>
      <w:tr>
        <w:trPr>
          <w:trHeight w:val="204"/>
        </w:trPr>
        <w:tc>
          <w:tcPr>
            <w:tcW w:w="5980" w:type="dxa"/>
            <w:vAlign w:val="bottom"/>
            <w:gridSpan w:val="2"/>
          </w:tcPr>
          <w:p>
            <w:pPr>
              <w:ind w:left="160"/>
              <w:spacing w:after="0"/>
              <w:rPr>
                <w:sz w:val="20"/>
                <w:szCs w:val="20"/>
                <w:color w:val="auto"/>
              </w:rPr>
            </w:pPr>
            <w:r>
              <w:rPr>
                <w:rFonts w:ascii="Arial" w:cs="Arial" w:eastAsia="Arial" w:hAnsi="Arial"/>
                <w:sz w:val="17"/>
                <w:szCs w:val="17"/>
                <w:color w:val="auto"/>
              </w:rPr>
              <w:t>Residential mortgage-backed securities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386,783</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(57,938)</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328,845</w:t>
            </w:r>
          </w:p>
        </w:tc>
      </w:tr>
      <w:tr>
        <w:trPr>
          <w:trHeight w:val="204"/>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Commercial mortgage-backed securities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49,161</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(7,194)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41,967</w:t>
            </w:r>
          </w:p>
        </w:tc>
      </w:tr>
      <w:tr>
        <w:trPr>
          <w:trHeight w:val="204"/>
        </w:trPr>
        <w:tc>
          <w:tcPr>
            <w:tcW w:w="5980" w:type="dxa"/>
            <w:vAlign w:val="bottom"/>
            <w:gridSpan w:val="2"/>
          </w:tcPr>
          <w:p>
            <w:pPr>
              <w:ind w:left="160"/>
              <w:spacing w:after="0"/>
              <w:rPr>
                <w:sz w:val="20"/>
                <w:szCs w:val="20"/>
                <w:color w:val="auto"/>
              </w:rPr>
            </w:pPr>
            <w:r>
              <w:rPr>
                <w:rFonts w:ascii="Arial" w:cs="Arial" w:eastAsia="Arial" w:hAnsi="Arial"/>
                <w:sz w:val="17"/>
                <w:szCs w:val="17"/>
                <w:color w:val="auto"/>
              </w:rPr>
              <w:t>Commercial collateralized mortgage obligations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76,189</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(551)</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75,638</w:t>
            </w:r>
          </w:p>
        </w:tc>
      </w:tr>
      <w:tr>
        <w:trPr>
          <w:trHeight w:val="204"/>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Asset-backed and other amortizing securities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(1,813)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19,094</w:t>
            </w:r>
          </w:p>
        </w:tc>
      </w:tr>
      <w:tr>
        <w:trPr>
          <w:trHeight w:val="209"/>
        </w:trPr>
        <w:tc>
          <w:tcPr>
            <w:tcW w:w="5980" w:type="dxa"/>
            <w:vAlign w:val="bottom"/>
            <w:gridSpan w:val="2"/>
          </w:tcPr>
          <w:p>
            <w:pPr>
              <w:ind w:left="160"/>
              <w:spacing w:after="0"/>
              <w:rPr>
                <w:sz w:val="20"/>
                <w:szCs w:val="20"/>
                <w:color w:val="auto"/>
              </w:rPr>
            </w:pPr>
            <w:r>
              <w:rPr>
                <w:rFonts w:ascii="Arial" w:cs="Arial" w:eastAsia="Arial" w:hAnsi="Arial"/>
                <w:sz w:val="17"/>
                <w:szCs w:val="17"/>
                <w:color w:val="auto"/>
              </w:rPr>
              <w:t>Other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(888)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11,112</w:t>
            </w: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804,469</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(102,785)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701,711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Gross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Amortized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Unrealized</w:t>
            </w:r>
          </w:p>
        </w:tc>
        <w:tc>
          <w:tcPr>
            <w:tcW w:w="22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Fair</w:t>
            </w:r>
          </w:p>
        </w:tc>
      </w:tr>
      <w:tr>
        <w:trPr>
          <w:trHeight w:val="226"/>
        </w:trPr>
        <w:tc>
          <w:tcPr>
            <w:tcW w:w="13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Cost</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78"/>
              </w:rPr>
              <w:t>Losses</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Value</w:t>
            </w:r>
          </w:p>
        </w:tc>
      </w:tr>
      <w:tr>
        <w:trPr>
          <w:trHeight w:val="166"/>
        </w:trPr>
        <w:tc>
          <w:tcPr>
            <w:tcW w:w="138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b w:val="1"/>
                <w:bCs w:val="1"/>
                <w:color w:val="auto"/>
                <w:w w:val="88"/>
              </w:rPr>
              <w:t>December 31, 2021</w:t>
            </w:r>
          </w:p>
        </w:tc>
        <w:tc>
          <w:tcPr>
            <w:tcW w:w="3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4500" w:type="dxa"/>
            <w:vAlign w:val="bottom"/>
            <w:gridSpan w:val="2"/>
          </w:tcPr>
          <w:p>
            <w:pPr>
              <w:spacing w:after="0"/>
              <w:rPr>
                <w:sz w:val="20"/>
                <w:szCs w:val="20"/>
                <w:color w:val="auto"/>
              </w:rPr>
            </w:pPr>
            <w:r>
              <w:rPr>
                <w:rFonts w:ascii="Arial" w:cs="Arial" w:eastAsia="Arial" w:hAnsi="Arial"/>
                <w:sz w:val="17"/>
                <w:szCs w:val="17"/>
                <w:color w:val="auto"/>
              </w:rPr>
              <w:t>Available for sale: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4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State and municipal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265,143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275,672</w:t>
            </w:r>
          </w:p>
        </w:tc>
      </w:tr>
      <w:tr>
        <w:trPr>
          <w:trHeight w:val="204"/>
        </w:trPr>
        <w:tc>
          <w:tcPr>
            <w:tcW w:w="4500" w:type="dxa"/>
            <w:vAlign w:val="bottom"/>
            <w:gridSpan w:val="2"/>
          </w:tcPr>
          <w:p>
            <w:pPr>
              <w:ind w:left="160"/>
              <w:spacing w:after="0"/>
              <w:rPr>
                <w:sz w:val="20"/>
                <w:szCs w:val="20"/>
                <w:color w:val="auto"/>
              </w:rPr>
            </w:pPr>
            <w:r>
              <w:rPr>
                <w:rFonts w:ascii="Arial" w:cs="Arial" w:eastAsia="Arial" w:hAnsi="Arial"/>
                <w:sz w:val="17"/>
                <w:szCs w:val="17"/>
                <w:color w:val="auto"/>
              </w:rPr>
              <w:t>Residential mortgage-backed securities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252,588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(4,114)</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251,601</w:t>
            </w:r>
          </w:p>
        </w:tc>
      </w:tr>
      <w:tr>
        <w:trPr>
          <w:trHeight w:val="204"/>
        </w:trPr>
        <w:tc>
          <w:tcPr>
            <w:tcW w:w="4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Commercial mortgage-backed securities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50,385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51,488</w:t>
            </w:r>
          </w:p>
        </w:tc>
      </w:tr>
      <w:tr>
        <w:trPr>
          <w:trHeight w:val="204"/>
        </w:trPr>
        <w:tc>
          <w:tcPr>
            <w:tcW w:w="4500" w:type="dxa"/>
            <w:vAlign w:val="bottom"/>
            <w:gridSpan w:val="2"/>
          </w:tcPr>
          <w:p>
            <w:pPr>
              <w:ind w:left="160"/>
              <w:spacing w:after="0"/>
              <w:rPr>
                <w:sz w:val="20"/>
                <w:szCs w:val="20"/>
                <w:color w:val="auto"/>
              </w:rPr>
            </w:pPr>
            <w:r>
              <w:rPr>
                <w:rFonts w:ascii="Arial" w:cs="Arial" w:eastAsia="Arial" w:hAnsi="Arial"/>
                <w:sz w:val="17"/>
                <w:szCs w:val="17"/>
                <w:color w:val="auto"/>
              </w:rPr>
              <w:t>Commercial collateralized mortgage obligations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106,733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(413)</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106,320</w:t>
            </w:r>
          </w:p>
        </w:tc>
      </w:tr>
      <w:tr>
        <w:trPr>
          <w:trHeight w:val="204"/>
        </w:trPr>
        <w:tc>
          <w:tcPr>
            <w:tcW w:w="4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Asset-backed and other amortizing securities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26,046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26,936</w:t>
            </w:r>
          </w:p>
        </w:tc>
      </w:tr>
      <w:tr>
        <w:trPr>
          <w:trHeight w:val="209"/>
        </w:trPr>
        <w:tc>
          <w:tcPr>
            <w:tcW w:w="4500" w:type="dxa"/>
            <w:vAlign w:val="bottom"/>
            <w:gridSpan w:val="2"/>
          </w:tcPr>
          <w:p>
            <w:pPr>
              <w:ind w:left="160"/>
              <w:spacing w:after="0"/>
              <w:rPr>
                <w:sz w:val="20"/>
                <w:szCs w:val="20"/>
                <w:color w:val="auto"/>
              </w:rPr>
            </w:pPr>
            <w:r>
              <w:rPr>
                <w:rFonts w:ascii="Arial" w:cs="Arial" w:eastAsia="Arial" w:hAnsi="Arial"/>
                <w:sz w:val="17"/>
                <w:szCs w:val="17"/>
                <w:color w:val="auto"/>
              </w:rPr>
              <w:t>Other securities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12,487</w:t>
            </w: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712,895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724,504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28"/>
        </w:trPr>
        <w:tc>
          <w:tcPr>
            <w:tcW w:w="1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80" w:type="dxa"/>
            <w:vAlign w:val="bottom"/>
          </w:tcPr>
          <w:p>
            <w:pPr>
              <w:jc w:val="right"/>
              <w:ind w:right="204"/>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13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amortized cost and fair value of securities at December 31, 2022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Available for Sale</w:t>
            </w:r>
          </w:p>
        </w:tc>
      </w:tr>
      <w:tr>
        <w:trPr>
          <w:trHeight w:val="187"/>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60"/>
              <w:spacing w:after="0" w:line="187" w:lineRule="exact"/>
              <w:rPr>
                <w:sz w:val="20"/>
                <w:szCs w:val="20"/>
                <w:color w:val="auto"/>
              </w:rPr>
            </w:pPr>
            <w:r>
              <w:rPr>
                <w:rFonts w:ascii="Arial" w:cs="Arial" w:eastAsia="Arial" w:hAnsi="Arial"/>
                <w:sz w:val="17"/>
                <w:szCs w:val="17"/>
                <w:b w:val="1"/>
                <w:bCs w:val="1"/>
                <w:color w:val="auto"/>
                <w:w w:val="91"/>
              </w:rPr>
              <w:t>Amortized</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5"/>
              <w:spacing w:after="0" w:line="187"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Cost</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Value</w:t>
            </w: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After 1 year through 5 years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8,663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8,560</w:t>
            </w: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After 5 years through 10 years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19,508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18,388</w:t>
            </w: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After 10 years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241,360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207,313</w:t>
            </w: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533,040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465,544</w:t>
            </w:r>
          </w:p>
        </w:tc>
      </w:tr>
      <w:tr>
        <w:trPr>
          <w:trHeight w:val="25"/>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804,469</w:t>
            </w:r>
          </w:p>
        </w:tc>
        <w:tc>
          <w:tcPr>
            <w:tcW w:w="24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701,711</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At December 31, 2022 and 2021, there were no holdings of securities of any one issuer, other than the U.S. government, its agencies, or its sponsored enterprises, in an amount greater than 10% of stockholders’ equity.</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Securities with a carrying value of approximately $464.1 million and $474.5 million at December 31, 2022 and 2021, respectively, were pledged to collateralize public deposits and for other purposes as required or permitted by law.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segregates securities with unrealized losses at year-end, by the period they have been in a loss position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Arial" w:cs="Arial" w:eastAsia="Arial" w:hAnsi="Arial"/>
                <w:sz w:val="17"/>
                <w:szCs w:val="17"/>
                <w:b w:val="1"/>
                <w:bCs w:val="1"/>
                <w:color w:val="auto"/>
              </w:rPr>
              <w:t>Less than 12 Months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ind w:left="320"/>
              <w:spacing w:after="0"/>
              <w:rPr>
                <w:sz w:val="20"/>
                <w:szCs w:val="20"/>
                <w:color w:val="auto"/>
              </w:rPr>
            </w:pPr>
            <w:r>
              <w:rPr>
                <w:rFonts w:ascii="Arial" w:cs="Arial" w:eastAsia="Arial" w:hAnsi="Arial"/>
                <w:sz w:val="17"/>
                <w:szCs w:val="17"/>
                <w:b w:val="1"/>
                <w:bCs w:val="1"/>
                <w:color w:val="auto"/>
              </w:rPr>
              <w:t>12 Months or More</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b w:val="1"/>
                <w:bCs w:val="1"/>
                <w:color w:val="auto"/>
              </w:rPr>
              <w:t>Total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80"/>
              <w:spacing w:after="0" w:line="187" w:lineRule="exact"/>
              <w:rPr>
                <w:sz w:val="20"/>
                <w:szCs w:val="20"/>
                <w:color w:val="auto"/>
              </w:rPr>
            </w:pPr>
            <w:r>
              <w:rPr>
                <w:rFonts w:ascii="Arial" w:cs="Arial" w:eastAsia="Arial" w:hAnsi="Arial"/>
                <w:sz w:val="17"/>
                <w:szCs w:val="17"/>
                <w:b w:val="1"/>
                <w:bCs w:val="1"/>
                <w:color w:val="auto"/>
              </w:rPr>
              <w:t>Fair</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5"/>
              <w:spacing w:after="0" w:line="187" w:lineRule="exact"/>
              <w:rPr>
                <w:sz w:val="20"/>
                <w:szCs w:val="20"/>
                <w:color w:val="auto"/>
              </w:rPr>
            </w:pPr>
            <w:r>
              <w:rPr>
                <w:rFonts w:ascii="Arial" w:cs="Arial" w:eastAsia="Arial" w:hAnsi="Arial"/>
                <w:sz w:val="17"/>
                <w:szCs w:val="17"/>
                <w:b w:val="1"/>
                <w:bCs w:val="1"/>
                <w:color w:val="auto"/>
                <w:w w:val="92"/>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20"/>
              <w:spacing w:after="0" w:line="187" w:lineRule="exact"/>
              <w:rPr>
                <w:sz w:val="20"/>
                <w:szCs w:val="20"/>
                <w:color w:val="auto"/>
              </w:rPr>
            </w:pPr>
            <w:r>
              <w:rPr>
                <w:rFonts w:ascii="Arial" w:cs="Arial" w:eastAsia="Arial" w:hAnsi="Arial"/>
                <w:sz w:val="17"/>
                <w:szCs w:val="17"/>
                <w:b w:val="1"/>
                <w:bCs w:val="1"/>
                <w:color w:val="auto"/>
                <w:w w:val="96"/>
              </w:rPr>
              <w:t>Fair</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5"/>
              <w:spacing w:after="0" w:line="187" w:lineRule="exact"/>
              <w:rPr>
                <w:sz w:val="20"/>
                <w:szCs w:val="20"/>
                <w:color w:val="auto"/>
              </w:rPr>
            </w:pPr>
            <w:r>
              <w:rPr>
                <w:rFonts w:ascii="Arial" w:cs="Arial" w:eastAsia="Arial" w:hAnsi="Arial"/>
                <w:sz w:val="17"/>
                <w:szCs w:val="17"/>
                <w:b w:val="1"/>
                <w:bCs w:val="1"/>
                <w:color w:val="auto"/>
                <w:w w:val="90"/>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20"/>
              <w:spacing w:after="0" w:line="187" w:lineRule="exact"/>
              <w:rPr>
                <w:sz w:val="20"/>
                <w:szCs w:val="20"/>
                <w:color w:val="auto"/>
              </w:rPr>
            </w:pPr>
            <w:r>
              <w:rPr>
                <w:rFonts w:ascii="Arial" w:cs="Arial" w:eastAsia="Arial" w:hAnsi="Arial"/>
                <w:sz w:val="17"/>
                <w:szCs w:val="17"/>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5"/>
              <w:spacing w:after="0" w:line="187" w:lineRule="exact"/>
              <w:rPr>
                <w:sz w:val="20"/>
                <w:szCs w:val="20"/>
                <w:color w:val="auto"/>
              </w:rPr>
            </w:pPr>
            <w:r>
              <w:rPr>
                <w:rFonts w:ascii="Arial" w:cs="Arial" w:eastAsia="Arial" w:hAnsi="Arial"/>
                <w:sz w:val="17"/>
                <w:szCs w:val="17"/>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b w:val="1"/>
                <w:bCs w:val="1"/>
                <w:color w:val="auto"/>
              </w:rPr>
              <w:t>Value</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0"/>
              </w:rPr>
              <w:t>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Loss</w:t>
            </w:r>
          </w:p>
        </w:tc>
        <w:tc>
          <w:tcPr>
            <w:tcW w:w="22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8"/>
              </w:rPr>
              <w:t>Value</w:t>
            </w: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Loss</w:t>
            </w:r>
          </w:p>
        </w:tc>
        <w:tc>
          <w:tcPr>
            <w:tcW w:w="0" w:type="dxa"/>
            <w:vAlign w:val="bottom"/>
          </w:tcPr>
          <w:p>
            <w:pPr>
              <w:spacing w:after="0"/>
              <w:rPr>
                <w:sz w:val="1"/>
                <w:szCs w:val="1"/>
                <w:color w:val="auto"/>
              </w:rPr>
            </w:pPr>
          </w:p>
        </w:tc>
      </w:tr>
      <w:tr>
        <w:trPr>
          <w:trHeight w:val="166"/>
        </w:trPr>
        <w:tc>
          <w:tcPr>
            <w:tcW w:w="138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b w:val="1"/>
                <w:bCs w:val="1"/>
                <w:color w:val="auto"/>
                <w:w w:val="88"/>
              </w:rPr>
              <w:t>December 31, 2022</w:t>
            </w:r>
          </w:p>
        </w:tc>
        <w:tc>
          <w:tcPr>
            <w:tcW w:w="19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government and agencies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rPr>
              <w:t>State and municipal</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162,746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23,538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57,675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10,863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220,421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34,401</w:t>
            </w:r>
          </w:p>
        </w:tc>
        <w:tc>
          <w:tcPr>
            <w:tcW w:w="0" w:type="dxa"/>
            <w:vAlign w:val="bottom"/>
          </w:tcPr>
          <w:p>
            <w:pPr>
              <w:spacing w:after="0"/>
              <w:rPr>
                <w:sz w:val="1"/>
                <w:szCs w:val="1"/>
                <w:color w:val="auto"/>
              </w:rPr>
            </w:pPr>
          </w:p>
        </w:tc>
      </w:tr>
      <w:tr>
        <w:trPr>
          <w:trHeight w:val="204"/>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Mortgage-backed securities - residential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220,752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27,967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108,080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29,971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328,832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57,938</w:t>
            </w:r>
          </w:p>
        </w:tc>
        <w:tc>
          <w:tcPr>
            <w:tcW w:w="0" w:type="dxa"/>
            <w:vAlign w:val="bottom"/>
          </w:tcPr>
          <w:p>
            <w:pPr>
              <w:spacing w:after="0"/>
              <w:rPr>
                <w:sz w:val="1"/>
                <w:szCs w:val="1"/>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rPr>
              <w:t>Mortgage-backed securities - commercial</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41,966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7,194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41,966</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7,194</w:t>
            </w:r>
          </w:p>
        </w:tc>
        <w:tc>
          <w:tcPr>
            <w:tcW w:w="0" w:type="dxa"/>
            <w:vAlign w:val="bottom"/>
          </w:tcPr>
          <w:p>
            <w:pPr>
              <w:spacing w:after="0"/>
              <w:rPr>
                <w:sz w:val="1"/>
                <w:szCs w:val="1"/>
                <w:color w:val="auto"/>
              </w:rPr>
            </w:pPr>
          </w:p>
        </w:tc>
      </w:tr>
      <w:tr>
        <w:trPr>
          <w:trHeight w:val="204"/>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Collateralized mortgage obligations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75,638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w w:val="96"/>
              </w:rPr>
              <w:t>Asset-backed and other amortizing securities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1,813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19,094</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1,813</w:t>
            </w:r>
          </w:p>
        </w:tc>
        <w:tc>
          <w:tcPr>
            <w:tcW w:w="0" w:type="dxa"/>
            <w:vAlign w:val="bottom"/>
          </w:tcPr>
          <w:p>
            <w:pPr>
              <w:spacing w:after="0"/>
              <w:rPr>
                <w:sz w:val="1"/>
                <w:szCs w:val="1"/>
                <w:color w:val="auto"/>
              </w:rPr>
            </w:pPr>
          </w:p>
        </w:tc>
      </w:tr>
      <w:tr>
        <w:trPr>
          <w:trHeight w:val="204"/>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securities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888</w:t>
            </w:r>
          </w:p>
        </w:tc>
        <w:tc>
          <w:tcPr>
            <w:tcW w:w="0" w:type="dxa"/>
            <w:vAlign w:val="bottom"/>
          </w:tcPr>
          <w:p>
            <w:pPr>
              <w:spacing w:after="0"/>
              <w:rPr>
                <w:sz w:val="1"/>
                <w:szCs w:val="1"/>
                <w:color w:val="auto"/>
              </w:rPr>
            </w:pPr>
          </w:p>
        </w:tc>
      </w:tr>
      <w:tr>
        <w:trPr>
          <w:trHeight w:val="25"/>
        </w:trPr>
        <w:tc>
          <w:tcPr>
            <w:tcW w:w="13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531,308</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61,951</w:t>
            </w:r>
          </w:p>
        </w:tc>
        <w:tc>
          <w:tcPr>
            <w:tcW w:w="10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165,755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40,834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697,063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102,785</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7"/>
                <w:szCs w:val="17"/>
                <w:b w:val="1"/>
                <w:bCs w:val="1"/>
                <w:color w:val="auto"/>
                <w:w w:val="88"/>
              </w:rPr>
              <w:t>December 31, 2021</w:t>
            </w:r>
          </w:p>
        </w:tc>
        <w:tc>
          <w:tcPr>
            <w:tcW w:w="190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380" w:type="dxa"/>
            <w:vAlign w:val="bottom"/>
            <w:tcBorders>
              <w:bottom w:val="single" w:sz="8" w:color="auto"/>
            </w:tcBorders>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government and agencies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rPr>
              <w:t>State and municipal</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21,255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21,255</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Mortgage-backed securities - residential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56,398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64,764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2,917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4,114</w:t>
            </w:r>
          </w:p>
        </w:tc>
        <w:tc>
          <w:tcPr>
            <w:tcW w:w="0" w:type="dxa"/>
            <w:vAlign w:val="bottom"/>
          </w:tcPr>
          <w:p>
            <w:pPr>
              <w:spacing w:after="0"/>
              <w:rPr>
                <w:sz w:val="1"/>
                <w:szCs w:val="1"/>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rPr>
              <w:t>Mortgage-backed securities - commercial</w:t>
            </w:r>
          </w:p>
        </w:tc>
        <w:tc>
          <w:tcPr>
            <w:tcW w:w="220" w:type="dxa"/>
            <w:vAlign w:val="bottom"/>
          </w:tcPr>
          <w:p>
            <w:pPr>
              <w:spacing w:after="0"/>
              <w:rPr>
                <w:sz w:val="17"/>
                <w:szCs w:val="17"/>
                <w:color w:val="auto"/>
              </w:rPr>
            </w:pPr>
          </w:p>
        </w:tc>
        <w:tc>
          <w:tcPr>
            <w:tcW w:w="114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Collateralized mortgage obligations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106,320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106,320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w w:val="96"/>
              </w:rPr>
              <w:t>Asset-backed and other amortizing securities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4"/>
        </w:trPr>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securities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13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185,597</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1,914</w:t>
            </w:r>
          </w:p>
        </w:tc>
        <w:tc>
          <w:tcPr>
            <w:tcW w:w="10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64,764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2,917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250,361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4,831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-1236345</wp:posOffset>
            </wp:positionV>
            <wp:extent cx="26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There were 170 securities with an unrealized loss at December 31, 2022. Management does not believe that these losses are other than temporary as there is no intent to sell any of these securities before recovery and it is not probable that the Company will be required to sell any of these securities before recovery, and credit loss, if any, is not material. These unrealized losses are largely due to significant increases in market interest rates experienced during 2022 over the yields available at the time the underlying securities were purchased. The fair value is expected to recover as the securities approach their maturity date or if market yields for such investments decline in future periods. Management does not believe any of the securities are impaired due to reasons of credit quality. Accordingly, as of December 31, 2022, management believes the impairments detailed in the table above are temporary and no impairment loss has been realized in the Company’s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5"/>
              </w:rPr>
              <w:t>Table of Contents</w:t>
            </w:r>
          </w:p>
        </w:tc>
        <w:tc>
          <w:tcPr>
            <w:tcW w:w="6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76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3.  LOANS HELD FOR INVESTMENT</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760" w:type="dxa"/>
            <w:vAlign w:val="bottom"/>
            <w:gridSpan w:val="3"/>
          </w:tcPr>
          <w:p>
            <w:pPr>
              <w:spacing w:after="0"/>
              <w:rPr>
                <w:sz w:val="20"/>
                <w:szCs w:val="20"/>
                <w:color w:val="auto"/>
              </w:rPr>
            </w:pPr>
            <w:r>
              <w:rPr>
                <w:rFonts w:ascii="Arial" w:cs="Arial" w:eastAsia="Arial" w:hAnsi="Arial"/>
                <w:sz w:val="17"/>
                <w:szCs w:val="17"/>
                <w:color w:val="auto"/>
              </w:rPr>
              <w:t>Loans held for investment are summarized by category at year-end as follows (dollars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919,358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327,513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378,725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484,783</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460,024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460,124</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387,690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321,476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240,719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81,308</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153,519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146,862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2,748,081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2,437,577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Allowance for loan losses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(39,288)</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(42,098)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68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Loans, net</w:t>
            </w:r>
          </w:p>
        </w:tc>
        <w:tc>
          <w:tcPr>
            <w:tcW w:w="116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2,708,793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2,395,479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u w:val="single" w:color="auto"/>
          <w:color w:val="auto"/>
        </w:rPr>
        <w:t>Commercial – General and Specialized</w:t>
      </w:r>
      <w:r>
        <w:rPr>
          <w:rFonts w:ascii="Arial" w:cs="Arial" w:eastAsia="Arial" w:hAnsi="Arial"/>
          <w:sz w:val="15"/>
          <w:szCs w:val="15"/>
          <w:i w:val="1"/>
          <w:iCs w:val="1"/>
          <w:color w:val="auto"/>
        </w:rPr>
        <w:t xml:space="preserve"> </w:t>
      </w:r>
      <w:r>
        <w:rPr>
          <w:rFonts w:ascii="Arial" w:cs="Arial" w:eastAsia="Arial" w:hAnsi="Arial"/>
          <w:sz w:val="15"/>
          <w:szCs w:val="15"/>
          <w:color w:val="auto"/>
        </w:rPr>
        <w:t>– Commercial loans are underwritten after evaluating and understanding the borrower’s ability to operate profitably.</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15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i w:val="1"/>
          <w:iCs w:val="1"/>
          <w:u w:val="single" w:color="auto"/>
          <w:color w:val="auto"/>
        </w:rPr>
        <w:t>Commercial Real Estate</w:t>
      </w:r>
      <w:r>
        <w:rPr>
          <w:rFonts w:ascii="Arial" w:cs="Arial" w:eastAsia="Arial" w:hAnsi="Arial"/>
          <w:sz w:val="15"/>
          <w:szCs w:val="15"/>
          <w:i w:val="1"/>
          <w:iCs w:val="1"/>
          <w:color w:val="auto"/>
        </w:rPr>
        <w:t xml:space="preserve"> </w:t>
      </w:r>
      <w:r>
        <w:rPr>
          <w:rFonts w:ascii="Arial" w:cs="Arial" w:eastAsia="Arial" w:hAnsi="Arial"/>
          <w:sz w:val="15"/>
          <w:szCs w:val="15"/>
          <w:color w:val="auto"/>
        </w:rPr>
        <w:t>– Commercial real estate loans are also subject to underwriting standards and processes similar to commercial loans. These loans are</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 Loans for residential construction are for single-family properties to developers, builders, or end-users. These loans are underwritten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to consumers include 1-4 family residential loans, auto loans, and other loans for recreational vehicles or other purposes. The Company utilizes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allowance for loan losses was $39.3 million at December 31, 2022, compared to $42.1 million at December 31, 2021. The ratio of allowance for loan losses to loans held for investment was 1.43% at December 31, 2022 and 1.73% at December 31, 2021.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details the activity in the allowance for loan losses for the years ended December 31, 2022, 2021 and 2020 (dollars in thousands). Allocation of a portion of the allowance to one category of loans does not preclude its availability to absorb losses in other categories.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Beginning</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7"/>
              </w:rPr>
              <w:t>Provision for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Ending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Balance</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6"/>
              </w:rPr>
              <w:t>Loan Losses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0"/>
              </w:rPr>
              <w:t>Charge-offs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7"/>
                <w:szCs w:val="17"/>
                <w:b w:val="1"/>
                <w:bCs w:val="1"/>
                <w:color w:val="auto"/>
              </w:rPr>
              <w:t>Recoveries</w:t>
            </w:r>
          </w:p>
        </w:tc>
        <w:tc>
          <w:tcPr>
            <w:tcW w:w="1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8"/>
              </w:rPr>
              <w:t>Balance</w:t>
            </w:r>
          </w:p>
        </w:tc>
        <w:tc>
          <w:tcPr>
            <w:tcW w:w="0" w:type="dxa"/>
            <w:vAlign w:val="bottom"/>
          </w:tcPr>
          <w:p>
            <w:pPr>
              <w:spacing w:after="0"/>
              <w:rPr>
                <w:sz w:val="1"/>
                <w:szCs w:val="1"/>
                <w:color w:val="auto"/>
              </w:rPr>
            </w:pPr>
          </w:p>
        </w:tc>
      </w:tr>
      <w:tr>
        <w:trPr>
          <w:trHeight w:val="166"/>
        </w:trPr>
        <w:tc>
          <w:tcPr>
            <w:tcW w:w="4620" w:type="dxa"/>
            <w:vAlign w:val="bottom"/>
            <w:gridSpan w:val="3"/>
          </w:tcPr>
          <w:p>
            <w:pPr>
              <w:spacing w:after="0" w:line="166" w:lineRule="exact"/>
              <w:rPr>
                <w:sz w:val="20"/>
                <w:szCs w:val="20"/>
                <w:color w:val="auto"/>
              </w:rPr>
            </w:pPr>
            <w:r>
              <w:rPr>
                <w:rFonts w:ascii="Arial" w:cs="Arial" w:eastAsia="Arial" w:hAnsi="Arial"/>
                <w:sz w:val="17"/>
                <w:szCs w:val="17"/>
                <w:color w:val="auto"/>
              </w:rPr>
              <w:t>For the Year Ended December 31, 2022</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(1,745)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1,006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3,425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3,653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144</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3,926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2,123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42,098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(2,619)</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(2,508)</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2,317</w:t>
            </w:r>
          </w:p>
        </w:tc>
        <w:tc>
          <w:tcPr>
            <w:tcW w:w="20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39,288</w:t>
            </w: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68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color w:val="auto"/>
                <w:w w:val="87"/>
              </w:rPr>
              <w:t>For the Year Ended December 31, 2021</w:t>
            </w: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109</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161</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4,363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3,653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45,553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(1,918)</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(2,402)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865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42,098</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7"/>
                <w:szCs w:val="17"/>
                <w:color w:val="auto"/>
              </w:rPr>
              <w:t>For the Year Ended December 31,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2,287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121</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5,760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1-4 family residential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00"/>
              <w:spacing w:after="0"/>
              <w:rPr>
                <w:sz w:val="20"/>
                <w:szCs w:val="20"/>
                <w:color w:val="auto"/>
              </w:rPr>
            </w:pPr>
            <w:r>
              <w:rPr>
                <w:rFonts w:ascii="Arial" w:cs="Arial" w:eastAsia="Arial" w:hAnsi="Arial"/>
                <w:sz w:val="17"/>
                <w:szCs w:val="17"/>
                <w:color w:val="auto"/>
              </w:rPr>
              <w:t>Auto loans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192</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4,226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consumer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388</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627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24,197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25,570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(5,559)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1,345</w:t>
            </w:r>
          </w:p>
        </w:tc>
        <w:tc>
          <w:tcPr>
            <w:tcW w:w="20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shows the Company’s investment in loans disaggregated based on the method of evaluating impairment at the dates indicated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ind w:left="360"/>
              <w:spacing w:after="0"/>
              <w:rPr>
                <w:sz w:val="20"/>
                <w:szCs w:val="20"/>
                <w:color w:val="auto"/>
              </w:rPr>
            </w:pPr>
            <w:r>
              <w:rPr>
                <w:rFonts w:ascii="Arial" w:cs="Arial" w:eastAsia="Arial" w:hAnsi="Arial"/>
                <w:sz w:val="17"/>
                <w:szCs w:val="17"/>
                <w:b w:val="1"/>
                <w:bCs w:val="1"/>
                <w:color w:val="auto"/>
              </w:rPr>
              <w:t>Recorded Investment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4"/>
              </w:rPr>
              <w:t>Allowance for Loan Losses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20"/>
              <w:spacing w:after="0" w:line="187" w:lineRule="exact"/>
              <w:rPr>
                <w:sz w:val="20"/>
                <w:szCs w:val="20"/>
                <w:color w:val="auto"/>
              </w:rPr>
            </w:pPr>
            <w:r>
              <w:rPr>
                <w:rFonts w:ascii="Arial" w:cs="Arial" w:eastAsia="Arial" w:hAnsi="Arial"/>
                <w:sz w:val="17"/>
                <w:szCs w:val="17"/>
                <w:b w:val="1"/>
                <w:bCs w:val="1"/>
                <w:color w:val="auto"/>
              </w:rPr>
              <w:t>Individually</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5"/>
              <w:spacing w:after="0" w:line="187" w:lineRule="exact"/>
              <w:rPr>
                <w:sz w:val="20"/>
                <w:szCs w:val="20"/>
                <w:color w:val="auto"/>
              </w:rPr>
            </w:pPr>
            <w:r>
              <w:rPr>
                <w:rFonts w:ascii="Arial" w:cs="Arial" w:eastAsia="Arial" w:hAnsi="Arial"/>
                <w:sz w:val="17"/>
                <w:szCs w:val="17"/>
                <w:b w:val="1"/>
                <w:bCs w:val="1"/>
                <w:color w:val="auto"/>
                <w:w w:val="88"/>
              </w:rPr>
              <w:t>Collectively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87" w:lineRule="exact"/>
              <w:rPr>
                <w:sz w:val="20"/>
                <w:szCs w:val="20"/>
                <w:color w:val="auto"/>
              </w:rPr>
            </w:pPr>
            <w:r>
              <w:rPr>
                <w:rFonts w:ascii="Arial" w:cs="Arial" w:eastAsia="Arial" w:hAnsi="Arial"/>
                <w:sz w:val="17"/>
                <w:szCs w:val="17"/>
                <w:b w:val="1"/>
                <w:bCs w:val="1"/>
                <w:color w:val="auto"/>
                <w:w w:val="94"/>
              </w:rPr>
              <w:t>Individually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5"/>
              <w:spacing w:after="0" w:line="187" w:lineRule="exact"/>
              <w:rPr>
                <w:sz w:val="20"/>
                <w:szCs w:val="20"/>
                <w:color w:val="auto"/>
              </w:rPr>
            </w:pPr>
            <w:r>
              <w:rPr>
                <w:rFonts w:ascii="Arial" w:cs="Arial" w:eastAsia="Arial" w:hAnsi="Arial"/>
                <w:sz w:val="17"/>
                <w:szCs w:val="17"/>
                <w:b w:val="1"/>
                <w:bCs w:val="1"/>
                <w:color w:val="auto"/>
                <w:w w:val="90"/>
              </w:rPr>
              <w:t>Collectively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7"/>
                <w:szCs w:val="17"/>
                <w:b w:val="1"/>
                <w:bCs w:val="1"/>
                <w:color w:val="auto"/>
              </w:rPr>
              <w:t>Evaluated</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Evaluated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Evaluated</w:t>
            </w:r>
          </w:p>
        </w:tc>
        <w:tc>
          <w:tcPr>
            <w:tcW w:w="1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9"/>
              </w:rPr>
              <w:t>Evaluated</w:t>
            </w:r>
          </w:p>
        </w:tc>
        <w:tc>
          <w:tcPr>
            <w:tcW w:w="0" w:type="dxa"/>
            <w:vAlign w:val="bottom"/>
          </w:tcPr>
          <w:p>
            <w:pPr>
              <w:spacing w:after="0"/>
              <w:rPr>
                <w:sz w:val="1"/>
                <w:szCs w:val="1"/>
                <w:color w:val="auto"/>
              </w:rPr>
            </w:pPr>
          </w:p>
        </w:tc>
      </w:tr>
      <w:tr>
        <w:trPr>
          <w:trHeight w:val="166"/>
        </w:trPr>
        <w:tc>
          <w:tcPr>
            <w:tcW w:w="5980" w:type="dxa"/>
            <w:vAlign w:val="bottom"/>
            <w:gridSpan w:val="3"/>
          </w:tcPr>
          <w:p>
            <w:pPr>
              <w:spacing w:after="0" w:line="166" w:lineRule="exact"/>
              <w:rPr>
                <w:sz w:val="20"/>
                <w:szCs w:val="20"/>
                <w:color w:val="auto"/>
              </w:rPr>
            </w:pPr>
            <w:r>
              <w:rPr>
                <w:rFonts w:ascii="Arial" w:cs="Arial" w:eastAsia="Arial" w:hAnsi="Arial"/>
                <w:sz w:val="17"/>
                <w:szCs w:val="17"/>
                <w:color w:val="auto"/>
              </w:rPr>
              <w:t>December 31, 2022</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919,358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327,513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481,433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459,382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321,476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81,308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152,505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5,106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2,742,975</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285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39,003</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32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color w:val="auto"/>
                <w:w w:val="87"/>
              </w:rPr>
              <w:t>December 31, 2021</w:t>
            </w: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754,343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378,725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4,363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454,946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386,098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240,719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68,113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10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146,862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7,771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2,429,806</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1,344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40,754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606"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606"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5"/>
              </w:rPr>
              <w:t>Table of Contents</w:t>
            </w:r>
          </w:p>
        </w:tc>
        <w:tc>
          <w:tcPr>
            <w:tcW w:w="23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5880" w:type="dxa"/>
            <w:vAlign w:val="bottom"/>
            <w:gridSpan w:val="10"/>
          </w:tcPr>
          <w:p>
            <w:pPr>
              <w:spacing w:after="0"/>
              <w:rPr>
                <w:sz w:val="20"/>
                <w:szCs w:val="20"/>
                <w:color w:val="auto"/>
              </w:rPr>
            </w:pPr>
            <w:r>
              <w:rPr>
                <w:rFonts w:ascii="Arial" w:cs="Arial" w:eastAsia="Arial" w:hAnsi="Arial"/>
                <w:sz w:val="17"/>
                <w:szCs w:val="17"/>
                <w:color w:val="auto"/>
                <w:w w:val="99"/>
              </w:rPr>
              <w:t>Impaired loan information at the dates indicated follows (dollars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Unpaid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Recorded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Recorded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Contractual</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Investment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Investment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Total</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Average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Principal</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With No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With</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Recorded</w:t>
            </w: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Related</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Recorded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5"/>
              </w:rPr>
              <w:t>Balance</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Allowance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Allowance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Investment</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Allowance</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Investment</w:t>
            </w:r>
          </w:p>
        </w:tc>
        <w:tc>
          <w:tcPr>
            <w:tcW w:w="0" w:type="dxa"/>
            <w:vAlign w:val="bottom"/>
          </w:tcPr>
          <w:p>
            <w:pPr>
              <w:spacing w:after="0"/>
              <w:rPr>
                <w:sz w:val="1"/>
                <w:szCs w:val="1"/>
                <w:color w:val="auto"/>
              </w:rPr>
            </w:pPr>
          </w:p>
        </w:tc>
      </w:tr>
      <w:tr>
        <w:trPr>
          <w:trHeight w:val="166"/>
        </w:trPr>
        <w:tc>
          <w:tcPr>
            <w:tcW w:w="3280" w:type="dxa"/>
            <w:vAlign w:val="bottom"/>
            <w:gridSpan w:val="4"/>
          </w:tcPr>
          <w:p>
            <w:pPr>
              <w:spacing w:after="0" w:line="166" w:lineRule="exact"/>
              <w:rPr>
                <w:sz w:val="20"/>
                <w:szCs w:val="20"/>
                <w:color w:val="auto"/>
              </w:rPr>
            </w:pPr>
            <w:r>
              <w:rPr>
                <w:rFonts w:ascii="Arial" w:cs="Arial" w:eastAsia="Arial" w:hAnsi="Arial"/>
                <w:sz w:val="17"/>
                <w:szCs w:val="17"/>
                <w:color w:val="auto"/>
              </w:rPr>
              <w:t>December 31, 2022</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Commercial - specialized</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3,350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Consumer: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1-4 family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742</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Auto loans</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Construction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1,014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1320" w:type="dxa"/>
            <w:vAlign w:val="bottom"/>
            <w:tcBorders>
              <w:bottom w:val="single" w:sz="8" w:color="auto"/>
            </w:tcBorders>
            <w:gridSpan w:val="2"/>
            <w:shd w:val="clear" w:color="auto" w:fill="CCEEFF"/>
          </w:tcPr>
          <w:p>
            <w:pPr>
              <w:spacing w:after="0" w:line="166" w:lineRule="exact"/>
              <w:rPr>
                <w:sz w:val="20"/>
                <w:szCs w:val="20"/>
                <w:color w:val="auto"/>
              </w:rPr>
            </w:pPr>
            <w:r>
              <w:rPr>
                <w:rFonts w:ascii="Arial" w:cs="Arial" w:eastAsia="Arial" w:hAnsi="Arial"/>
                <w:sz w:val="17"/>
                <w:szCs w:val="17"/>
                <w:color w:val="auto"/>
                <w:w w:val="87"/>
              </w:rPr>
              <w:t>December 31, 2021</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1,101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1,101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3,687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 - specialized</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spacing w:after="0"/>
              <w:rPr>
                <w:sz w:val="20"/>
                <w:szCs w:val="20"/>
                <w:color w:val="auto"/>
              </w:rPr>
            </w:pPr>
            <w:r>
              <w:rPr>
                <w:rFonts w:ascii="Arial" w:cs="Arial" w:eastAsia="Arial" w:hAnsi="Arial"/>
                <w:sz w:val="17"/>
                <w:szCs w:val="17"/>
                <w:color w:val="auto"/>
              </w:rPr>
              <w:t>Commercial - general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5,078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3,935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5,078</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4,852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Consumer:</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1-4 family</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1,592</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Auto loans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tcPr>
          <w:p>
            <w:pPr>
              <w:ind w:left="140"/>
              <w:spacing w:after="0"/>
              <w:rPr>
                <w:sz w:val="20"/>
                <w:szCs w:val="20"/>
                <w:color w:val="auto"/>
              </w:rPr>
            </w:pPr>
            <w:r>
              <w:rPr>
                <w:rFonts w:ascii="Arial" w:cs="Arial" w:eastAsia="Arial" w:hAnsi="Arial"/>
                <w:sz w:val="17"/>
                <w:szCs w:val="17"/>
                <w:color w:val="auto"/>
              </w:rPr>
              <w:t>Other consumer</w:t>
            </w:r>
          </w:p>
        </w:tc>
        <w:tc>
          <w:tcPr>
            <w:tcW w:w="100" w:type="dxa"/>
            <w:vAlign w:val="bottom"/>
          </w:tcPr>
          <w:p>
            <w:pPr>
              <w:spacing w:after="0"/>
              <w:rPr>
                <w:sz w:val="17"/>
                <w:szCs w:val="17"/>
                <w:color w:val="auto"/>
              </w:rPr>
            </w:pP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Construction</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7,771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5,748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7,771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1,344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All impaired loans $250 thousand and greater were specifically evaluated for impairment. Interest income recognized using a cash-basis method on impaired loans for 2022, 2021 and 2020 was not significant. Additional funds committed to be advanced on impaired loans are not significant.</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elects the fair value option for recording residential mortgage loans held for sale (mandatory) in accordance with GAAP. The Company had no nonaccrual mortgage loans held for sale (mandatory) recorded using the fair value option election at December 31,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an age analysis on accruing past-due loans and nonaccrual loans at the dates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30-89 Days</w:t>
            </w:r>
          </w:p>
        </w:tc>
        <w:tc>
          <w:tcPr>
            <w:tcW w:w="14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2"/>
              </w:rPr>
              <w:t>90 Days or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Past Due</w:t>
            </w:r>
          </w:p>
        </w:tc>
        <w:tc>
          <w:tcPr>
            <w:tcW w:w="136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3"/>
              </w:rPr>
              <w:t>More Past Due</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0"/>
              </w:rPr>
              <w:t>Nonaccrual</w:t>
            </w:r>
          </w:p>
        </w:tc>
        <w:tc>
          <w:tcPr>
            <w:tcW w:w="0" w:type="dxa"/>
            <w:vAlign w:val="bottom"/>
          </w:tcPr>
          <w:p>
            <w:pPr>
              <w:spacing w:after="0"/>
              <w:rPr>
                <w:sz w:val="1"/>
                <w:szCs w:val="1"/>
                <w:color w:val="auto"/>
              </w:rPr>
            </w:pPr>
          </w:p>
        </w:tc>
      </w:tr>
      <w:tr>
        <w:trPr>
          <w:trHeight w:val="166"/>
        </w:trPr>
        <w:tc>
          <w:tcPr>
            <w:tcW w:w="3640" w:type="dxa"/>
            <w:vAlign w:val="bottom"/>
            <w:gridSpan w:val="3"/>
          </w:tcPr>
          <w:p>
            <w:pPr>
              <w:spacing w:after="0" w:line="166" w:lineRule="exact"/>
              <w:rPr>
                <w:sz w:val="20"/>
                <w:szCs w:val="20"/>
                <w:color w:val="auto"/>
              </w:rPr>
            </w:pPr>
            <w:r>
              <w:rPr>
                <w:rFonts w:ascii="Arial" w:cs="Arial" w:eastAsia="Arial" w:hAnsi="Arial"/>
                <w:sz w:val="17"/>
                <w:szCs w:val="17"/>
                <w:color w:val="auto"/>
              </w:rPr>
              <w:t>December 31, 2022</w:t>
            </w:r>
          </w:p>
        </w:tc>
        <w:tc>
          <w:tcPr>
            <w:tcW w:w="36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1,653</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132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7"/>
                <w:szCs w:val="17"/>
                <w:color w:val="auto"/>
                <w:w w:val="87"/>
              </w:rPr>
              <w:t>December 31, 2021</w:t>
            </w:r>
          </w:p>
        </w:tc>
        <w:tc>
          <w:tcPr>
            <w:tcW w:w="230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7"/>
                <w:szCs w:val="17"/>
                <w:color w:val="auto"/>
              </w:rPr>
              <w:t>Commercial real estate</w:t>
            </w:r>
          </w:p>
        </w:tc>
        <w:tc>
          <w:tcPr>
            <w:tcW w:w="3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393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specialized</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7"/>
                <w:szCs w:val="17"/>
                <w:color w:val="auto"/>
              </w:rPr>
              <w:t>Commercial - general</w:t>
            </w: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5,236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Arial" w:cs="Arial" w:eastAsia="Arial" w:hAnsi="Arial"/>
                <w:sz w:val="17"/>
                <w:szCs w:val="17"/>
                <w:color w:val="auto"/>
              </w:rPr>
              <w:t>1-4 Family residential</w:t>
            </w: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903</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Auto loans</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Arial" w:cs="Arial" w:eastAsia="Arial" w:hAnsi="Arial"/>
                <w:sz w:val="17"/>
                <w:szCs w:val="17"/>
                <w:color w:val="auto"/>
              </w:rPr>
              <w:t>Other consumer</w:t>
            </w: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w:t>
            </w:r>
          </w:p>
        </w:tc>
        <w:tc>
          <w:tcPr>
            <w:tcW w:w="3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8,993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1,080</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80" w:type="dxa"/>
            <w:vAlign w:val="bottom"/>
            <w:vMerge w:val="restart"/>
          </w:tcPr>
          <w:p>
            <w:pPr>
              <w:jc w:val="right"/>
              <w:ind w:right="1541"/>
              <w:spacing w:after="0"/>
              <w:rPr>
                <w:sz w:val="20"/>
                <w:szCs w:val="20"/>
                <w:color w:val="auto"/>
              </w:rPr>
            </w:pPr>
            <w:r>
              <w:rPr>
                <w:rFonts w:ascii="Arial" w:cs="Arial" w:eastAsia="Arial" w:hAnsi="Arial"/>
                <w:sz w:val="14"/>
                <w:szCs w:val="14"/>
                <w:color w:val="auto"/>
              </w:rPr>
              <w:t>82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Company grades its loans on a thirteen-point grading scale. These grades fit in one of the following categories: (i) pass, (ii) special mention, (iii) substandard,</w:t>
      </w:r>
    </w:p>
    <w:p>
      <w:pPr>
        <w:spacing w:after="0" w:line="43" w:lineRule="exact"/>
        <w:rPr>
          <w:sz w:val="20"/>
          <w:szCs w:val="20"/>
          <w:color w:val="auto"/>
        </w:rPr>
      </w:pPr>
    </w:p>
    <w:p>
      <w:pPr>
        <w:ind w:firstLine="2"/>
        <w:spacing w:after="0" w:line="327" w:lineRule="auto"/>
        <w:tabs>
          <w:tab w:leader="none" w:pos="294" w:val="left"/>
        </w:tabs>
        <w:numPr>
          <w:ilvl w:val="0"/>
          <w:numId w:val="20"/>
        </w:numPr>
        <w:rPr>
          <w:rFonts w:ascii="Arial" w:cs="Arial" w:eastAsia="Arial" w:hAnsi="Arial"/>
          <w:sz w:val="15"/>
          <w:szCs w:val="15"/>
          <w:color w:val="auto"/>
        </w:rPr>
      </w:pPr>
      <w:r>
        <w:rPr>
          <w:rFonts w:ascii="Arial" w:cs="Arial" w:eastAsia="Arial" w:hAnsi="Arial"/>
          <w:sz w:val="15"/>
          <w:szCs w:val="15"/>
          <w:color w:val="auto"/>
        </w:rPr>
        <w:t>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internal classifications of loans at the dates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Special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7"/>
                <w:szCs w:val="17"/>
                <w:b w:val="1"/>
                <w:bCs w:val="1"/>
                <w:color w:val="auto"/>
              </w:rPr>
              <w:t>Pass</w:t>
            </w: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Mention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8"/>
              </w:rPr>
              <w:t>Substandard</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Doubtful</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66"/>
        </w:trPr>
        <w:tc>
          <w:tcPr>
            <w:tcW w:w="4620" w:type="dxa"/>
            <w:vAlign w:val="bottom"/>
            <w:gridSpan w:val="3"/>
          </w:tcPr>
          <w:p>
            <w:pPr>
              <w:spacing w:after="0" w:line="166" w:lineRule="exact"/>
              <w:rPr>
                <w:sz w:val="20"/>
                <w:szCs w:val="20"/>
                <w:color w:val="auto"/>
              </w:rPr>
            </w:pPr>
            <w:r>
              <w:rPr>
                <w:rFonts w:ascii="Arial" w:cs="Arial" w:eastAsia="Arial" w:hAnsi="Arial"/>
                <w:sz w:val="17"/>
                <w:szCs w:val="17"/>
                <w:color w:val="auto"/>
              </w:rPr>
              <w:t>December 31, 2022</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893,312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26,046</w:t>
            </w: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919,358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Commercial - specialized</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326,987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327,513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general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33,144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484,783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Consumer: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1-4 family residential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10,090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460,124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Arial" w:cs="Arial" w:eastAsia="Arial" w:hAnsi="Arial"/>
                <w:sz w:val="17"/>
                <w:szCs w:val="17"/>
                <w:color w:val="auto"/>
              </w:rPr>
              <w:t>Auto loans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321,158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321,476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consumer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81,109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81,308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Construction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151,995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153,519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2,676,234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2,748,081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3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132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7"/>
                <w:szCs w:val="17"/>
                <w:color w:val="auto"/>
                <w:w w:val="87"/>
              </w:rPr>
              <w:t>December 31, 2021</w:t>
            </w:r>
          </w:p>
        </w:tc>
        <w:tc>
          <w:tcPr>
            <w:tcW w:w="3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713,852</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41,592</w:t>
            </w:r>
          </w:p>
        </w:tc>
        <w:tc>
          <w:tcPr>
            <w:tcW w:w="104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755,444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 specialized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372,797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378,725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Commercial - general</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450,790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460,024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Consumer: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Arial" w:cs="Arial" w:eastAsia="Arial" w:hAnsi="Arial"/>
                <w:sz w:val="17"/>
                <w:szCs w:val="17"/>
                <w:color w:val="auto"/>
              </w:rPr>
              <w:t>1-4 family residential</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379,458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387,690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Auto loans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239,869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240,719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Arial" w:cs="Arial" w:eastAsia="Arial" w:hAnsi="Arial"/>
                <w:sz w:val="17"/>
                <w:szCs w:val="17"/>
                <w:color w:val="auto"/>
              </w:rPr>
              <w:t>Other consumer</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67,822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Construction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146,862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2,371,284</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1,676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64,617</w:t>
            </w:r>
          </w:p>
        </w:tc>
        <w:tc>
          <w:tcPr>
            <w:tcW w:w="104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w w:val="93"/>
              </w:rPr>
              <w:t>—</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2,437,577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loans modified as TDR during the years ended December 31, 2022, 2021, and 2020.</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Beginning in April 2020, the Company began offering deferral and modification of principal and/or interest payments to selected borrowers on a case-by-case basis in response to the COVID-19 pandemic. These additional modifications complied with the provisions of section 4013 of the Coronavirus Aid, Relief, and Economic Security Act and section 501 of the Consolidated Appropriations Act, 2021. As of December 31, 2022, the Company had no loans under an active modification subject to these deferral and modification agreements. As of December 31, 2021, the Company had 3 loans totaling approximately $15.9 million subject to these deferral and modification agreements, representing 0.65% of outstanding loans held for investment.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4.  FORECLOSED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7"/>
        </w:trPr>
        <w:tc>
          <w:tcPr>
            <w:tcW w:w="7320" w:type="dxa"/>
            <w:vAlign w:val="bottom"/>
            <w:gridSpan w:val="2"/>
          </w:tcPr>
          <w:p>
            <w:pPr>
              <w:spacing w:after="0"/>
              <w:rPr>
                <w:sz w:val="20"/>
                <w:szCs w:val="20"/>
                <w:color w:val="auto"/>
              </w:rPr>
            </w:pPr>
            <w:r>
              <w:rPr>
                <w:rFonts w:ascii="Arial" w:cs="Arial" w:eastAsia="Arial" w:hAnsi="Arial"/>
                <w:sz w:val="17"/>
                <w:szCs w:val="17"/>
                <w:color w:val="auto"/>
              </w:rPr>
              <w:t>Foreclosed assets activity was as follows for the periods presented below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right"/>
              <w:ind w:right="780"/>
              <w:spacing w:after="0"/>
              <w:rPr>
                <w:sz w:val="20"/>
                <w:szCs w:val="20"/>
                <w:color w:val="auto"/>
              </w:rPr>
            </w:pPr>
            <w:r>
              <w:rPr>
                <w:rFonts w:ascii="Arial" w:cs="Arial" w:eastAsia="Arial" w:hAnsi="Arial"/>
                <w:sz w:val="17"/>
                <w:szCs w:val="17"/>
                <w:b w:val="1"/>
                <w:bCs w:val="1"/>
                <w:color w:val="auto"/>
              </w:rPr>
              <w:t>For the Year Ended December 31,</w:t>
            </w: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Additions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927</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1,867</w:t>
            </w: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Sales,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(1,248)</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(2,397)</w:t>
            </w: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Current year valuation write-down</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There was no activity in the valuation allowance for the years ended December 31, 2022,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Net expenses related to foreclosed assets include the following for the periods presented below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920" w:type="dxa"/>
            <w:vAlign w:val="bottom"/>
            <w:gridSpan w:val="11"/>
          </w:tcPr>
          <w:p>
            <w:pPr>
              <w:jc w:val="right"/>
              <w:ind w:right="780"/>
              <w:spacing w:after="0"/>
              <w:rPr>
                <w:sz w:val="20"/>
                <w:szCs w:val="20"/>
                <w:color w:val="auto"/>
              </w:rPr>
            </w:pPr>
            <w:r>
              <w:rPr>
                <w:rFonts w:ascii="Arial" w:cs="Arial" w:eastAsia="Arial" w:hAnsi="Arial"/>
                <w:sz w:val="17"/>
                <w:szCs w:val="17"/>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Net gain on sales</w:t>
            </w: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19"/>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5"/>
              </w:rPr>
              <w:t>(424)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Current year valuation write-down</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 net of rental income</w:t>
            </w:r>
          </w:p>
        </w:tc>
        <w:tc>
          <w:tcPr>
            <w:tcW w:w="10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Foreclosed assets expense, net</w:t>
            </w:r>
          </w:p>
        </w:tc>
        <w:tc>
          <w:tcPr>
            <w:tcW w:w="1840" w:type="dxa"/>
            <w:vAlign w:val="bottom"/>
            <w:gridSpan w:val="2"/>
          </w:tcPr>
          <w:p>
            <w:pPr>
              <w:jc w:val="right"/>
              <w:ind w:right="619"/>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(359)</w:t>
            </w: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13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5.  PREMISES AND EQUIPMENT</w:t>
            </w:r>
          </w:p>
        </w:tc>
        <w:tc>
          <w:tcPr>
            <w:tcW w:w="1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60" w:type="dxa"/>
            <w:vAlign w:val="bottom"/>
            <w:gridSpan w:val="2"/>
          </w:tcPr>
          <w:p>
            <w:pPr>
              <w:spacing w:after="0"/>
              <w:rPr>
                <w:sz w:val="20"/>
                <w:szCs w:val="20"/>
                <w:color w:val="auto"/>
              </w:rPr>
            </w:pPr>
            <w:r>
              <w:rPr>
                <w:rFonts w:ascii="Arial" w:cs="Arial" w:eastAsia="Arial" w:hAnsi="Arial"/>
                <w:sz w:val="17"/>
                <w:szCs w:val="17"/>
                <w:color w:val="auto"/>
              </w:rPr>
              <w:t>Detail of premises and equipment at year-end follows (dollars in thousands):</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63,995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65,986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47,967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48,281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124,405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(68,068)</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(67,292)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Premises and equipment, net</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2022, 2021 and 2020 was approximately $5.1, $4.8, and $4.8 million, respectively.</w:t>
      </w:r>
    </w:p>
    <w:p>
      <w:pPr>
        <w:spacing w:after="0" w:line="212" w:lineRule="exact"/>
        <w:rPr>
          <w:sz w:val="20"/>
          <w:szCs w:val="20"/>
          <w:color w:val="auto"/>
        </w:rPr>
      </w:pPr>
    </w:p>
    <w:p>
      <w:pPr>
        <w:ind w:left="300" w:hanging="298"/>
        <w:spacing w:after="0"/>
        <w:tabs>
          <w:tab w:leader="none" w:pos="30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LEASES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Lessee Arrangements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December 31, 2022 and 2021, the Company had no finance leases.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5"/>
              </w:rPr>
              <w:t>Table of Contents</w:t>
            </w:r>
          </w:p>
        </w:tc>
        <w:tc>
          <w:tcPr>
            <w:tcW w:w="8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9780" w:type="dxa"/>
            <w:vAlign w:val="bottom"/>
            <w:gridSpan w:val="3"/>
          </w:tcPr>
          <w:p>
            <w:pPr>
              <w:spacing w:after="0"/>
              <w:rPr>
                <w:sz w:val="20"/>
                <w:szCs w:val="20"/>
                <w:color w:val="auto"/>
              </w:rPr>
            </w:pPr>
            <w:r>
              <w:rPr>
                <w:rFonts w:ascii="Arial" w:cs="Arial" w:eastAsia="Arial" w:hAnsi="Arial"/>
                <w:sz w:val="17"/>
                <w:szCs w:val="17"/>
                <w:color w:val="auto"/>
              </w:rPr>
              <w:t>The balance sheet components of the Company’s leases are as follows (in thousands):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7"/>
                <w:szCs w:val="17"/>
                <w:b w:val="1"/>
                <w:bCs w:val="1"/>
                <w:color w:val="auto"/>
                <w:w w:val="94"/>
              </w:rPr>
              <w:t>December 31, 2022</w:t>
            </w:r>
          </w:p>
        </w:tc>
      </w:tr>
      <w:tr>
        <w:trPr>
          <w:trHeight w:val="204"/>
        </w:trPr>
        <w:tc>
          <w:tcPr>
            <w:tcW w:w="20" w:type="dxa"/>
            <w:vAlign w:val="bottom"/>
          </w:tcPr>
          <w:p>
            <w:pPr>
              <w:spacing w:after="0"/>
              <w:rPr>
                <w:sz w:val="17"/>
                <w:szCs w:val="17"/>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right of use assets (included in Other assets)</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7,938</w:t>
            </w: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7"/>
                <w:szCs w:val="17"/>
                <w:color w:val="auto"/>
              </w:rPr>
              <w:t>Operating lease liabilities (included in Accrued expenses and other liabilities)</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8,897</w:t>
            </w:r>
          </w:p>
        </w:tc>
        <w:tc>
          <w:tcPr>
            <w:tcW w:w="100" w:type="dxa"/>
            <w:vAlign w:val="bottom"/>
          </w:tcPr>
          <w:p>
            <w:pPr>
              <w:spacing w:after="0"/>
              <w:rPr>
                <w:sz w:val="18"/>
                <w:szCs w:val="18"/>
                <w:color w:val="auto"/>
              </w:rPr>
            </w:pPr>
          </w:p>
        </w:tc>
      </w:tr>
    </w:tbl>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does not generally enter into leases which contain variable payments, other than due to the passage of time. Operating lease costs, including short-term lease costs were $2.9 million, $2.5 million and $2.4 million, respectively for the years ended December 31, 2022,2021 and 2020,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20"/>
                <w:szCs w:val="20"/>
                <w:color w:val="auto"/>
              </w:rPr>
            </w:pPr>
            <w:r>
              <w:rPr>
                <w:rFonts w:ascii="Arial" w:cs="Arial" w:eastAsia="Arial" w:hAnsi="Arial"/>
                <w:sz w:val="17"/>
                <w:szCs w:val="17"/>
                <w:color w:val="auto"/>
              </w:rPr>
              <w:t>Supplemental cash flow information related to leases is as follows (in thousands):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7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6"/>
              </w:rPr>
              <w:t>Year Ended</w:t>
            </w:r>
          </w:p>
        </w:tc>
      </w:tr>
      <w:tr>
        <w:trPr>
          <w:trHeight w:val="226"/>
        </w:trPr>
        <w:tc>
          <w:tcPr>
            <w:tcW w:w="7660" w:type="dxa"/>
            <w:vAlign w:val="bottom"/>
          </w:tcPr>
          <w:p>
            <w:pPr>
              <w:spacing w:after="0"/>
              <w:rPr>
                <w:sz w:val="19"/>
                <w:szCs w:val="19"/>
                <w:color w:val="auto"/>
              </w:rPr>
            </w:pPr>
          </w:p>
        </w:tc>
        <w:tc>
          <w:tcPr>
            <w:tcW w:w="3580" w:type="dxa"/>
            <w:vAlign w:val="bottom"/>
            <w:gridSpan w:val="4"/>
          </w:tcPr>
          <w:p>
            <w:pPr>
              <w:ind w:left="2120"/>
              <w:spacing w:after="0"/>
              <w:rPr>
                <w:sz w:val="20"/>
                <w:szCs w:val="20"/>
                <w:color w:val="auto"/>
              </w:rPr>
            </w:pPr>
            <w:r>
              <w:rPr>
                <w:rFonts w:ascii="Arial" w:cs="Arial" w:eastAsia="Arial" w:hAnsi="Arial"/>
                <w:sz w:val="17"/>
                <w:szCs w:val="17"/>
                <w:b w:val="1"/>
                <w:bCs w:val="1"/>
                <w:color w:val="auto"/>
                <w:w w:val="94"/>
              </w:rPr>
              <w:t>December 31, 2022</w:t>
            </w:r>
          </w:p>
        </w:tc>
      </w:tr>
      <w:tr>
        <w:trPr>
          <w:trHeight w:val="203"/>
        </w:trPr>
        <w:tc>
          <w:tcPr>
            <w:tcW w:w="7660" w:type="dxa"/>
            <w:vAlign w:val="bottom"/>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cash flows from operating leases</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1,976</w:t>
            </w:r>
          </w:p>
        </w:tc>
      </w:tr>
      <w:tr>
        <w:trPr>
          <w:trHeight w:val="204"/>
        </w:trPr>
        <w:tc>
          <w:tcPr>
            <w:tcW w:w="7660" w:type="dxa"/>
            <w:vAlign w:val="bottom"/>
          </w:tcPr>
          <w:p>
            <w:pPr>
              <w:spacing w:after="0"/>
              <w:rPr>
                <w:sz w:val="20"/>
                <w:szCs w:val="20"/>
                <w:color w:val="auto"/>
              </w:rPr>
            </w:pPr>
            <w:r>
              <w:rPr>
                <w:rFonts w:ascii="Arial" w:cs="Arial" w:eastAsia="Arial" w:hAnsi="Arial"/>
                <w:sz w:val="17"/>
                <w:szCs w:val="17"/>
                <w:color w:val="auto"/>
              </w:rPr>
              <w:t>Right-of-use assets obtained in exchange for new lease obligations:</w:t>
            </w: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leases</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9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For operating leases, the Company’s weighted average remaining lease terms in years and weighted average discount rate was 9.83 and 4.65%, respectively, as of December 31,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gridSpan w:val="2"/>
          </w:tcPr>
          <w:p>
            <w:pPr>
              <w:spacing w:after="0"/>
              <w:rPr>
                <w:sz w:val="20"/>
                <w:szCs w:val="20"/>
                <w:color w:val="auto"/>
              </w:rPr>
            </w:pPr>
            <w:r>
              <w:rPr>
                <w:rFonts w:ascii="Arial" w:cs="Arial" w:eastAsia="Arial" w:hAnsi="Arial"/>
                <w:sz w:val="17"/>
                <w:szCs w:val="17"/>
                <w:color w:val="auto"/>
                <w:w w:val="94"/>
              </w:rPr>
              <w:t>Future undiscounted lease payments at December 31, 2022, under operating lease agreements, are presented below (in thousands).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960" w:type="dxa"/>
            <w:vAlign w:val="bottom"/>
            <w:gridSpan w:val="2"/>
            <w:shd w:val="clear" w:color="auto" w:fill="CCEEFF"/>
          </w:tcPr>
          <w:p>
            <w:pPr>
              <w:jc w:val="right"/>
              <w:ind w:right="22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2024</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2026</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Thereafter</w:t>
            </w: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the Company had no significant additional operating leases that have not yet commenced.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Lessor Arrangements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leases certain facilities and office space under operating lease agreements to outside parties. Operating lease income for the years ended December 31, 2022, 2021, and 2020 was $800 thousand, $890 thousand, and $856 thousand, respectively and is included in occupancy and equipment, net in the consolidated statements of comprehensive income (loss).</w:t>
      </w:r>
    </w:p>
    <w:p>
      <w:pPr>
        <w:spacing w:after="0" w:line="175" w:lineRule="exact"/>
        <w:rPr>
          <w:sz w:val="20"/>
          <w:szCs w:val="20"/>
          <w:color w:val="auto"/>
        </w:rPr>
      </w:pPr>
    </w:p>
    <w:p>
      <w:pPr>
        <w:ind w:left="300" w:hanging="298"/>
        <w:spacing w:after="0"/>
        <w:tabs>
          <w:tab w:leader="none" w:pos="300"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GOODWILL AND INTANGIBLES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goodwill of $19.5 million at December 31, 2022 and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Other intangible assets, which consist of CDI, customer lists, and employment agreements at the dates indicated are summarized below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Arial" w:cs="Arial" w:eastAsia="Arial" w:hAnsi="Arial"/>
                <w:sz w:val="17"/>
                <w:szCs w:val="17"/>
                <w:color w:val="auto"/>
              </w:rPr>
              <w:t>Amortized intangible assets:</w:t>
            </w: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 intangibles</w:t>
            </w:r>
          </w:p>
        </w:tc>
        <w:tc>
          <w:tcPr>
            <w:tcW w:w="500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89"/>
              </w:rPr>
              <w:t>6,679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(3,420)</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(2,469)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left="415"/>
              <w:spacing w:after="0"/>
              <w:rPr>
                <w:sz w:val="20"/>
                <w:szCs w:val="20"/>
                <w:color w:val="auto"/>
              </w:rPr>
            </w:pPr>
            <w:r>
              <w:rPr>
                <w:rFonts w:ascii="Arial" w:cs="Arial" w:eastAsia="Arial" w:hAnsi="Arial"/>
                <w:sz w:val="17"/>
                <w:szCs w:val="17"/>
                <w:color w:val="auto"/>
                <w:w w:val="89"/>
              </w:rPr>
              <w:t>3,259</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w:t>
            </w:r>
          </w:p>
        </w:tc>
        <w:tc>
          <w:tcPr>
            <w:tcW w:w="4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415"/>
              <w:spacing w:after="0"/>
              <w:rPr>
                <w:sz w:val="20"/>
                <w:szCs w:val="20"/>
                <w:color w:val="auto"/>
              </w:rPr>
            </w:pPr>
            <w:r>
              <w:rPr>
                <w:rFonts w:ascii="Arial" w:cs="Arial" w:eastAsia="Arial" w:hAnsi="Arial"/>
                <w:sz w:val="17"/>
                <w:szCs w:val="17"/>
                <w:color w:val="auto"/>
                <w:w w:val="89"/>
              </w:rPr>
              <w:t>2,972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left="175"/>
              <w:spacing w:after="0"/>
              <w:rPr>
                <w:sz w:val="20"/>
                <w:szCs w:val="20"/>
                <w:color w:val="auto"/>
              </w:rPr>
            </w:pPr>
            <w:r>
              <w:rPr>
                <w:rFonts w:ascii="Arial" w:cs="Arial" w:eastAsia="Arial" w:hAnsi="Arial"/>
                <w:sz w:val="17"/>
                <w:szCs w:val="17"/>
                <w:color w:val="auto"/>
                <w:w w:val="92"/>
              </w:rPr>
              <w:t>(1,882)</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left="415"/>
              <w:spacing w:after="0"/>
              <w:rPr>
                <w:sz w:val="20"/>
                <w:szCs w:val="20"/>
                <w:color w:val="auto"/>
              </w:rPr>
            </w:pPr>
            <w:r>
              <w:rPr>
                <w:rFonts w:ascii="Arial" w:cs="Arial" w:eastAsia="Arial" w:hAnsi="Arial"/>
                <w:sz w:val="17"/>
                <w:szCs w:val="17"/>
                <w:color w:val="auto"/>
                <w:w w:val="89"/>
              </w:rPr>
              <w:t>1,090</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gridSpan w:val="2"/>
          </w:tcPr>
          <w:p>
            <w:pPr>
              <w:spacing w:after="0"/>
              <w:rPr>
                <w:sz w:val="18"/>
                <w:szCs w:val="18"/>
                <w:color w:val="auto"/>
              </w:rPr>
            </w:pPr>
          </w:p>
        </w:tc>
        <w:tc>
          <w:tcPr>
            <w:tcW w:w="50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4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center"/>
              <w:ind w:left="415"/>
              <w:spacing w:after="0"/>
              <w:rPr>
                <w:sz w:val="20"/>
                <w:szCs w:val="20"/>
                <w:color w:val="auto"/>
              </w:rPr>
            </w:pPr>
            <w:r>
              <w:rPr>
                <w:rFonts w:ascii="Arial" w:cs="Arial" w:eastAsia="Arial" w:hAnsi="Arial"/>
                <w:sz w:val="17"/>
                <w:szCs w:val="17"/>
                <w:color w:val="auto"/>
                <w:w w:val="89"/>
              </w:rPr>
              <w:t>4,349</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760" w:type="dxa"/>
            <w:vAlign w:val="bottom"/>
          </w:tcPr>
          <w:p>
            <w:pPr>
              <w:jc w:val="right"/>
              <w:ind w:right="2904"/>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Amortization expense for other intangibles for the years ended December 31, 2022, 2021, and 2020 totaled $1.5 million, $1.7 million, and $1.7 million, respectively. The estimated amount of amortization expense for core deposit intangible and other intangible assets to be recognized over the next five years is as follows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CDI</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7"/>
              </w:rPr>
              <w:t>Intangible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428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20" w:type="dxa"/>
            <w:vAlign w:val="bottom"/>
            <w:shd w:val="clear" w:color="auto" w:fill="CCEEFF"/>
          </w:tcPr>
          <w:p>
            <w:pPr>
              <w:jc w:val="right"/>
              <w:ind w:right="3415"/>
              <w:spacing w:after="0"/>
              <w:rPr>
                <w:sz w:val="20"/>
                <w:szCs w:val="20"/>
                <w:color w:val="auto"/>
              </w:rPr>
            </w:pPr>
            <w:r>
              <w:rPr>
                <w:rFonts w:ascii="Arial" w:cs="Arial" w:eastAsia="Arial" w:hAnsi="Arial"/>
                <w:sz w:val="17"/>
                <w:szCs w:val="17"/>
                <w:color w:val="auto"/>
                <w:w w:val="79"/>
              </w:rPr>
              <w:t>2023</w:t>
            </w:r>
          </w:p>
        </w:tc>
        <w:tc>
          <w:tcPr>
            <w:tcW w:w="4280" w:type="dxa"/>
            <w:vAlign w:val="bottom"/>
            <w:gridSpan w:val="2"/>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tcPr>
          <w:p>
            <w:pPr>
              <w:jc w:val="right"/>
              <w:ind w:right="3415"/>
              <w:spacing w:after="0"/>
              <w:rPr>
                <w:sz w:val="20"/>
                <w:szCs w:val="20"/>
                <w:color w:val="auto"/>
              </w:rPr>
            </w:pPr>
            <w:r>
              <w:rPr>
                <w:rFonts w:ascii="Arial" w:cs="Arial" w:eastAsia="Arial" w:hAnsi="Arial"/>
                <w:sz w:val="17"/>
                <w:szCs w:val="17"/>
                <w:color w:val="auto"/>
                <w:w w:val="79"/>
              </w:rPr>
              <w:t>2024</w:t>
            </w:r>
          </w:p>
        </w:tc>
        <w:tc>
          <w:tcPr>
            <w:tcW w:w="3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708</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441</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shd w:val="clear" w:color="auto" w:fill="CCEEFF"/>
          </w:tcPr>
          <w:p>
            <w:pPr>
              <w:jc w:val="right"/>
              <w:ind w:right="3415"/>
              <w:spacing w:after="0"/>
              <w:rPr>
                <w:sz w:val="20"/>
                <w:szCs w:val="20"/>
                <w:color w:val="auto"/>
              </w:rPr>
            </w:pPr>
            <w:r>
              <w:rPr>
                <w:rFonts w:ascii="Arial" w:cs="Arial" w:eastAsia="Arial" w:hAnsi="Arial"/>
                <w:sz w:val="17"/>
                <w:szCs w:val="17"/>
                <w:color w:val="auto"/>
                <w:w w:val="79"/>
              </w:rPr>
              <w:t>2025</w:t>
            </w:r>
          </w:p>
        </w:tc>
        <w:tc>
          <w:tcPr>
            <w:tcW w:w="3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587</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tcPr>
          <w:p>
            <w:pPr>
              <w:jc w:val="right"/>
              <w:ind w:right="3415"/>
              <w:spacing w:after="0"/>
              <w:rPr>
                <w:sz w:val="20"/>
                <w:szCs w:val="20"/>
                <w:color w:val="auto"/>
              </w:rPr>
            </w:pPr>
            <w:r>
              <w:rPr>
                <w:rFonts w:ascii="Arial" w:cs="Arial" w:eastAsia="Arial" w:hAnsi="Arial"/>
                <w:sz w:val="17"/>
                <w:szCs w:val="17"/>
                <w:color w:val="auto"/>
                <w:w w:val="79"/>
              </w:rPr>
              <w:t>2026</w:t>
            </w:r>
          </w:p>
        </w:tc>
        <w:tc>
          <w:tcPr>
            <w:tcW w:w="3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466</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20" w:type="dxa"/>
            <w:vAlign w:val="bottom"/>
            <w:shd w:val="clear" w:color="auto" w:fill="CCEEFF"/>
          </w:tcPr>
          <w:p>
            <w:pPr>
              <w:jc w:val="right"/>
              <w:ind w:right="3415"/>
              <w:spacing w:after="0"/>
              <w:rPr>
                <w:sz w:val="20"/>
                <w:szCs w:val="20"/>
                <w:color w:val="auto"/>
              </w:rPr>
            </w:pPr>
            <w:r>
              <w:rPr>
                <w:rFonts w:ascii="Arial" w:cs="Arial" w:eastAsia="Arial" w:hAnsi="Arial"/>
                <w:sz w:val="17"/>
                <w:szCs w:val="17"/>
                <w:color w:val="auto"/>
                <w:w w:val="79"/>
              </w:rPr>
              <w:t>2027</w:t>
            </w:r>
          </w:p>
        </w:tc>
        <w:tc>
          <w:tcPr>
            <w:tcW w:w="3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344</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00" w:hanging="298"/>
        <w:spacing w:after="0"/>
        <w:tabs>
          <w:tab w:leader="none" w:pos="30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MORTGAGE SERVICING RIGHTS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right"/>
              <w:ind w:right="6"/>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Additions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9,196</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9,829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Valuation adjustment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(2,834)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Ending balance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27,474</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19,700</w:t>
            </w:r>
          </w:p>
        </w:tc>
        <w:tc>
          <w:tcPr>
            <w:tcW w:w="2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84"/>
              </w:rPr>
              <w:t>2021</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serviced for others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2,046,490</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1,953,095</w:t>
            </w:r>
          </w:p>
        </w:tc>
        <w:tc>
          <w:tcPr>
            <w:tcW w:w="14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Mortgage servicing rights assets as a percentage of serviced mortgage loans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1.34%</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key assumptions used in measuring the fair value of the Company’s mortgage servicing rights as of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74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b w:val="1"/>
                <w:bCs w:val="1"/>
                <w:color w:val="auto"/>
                <w:w w:val="90"/>
              </w:rPr>
              <w:t>December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2021</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constant prepayment rate</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7.47%</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12.35%</w:t>
            </w:r>
          </w:p>
        </w:tc>
      </w:tr>
      <w:tr>
        <w:trPr>
          <w:trHeight w:val="204"/>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1360" w:type="dxa"/>
            <w:vAlign w:val="bottom"/>
            <w:gridSpan w:val="2"/>
          </w:tcPr>
          <w:p>
            <w:pPr>
              <w:ind w:left="820"/>
              <w:spacing w:after="0"/>
              <w:rPr>
                <w:sz w:val="20"/>
                <w:szCs w:val="20"/>
                <w:color w:val="auto"/>
              </w:rPr>
            </w:pPr>
            <w:r>
              <w:rPr>
                <w:rFonts w:ascii="Arial" w:cs="Arial" w:eastAsia="Arial" w:hAnsi="Arial"/>
                <w:sz w:val="17"/>
                <w:szCs w:val="17"/>
                <w:color w:val="auto"/>
              </w:rPr>
              <w:t>9.15%</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9.14%</w:t>
            </w: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life in years</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7.91</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6.03</w:t>
            </w:r>
          </w:p>
        </w:tc>
      </w:tr>
    </w:tbl>
    <w:p>
      <w:pPr>
        <w:spacing w:after="0" w:line="191" w:lineRule="exact"/>
        <w:rPr>
          <w:sz w:val="20"/>
          <w:szCs w:val="20"/>
          <w:color w:val="auto"/>
        </w:rPr>
      </w:pPr>
    </w:p>
    <w:p>
      <w:pPr>
        <w:ind w:left="300" w:hanging="298"/>
        <w:spacing w:after="0"/>
        <w:tabs>
          <w:tab w:leader="none" w:pos="300"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DEPOSITS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Time deposits that met or exceeded the Federal Deposit Insurance Corporation (“FDIC”) Insurance limit of $250,000 were $131.0 million and $163.4 million at December 31, 2022 and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scheduled maturities of time deposits at December 31, 2022 follows (dollars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7220" w:type="dxa"/>
            <w:vAlign w:val="bottom"/>
            <w:gridSpan w:val="2"/>
            <w:shd w:val="clear" w:color="auto" w:fill="CCEEFF"/>
          </w:tcPr>
          <w:p>
            <w:pPr>
              <w:jc w:val="right"/>
              <w:ind w:right="186"/>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222,411</w:t>
            </w:r>
          </w:p>
        </w:tc>
        <w:tc>
          <w:tcPr>
            <w:tcW w:w="100" w:type="dxa"/>
            <w:vAlign w:val="bottom"/>
            <w:shd w:val="clear" w:color="auto" w:fill="CCEEFF"/>
          </w:tcPr>
          <w:p>
            <w:pPr>
              <w:spacing w:after="0"/>
              <w:rPr>
                <w:sz w:val="17"/>
                <w:szCs w:val="17"/>
                <w:color w:val="auto"/>
              </w:rPr>
            </w:pPr>
          </w:p>
        </w:tc>
      </w:tr>
      <w:tr>
        <w:trPr>
          <w:trHeight w:val="204"/>
        </w:trPr>
        <w:tc>
          <w:tcPr>
            <w:tcW w:w="3140" w:type="dxa"/>
            <w:vAlign w:val="bottom"/>
          </w:tcPr>
          <w:p>
            <w:pPr>
              <w:spacing w:after="0"/>
              <w:rPr>
                <w:sz w:val="20"/>
                <w:szCs w:val="20"/>
                <w:color w:val="auto"/>
              </w:rPr>
            </w:pPr>
            <w:r>
              <w:rPr>
                <w:rFonts w:ascii="Arial" w:cs="Arial" w:eastAsia="Arial" w:hAnsi="Arial"/>
                <w:sz w:val="17"/>
                <w:szCs w:val="17"/>
                <w:color w:val="auto"/>
              </w:rPr>
              <w:t>2024</w:t>
            </w:r>
          </w:p>
        </w:tc>
        <w:tc>
          <w:tcPr>
            <w:tcW w:w="6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50,912</w:t>
            </w:r>
          </w:p>
        </w:tc>
        <w:tc>
          <w:tcPr>
            <w:tcW w:w="100" w:type="dxa"/>
            <w:vAlign w:val="bottom"/>
          </w:tcPr>
          <w:p>
            <w:pPr>
              <w:spacing w:after="0"/>
              <w:rPr>
                <w:sz w:val="17"/>
                <w:szCs w:val="17"/>
                <w:color w:val="auto"/>
              </w:rPr>
            </w:pPr>
          </w:p>
        </w:tc>
      </w:tr>
      <w:tr>
        <w:trPr>
          <w:trHeight w:val="204"/>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6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5,557</w:t>
            </w:r>
          </w:p>
        </w:tc>
        <w:tc>
          <w:tcPr>
            <w:tcW w:w="100" w:type="dxa"/>
            <w:vAlign w:val="bottom"/>
            <w:shd w:val="clear" w:color="auto" w:fill="CCEEFF"/>
          </w:tcPr>
          <w:p>
            <w:pPr>
              <w:spacing w:after="0"/>
              <w:rPr>
                <w:sz w:val="17"/>
                <w:szCs w:val="17"/>
                <w:color w:val="auto"/>
              </w:rPr>
            </w:pPr>
          </w:p>
        </w:tc>
      </w:tr>
      <w:tr>
        <w:trPr>
          <w:trHeight w:val="204"/>
        </w:trPr>
        <w:tc>
          <w:tcPr>
            <w:tcW w:w="3140" w:type="dxa"/>
            <w:vAlign w:val="bottom"/>
          </w:tcPr>
          <w:p>
            <w:pPr>
              <w:spacing w:after="0"/>
              <w:rPr>
                <w:sz w:val="20"/>
                <w:szCs w:val="20"/>
                <w:color w:val="auto"/>
              </w:rPr>
            </w:pPr>
            <w:r>
              <w:rPr>
                <w:rFonts w:ascii="Arial" w:cs="Arial" w:eastAsia="Arial" w:hAnsi="Arial"/>
                <w:sz w:val="17"/>
                <w:szCs w:val="17"/>
                <w:color w:val="auto"/>
              </w:rPr>
              <w:t>2026</w:t>
            </w:r>
          </w:p>
        </w:tc>
        <w:tc>
          <w:tcPr>
            <w:tcW w:w="6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2,892</w:t>
            </w:r>
          </w:p>
        </w:tc>
        <w:tc>
          <w:tcPr>
            <w:tcW w:w="100" w:type="dxa"/>
            <w:vAlign w:val="bottom"/>
          </w:tcPr>
          <w:p>
            <w:pPr>
              <w:spacing w:after="0"/>
              <w:rPr>
                <w:sz w:val="17"/>
                <w:szCs w:val="17"/>
                <w:color w:val="auto"/>
              </w:rPr>
            </w:pPr>
          </w:p>
        </w:tc>
      </w:tr>
      <w:tr>
        <w:trPr>
          <w:trHeight w:val="204"/>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6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w:t>
            </w:r>
          </w:p>
        </w:tc>
        <w:tc>
          <w:tcPr>
            <w:tcW w:w="100" w:type="dxa"/>
            <w:vAlign w:val="bottom"/>
            <w:shd w:val="clear" w:color="auto" w:fill="CCEEFF"/>
          </w:tcPr>
          <w:p>
            <w:pPr>
              <w:spacing w:after="0"/>
              <w:rPr>
                <w:sz w:val="17"/>
                <w:szCs w:val="17"/>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7"/>
                <w:szCs w:val="17"/>
                <w:color w:val="auto"/>
              </w:rPr>
              <w:t>Thereafter</w:t>
            </w:r>
          </w:p>
        </w:tc>
        <w:tc>
          <w:tcPr>
            <w:tcW w:w="6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8"/>
                <w:szCs w:val="18"/>
                <w:color w:val="auto"/>
              </w:rPr>
            </w:pPr>
          </w:p>
        </w:tc>
      </w:tr>
      <w:tr>
        <w:trPr>
          <w:trHeight w:val="244"/>
        </w:trPr>
        <w:tc>
          <w:tcPr>
            <w:tcW w:w="314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28"/>
        </w:trPr>
        <w:tc>
          <w:tcPr>
            <w:tcW w:w="3140" w:type="dxa"/>
            <w:vAlign w:val="bottom"/>
          </w:tcPr>
          <w:p>
            <w:pPr>
              <w:spacing w:after="0"/>
              <w:rPr>
                <w:sz w:val="24"/>
                <w:szCs w:val="24"/>
                <w:color w:val="auto"/>
              </w:rPr>
            </w:pPr>
          </w:p>
        </w:tc>
        <w:tc>
          <w:tcPr>
            <w:tcW w:w="6880" w:type="dxa"/>
            <w:vAlign w:val="bottom"/>
          </w:tcPr>
          <w:p>
            <w:pPr>
              <w:jc w:val="right"/>
              <w:ind w:right="4244"/>
              <w:spacing w:after="0"/>
              <w:rPr>
                <w:sz w:val="20"/>
                <w:szCs w:val="20"/>
                <w:color w:val="auto"/>
              </w:rPr>
            </w:pPr>
            <w:r>
              <w:rPr>
                <w:rFonts w:ascii="Arial" w:cs="Arial" w:eastAsia="Arial" w:hAnsi="Arial"/>
                <w:sz w:val="14"/>
                <w:szCs w:val="14"/>
                <w:color w:val="auto"/>
              </w:rPr>
              <w:t>86</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3140" w:type="dxa"/>
            <w:vAlign w:val="bottom"/>
            <w:tcBorders>
              <w:bottom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BORROWING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Short-term borrowings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were no balances as of December 31, 2022 and 2021 related to federal funds purchased or FHLB short-term advances. Federal funds purchased are short-term borrowings that generally have one-day maturities.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Lines of credit</w:t>
      </w:r>
    </w:p>
    <w:p>
      <w:pPr>
        <w:spacing w:after="0" w:line="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$2.8 million at December 31, 2022 and 2021. The available capacity of the line was $920.2 million and $903.9 million with no outstanding borrowings at December 31, 2022 and 2021, respectively.</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$648.3 million and $593.6 million at December 31, 2022 and 2021, respectively. This line was not used at December 31, 2022 or 2021.</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bank subsidiary also has uncollateralized lines of credit with multiple banks. The total amount of the lines was $160.0 million and $160.0 million as of December 31, 2022 and 2021, respectively. These lines were not used at December 31, 2022 or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 payable and other borrowings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 bank had no FHLB advances outstanding at December 31, 2022 or 2021 .</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Junior subordinated deferrable interest debentures and trust preferred securities</w:t>
      </w:r>
    </w:p>
    <w:p>
      <w:pPr>
        <w:spacing w:after="0" w:line="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consolidated financial statements.</w:t>
      </w:r>
    </w:p>
    <w:p>
      <w:pPr>
        <w:spacing w:after="0" w:line="14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required by the Board of Governors of the Federal Reserve System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Although the trusts are not consolidated in these consolidated financial statements,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terms of the debentures and TPS allow for interest to be deferred for up to five years consecutively. During this time, shareholder dividends are not allowed to be paid.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detail of the debentures and TPS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4"/>
              </w:rPr>
              <w:t>Stated Maturity</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Amount</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0"/>
              </w:rPr>
              <w:t>Interest Rate of</w:t>
            </w:r>
          </w:p>
        </w:tc>
      </w:tr>
      <w:tr>
        <w:trPr>
          <w:trHeight w:val="193"/>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5"/>
              <w:spacing w:after="0" w:line="193" w:lineRule="exact"/>
              <w:rPr>
                <w:sz w:val="20"/>
                <w:szCs w:val="20"/>
                <w:color w:val="auto"/>
              </w:rPr>
            </w:pPr>
            <w:r>
              <w:rPr>
                <w:rFonts w:ascii="Arial" w:cs="Arial" w:eastAsia="Arial" w:hAnsi="Arial"/>
                <w:sz w:val="17"/>
                <w:szCs w:val="17"/>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line="193" w:lineRule="exact"/>
              <w:rPr>
                <w:sz w:val="20"/>
                <w:szCs w:val="20"/>
                <w:color w:val="auto"/>
              </w:rPr>
            </w:pPr>
            <w:r>
              <w:rPr>
                <w:rFonts w:ascii="Arial" w:cs="Arial" w:eastAsia="Arial" w:hAnsi="Arial"/>
                <w:sz w:val="17"/>
                <w:szCs w:val="17"/>
                <w:b w:val="1"/>
                <w:bCs w:val="1"/>
                <w:color w:val="auto"/>
                <w:w w:val="86"/>
              </w:rPr>
              <w:t>of</w:t>
            </w:r>
          </w:p>
        </w:tc>
        <w:tc>
          <w:tcPr>
            <w:tcW w:w="156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90"/>
              </w:rPr>
              <w:t>of TPS and</w:t>
            </w:r>
          </w:p>
        </w:tc>
        <w:tc>
          <w:tcPr>
            <w:tcW w:w="100" w:type="dxa"/>
            <w:vAlign w:val="bottom"/>
          </w:tcPr>
          <w:p>
            <w:pPr>
              <w:spacing w:after="0"/>
              <w:rPr>
                <w:sz w:val="16"/>
                <w:szCs w:val="16"/>
                <w:color w:val="auto"/>
              </w:rPr>
            </w:pPr>
          </w:p>
        </w:tc>
        <w:tc>
          <w:tcPr>
            <w:tcW w:w="144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94"/>
              </w:rPr>
              <w:t>TPS and</w:t>
            </w:r>
          </w:p>
        </w:tc>
      </w:tr>
      <w:tr>
        <w:trPr>
          <w:trHeight w:val="237"/>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86"/>
              </w:rPr>
              <w:t>Issue Date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of TPS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Debentures</w:t>
            </w:r>
          </w:p>
        </w:tc>
        <w:tc>
          <w:tcPr>
            <w:tcW w:w="1560" w:type="dxa"/>
            <w:vAlign w:val="bottom"/>
          </w:tcPr>
          <w:p>
            <w:pPr>
              <w:jc w:val="center"/>
              <w:spacing w:after="0" w:line="231" w:lineRule="exact"/>
              <w:rPr>
                <w:sz w:val="20"/>
                <w:szCs w:val="20"/>
                <w:color w:val="auto"/>
              </w:rPr>
            </w:pPr>
            <w:r>
              <w:rPr>
                <w:rFonts w:ascii="Arial" w:cs="Arial" w:eastAsia="Arial" w:hAnsi="Arial"/>
                <w:sz w:val="16"/>
                <w:szCs w:val="16"/>
                <w:b w:val="1"/>
                <w:bCs w:val="1"/>
                <w:color w:val="auto"/>
                <w:w w:val="91"/>
              </w:rPr>
              <w:t>Debentures</w:t>
            </w:r>
            <w:r>
              <w:rPr>
                <w:rFonts w:ascii="Arial" w:cs="Arial" w:eastAsia="Arial" w:hAnsi="Arial"/>
                <w:sz w:val="26"/>
                <w:szCs w:val="26"/>
                <w:b w:val="1"/>
                <w:bCs w:val="1"/>
                <w:color w:val="auto"/>
                <w:w w:val="91"/>
                <w:vertAlign w:val="superscript"/>
              </w:rPr>
              <w:t>(1)</w:t>
            </w:r>
          </w:p>
        </w:tc>
        <w:tc>
          <w:tcPr>
            <w:tcW w:w="100" w:type="dxa"/>
            <w:vAlign w:val="bottom"/>
          </w:tcPr>
          <w:p>
            <w:pPr>
              <w:spacing w:after="0"/>
              <w:rPr>
                <w:sz w:val="20"/>
                <w:szCs w:val="20"/>
                <w:color w:val="auto"/>
              </w:rPr>
            </w:pPr>
          </w:p>
        </w:tc>
        <w:tc>
          <w:tcPr>
            <w:tcW w:w="1440" w:type="dxa"/>
            <w:vAlign w:val="bottom"/>
          </w:tcPr>
          <w:p>
            <w:pPr>
              <w:jc w:val="center"/>
              <w:spacing w:after="0" w:line="231" w:lineRule="exact"/>
              <w:rPr>
                <w:sz w:val="20"/>
                <w:szCs w:val="20"/>
                <w:color w:val="auto"/>
              </w:rPr>
            </w:pPr>
            <w:r>
              <w:rPr>
                <w:rFonts w:ascii="Arial" w:cs="Arial" w:eastAsia="Arial" w:hAnsi="Arial"/>
                <w:sz w:val="16"/>
                <w:szCs w:val="16"/>
                <w:b w:val="1"/>
                <w:bCs w:val="1"/>
                <w:color w:val="auto"/>
                <w:w w:val="88"/>
              </w:rPr>
              <w:t>Debentures</w:t>
            </w:r>
            <w:r>
              <w:rPr>
                <w:rFonts w:ascii="Arial" w:cs="Arial" w:eastAsia="Arial" w:hAnsi="Arial"/>
                <w:sz w:val="26"/>
                <w:szCs w:val="26"/>
                <w:b w:val="1"/>
                <w:bCs w:val="1"/>
                <w:color w:val="auto"/>
                <w:w w:val="88"/>
                <w:vertAlign w:val="superscript"/>
              </w:rPr>
              <w:t>(2)(3)</w:t>
            </w:r>
          </w:p>
        </w:tc>
      </w:tr>
      <w:tr>
        <w:trPr>
          <w:trHeight w:val="191"/>
        </w:trPr>
        <w:tc>
          <w:tcPr>
            <w:tcW w:w="20" w:type="dxa"/>
            <w:vAlign w:val="bottom"/>
          </w:tcPr>
          <w:p>
            <w:pPr>
              <w:spacing w:after="0"/>
              <w:rPr>
                <w:sz w:val="16"/>
                <w:szCs w:val="16"/>
                <w:color w:val="auto"/>
              </w:rPr>
            </w:pPr>
          </w:p>
        </w:tc>
        <w:tc>
          <w:tcPr>
            <w:tcW w:w="37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South Plains Financial Capital Trust III</w:t>
            </w:r>
          </w:p>
        </w:tc>
        <w:tc>
          <w:tcPr>
            <w:tcW w:w="158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7"/>
                <w:szCs w:val="17"/>
                <w:color w:val="auto"/>
                <w:w w:val="89"/>
              </w:rPr>
              <w:t>2004</w:t>
            </w: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ind w:left="520"/>
              <w:spacing w:after="0" w:line="191" w:lineRule="exact"/>
              <w:rPr>
                <w:sz w:val="20"/>
                <w:szCs w:val="20"/>
                <w:color w:val="auto"/>
              </w:rPr>
            </w:pPr>
            <w:r>
              <w:rPr>
                <w:rFonts w:ascii="Arial" w:cs="Arial" w:eastAsia="Arial" w:hAnsi="Arial"/>
                <w:sz w:val="17"/>
                <w:szCs w:val="17"/>
                <w:color w:val="auto"/>
                <w:w w:val="84"/>
              </w:rPr>
              <w:t>10,310</w:t>
            </w:r>
          </w:p>
        </w:tc>
        <w:tc>
          <w:tcPr>
            <w:tcW w:w="24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476"/>
              <w:spacing w:after="0" w:line="191" w:lineRule="exact"/>
              <w:rPr>
                <w:sz w:val="20"/>
                <w:szCs w:val="20"/>
                <w:color w:val="auto"/>
              </w:rPr>
            </w:pPr>
            <w:r>
              <w:rPr>
                <w:rFonts w:ascii="Arial" w:cs="Arial" w:eastAsia="Arial" w:hAnsi="Arial"/>
                <w:sz w:val="17"/>
                <w:szCs w:val="17"/>
                <w:color w:val="auto"/>
              </w:rPr>
              <w:t>2034</w:t>
            </w:r>
          </w:p>
        </w:tc>
        <w:tc>
          <w:tcPr>
            <w:tcW w:w="10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7"/>
                <w:szCs w:val="17"/>
                <w:color w:val="auto"/>
              </w:rPr>
              <w:t>3-mo. LIBOR +</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265bps; 6.97%</w:t>
            </w:r>
          </w:p>
        </w:tc>
      </w:tr>
      <w:tr>
        <w:trPr>
          <w:trHeight w:val="191"/>
        </w:trPr>
        <w:tc>
          <w:tcPr>
            <w:tcW w:w="20" w:type="dxa"/>
            <w:vAlign w:val="bottom"/>
          </w:tcPr>
          <w:p>
            <w:pPr>
              <w:spacing w:after="0"/>
              <w:rPr>
                <w:sz w:val="16"/>
                <w:szCs w:val="16"/>
                <w:color w:val="auto"/>
              </w:rPr>
            </w:pPr>
          </w:p>
        </w:tc>
        <w:tc>
          <w:tcPr>
            <w:tcW w:w="3700" w:type="dxa"/>
            <w:vAlign w:val="bottom"/>
          </w:tcPr>
          <w:p>
            <w:pPr>
              <w:spacing w:after="0" w:line="191" w:lineRule="exact"/>
              <w:rPr>
                <w:sz w:val="20"/>
                <w:szCs w:val="20"/>
                <w:color w:val="auto"/>
              </w:rPr>
            </w:pPr>
            <w:r>
              <w:rPr>
                <w:rFonts w:ascii="Arial" w:cs="Arial" w:eastAsia="Arial" w:hAnsi="Arial"/>
                <w:sz w:val="17"/>
                <w:szCs w:val="17"/>
                <w:color w:val="auto"/>
              </w:rPr>
              <w:t>South Plains Financial Capital Trust IV</w:t>
            </w:r>
          </w:p>
        </w:tc>
        <w:tc>
          <w:tcPr>
            <w:tcW w:w="1580" w:type="dxa"/>
            <w:vAlign w:val="bottom"/>
          </w:tcPr>
          <w:p>
            <w:pPr>
              <w:jc w:val="center"/>
              <w:spacing w:after="0" w:line="191" w:lineRule="exact"/>
              <w:rPr>
                <w:sz w:val="20"/>
                <w:szCs w:val="20"/>
                <w:color w:val="auto"/>
              </w:rPr>
            </w:pPr>
            <w:r>
              <w:rPr>
                <w:rFonts w:ascii="Arial" w:cs="Arial" w:eastAsia="Arial" w:hAnsi="Arial"/>
                <w:sz w:val="17"/>
                <w:szCs w:val="17"/>
                <w:color w:val="auto"/>
                <w:w w:val="89"/>
              </w:rPr>
              <w:t>2005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20,000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520"/>
              <w:spacing w:after="0" w:line="191" w:lineRule="exact"/>
              <w:rPr>
                <w:sz w:val="20"/>
                <w:szCs w:val="20"/>
                <w:color w:val="auto"/>
              </w:rPr>
            </w:pPr>
            <w:r>
              <w:rPr>
                <w:rFonts w:ascii="Arial" w:cs="Arial" w:eastAsia="Arial" w:hAnsi="Arial"/>
                <w:sz w:val="17"/>
                <w:szCs w:val="17"/>
                <w:color w:val="auto"/>
              </w:rPr>
              <w:t>20,619</w:t>
            </w:r>
          </w:p>
        </w:tc>
        <w:tc>
          <w:tcPr>
            <w:tcW w:w="1560" w:type="dxa"/>
            <w:vAlign w:val="bottom"/>
          </w:tcPr>
          <w:p>
            <w:pPr>
              <w:jc w:val="right"/>
              <w:ind w:right="476"/>
              <w:spacing w:after="0" w:line="191" w:lineRule="exact"/>
              <w:rPr>
                <w:sz w:val="20"/>
                <w:szCs w:val="20"/>
                <w:color w:val="auto"/>
              </w:rPr>
            </w:pPr>
            <w:r>
              <w:rPr>
                <w:rFonts w:ascii="Arial" w:cs="Arial" w:eastAsia="Arial" w:hAnsi="Arial"/>
                <w:sz w:val="17"/>
                <w:szCs w:val="17"/>
                <w:color w:val="auto"/>
              </w:rPr>
              <w:t>2035</w:t>
            </w:r>
          </w:p>
        </w:tc>
        <w:tc>
          <w:tcPr>
            <w:tcW w:w="1540" w:type="dxa"/>
            <w:vAlign w:val="bottom"/>
            <w:gridSpan w:val="2"/>
          </w:tcPr>
          <w:p>
            <w:pPr>
              <w:ind w:left="100"/>
              <w:spacing w:after="0" w:line="191" w:lineRule="exact"/>
              <w:rPr>
                <w:sz w:val="20"/>
                <w:szCs w:val="20"/>
                <w:color w:val="auto"/>
              </w:rPr>
            </w:pPr>
            <w:r>
              <w:rPr>
                <w:rFonts w:ascii="Arial" w:cs="Arial" w:eastAsia="Arial" w:hAnsi="Arial"/>
                <w:sz w:val="17"/>
                <w:szCs w:val="17"/>
                <w:color w:val="auto"/>
              </w:rPr>
              <w:t>3-mo. LIBOR +</w:t>
            </w: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7"/>
                <w:szCs w:val="17"/>
                <w:color w:val="auto"/>
              </w:rPr>
              <w:t>139bps; 6.16%</w:t>
            </w:r>
          </w:p>
        </w:tc>
      </w:tr>
      <w:tr>
        <w:trPr>
          <w:trHeight w:val="192"/>
        </w:trPr>
        <w:tc>
          <w:tcPr>
            <w:tcW w:w="20" w:type="dxa"/>
            <w:vAlign w:val="bottom"/>
          </w:tcPr>
          <w:p>
            <w:pPr>
              <w:spacing w:after="0"/>
              <w:rPr>
                <w:sz w:val="16"/>
                <w:szCs w:val="16"/>
                <w:color w:val="auto"/>
              </w:rPr>
            </w:pPr>
          </w:p>
        </w:tc>
        <w:tc>
          <w:tcPr>
            <w:tcW w:w="37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South Plains Financial Capital Trust V</w:t>
            </w:r>
          </w:p>
        </w:tc>
        <w:tc>
          <w:tcPr>
            <w:tcW w:w="15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9"/>
              </w:rPr>
              <w:t>2007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15,000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520"/>
              <w:spacing w:after="0" w:line="193" w:lineRule="exact"/>
              <w:rPr>
                <w:sz w:val="20"/>
                <w:szCs w:val="20"/>
                <w:color w:val="auto"/>
              </w:rPr>
            </w:pPr>
            <w:r>
              <w:rPr>
                <w:rFonts w:ascii="Arial" w:cs="Arial" w:eastAsia="Arial" w:hAnsi="Arial"/>
                <w:sz w:val="17"/>
                <w:szCs w:val="17"/>
                <w:color w:val="auto"/>
              </w:rPr>
              <w:t>15,464</w:t>
            </w:r>
          </w:p>
        </w:tc>
        <w:tc>
          <w:tcPr>
            <w:tcW w:w="1560" w:type="dxa"/>
            <w:vAlign w:val="bottom"/>
            <w:shd w:val="clear" w:color="auto" w:fill="CCEEFF"/>
          </w:tcPr>
          <w:p>
            <w:pPr>
              <w:jc w:val="right"/>
              <w:ind w:right="476"/>
              <w:spacing w:after="0" w:line="193" w:lineRule="exact"/>
              <w:rPr>
                <w:sz w:val="20"/>
                <w:szCs w:val="20"/>
                <w:color w:val="auto"/>
              </w:rPr>
            </w:pPr>
            <w:r>
              <w:rPr>
                <w:rFonts w:ascii="Arial" w:cs="Arial" w:eastAsia="Arial" w:hAnsi="Arial"/>
                <w:sz w:val="17"/>
                <w:szCs w:val="17"/>
                <w:color w:val="auto"/>
              </w:rPr>
              <w:t>2037</w:t>
            </w:r>
          </w:p>
        </w:tc>
        <w:tc>
          <w:tcPr>
            <w:tcW w:w="1540" w:type="dxa"/>
            <w:vAlign w:val="bottom"/>
            <w:gridSpan w:val="2"/>
            <w:shd w:val="clear" w:color="auto" w:fill="CCEEFF"/>
          </w:tcPr>
          <w:p>
            <w:pPr>
              <w:ind w:left="100"/>
              <w:spacing w:after="0" w:line="193" w:lineRule="exact"/>
              <w:rPr>
                <w:sz w:val="20"/>
                <w:szCs w:val="20"/>
                <w:color w:val="auto"/>
              </w:rPr>
            </w:pPr>
            <w:r>
              <w:rPr>
                <w:rFonts w:ascii="Arial" w:cs="Arial" w:eastAsia="Arial" w:hAnsi="Arial"/>
                <w:sz w:val="17"/>
                <w:szCs w:val="17"/>
                <w:color w:val="auto"/>
              </w:rPr>
              <w:t>3-mo. LIBOR +</w:t>
            </w:r>
          </w:p>
        </w:tc>
      </w:tr>
      <w:tr>
        <w:trPr>
          <w:trHeight w:val="222"/>
        </w:trPr>
        <w:tc>
          <w:tcPr>
            <w:tcW w:w="2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150bps; 6.27%</w:t>
            </w:r>
          </w:p>
        </w:tc>
      </w:tr>
      <w:tr>
        <w:trPr>
          <w:trHeight w:val="204"/>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Total</w:t>
            </w:r>
          </w:p>
        </w:tc>
        <w:tc>
          <w:tcPr>
            <w:tcW w:w="1580" w:type="dxa"/>
            <w:vAlign w:val="bottom"/>
          </w:tcPr>
          <w:p>
            <w:pPr>
              <w:spacing w:after="0"/>
              <w:rPr>
                <w:sz w:val="17"/>
                <w:szCs w:val="17"/>
                <w:color w:val="auto"/>
              </w:rPr>
            </w:pP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45,000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520"/>
              <w:spacing w:after="0"/>
              <w:rPr>
                <w:sz w:val="20"/>
                <w:szCs w:val="20"/>
                <w:color w:val="auto"/>
              </w:rPr>
            </w:pPr>
            <w:r>
              <w:rPr>
                <w:rFonts w:ascii="Arial" w:cs="Arial" w:eastAsia="Arial" w:hAnsi="Arial"/>
                <w:sz w:val="17"/>
                <w:szCs w:val="17"/>
                <w:color w:val="auto"/>
              </w:rPr>
              <w:t>46,393</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1" w:lineRule="exact"/>
        <w:rPr>
          <w:sz w:val="20"/>
          <w:szCs w:val="20"/>
          <w:color w:val="auto"/>
        </w:rPr>
      </w:pPr>
    </w:p>
    <w:p>
      <w:pPr>
        <w:ind w:left="300" w:hanging="298"/>
        <w:spacing w:after="0" w:line="274"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be redeemed five years from the issue date, the Company has no current plans to redeem; (2) Interest payable quarterly with principal due at maturity; (3) Rate as of last reset date.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Subordinated debt</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In December 2018, the Company issued $26.5 million in subordinated notes. Notes totaling $12.4 million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prime rate, with a floor of 4.0% and a ceiling of 7.5%. These notes pay interest quarterly, are unsecured, and may be called by the Company at any time after the remaining maturity is five years or less. Additionally, these notes qualify for Tier 2 capital treatment, subject to regulatory limitations.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qualify for Tier 2 capital treatment, subject to regulatory limitations.</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2022 and 2021, the total amount of subordinated notes outstanding was $76.5 million less approximately $511 thousand and $697 thousand of remaining debt issuance costs, respectively, for a total balance of $76.0 million and $75.8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11. EMPLOYEE BENEFITS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sponsors the South Plains Financial, Inc. ESOP. Effective May 9, 2019, the ESOP was restated and amended. The 401(k) related assets, which consisted of participants’ elective and rollover accounts, were transferred to the newly formed City Bank 401(k) Plan. The ESOP covers all employees who have completed one month of service.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ESOP may be leveraged to purchase shares of SPFI stock. Shares are released from collateral and allocated to active employees, in proportion to annual debt service. The Company recognizes any debt of the ESOP as notes payable and the shares pledged as collateral are deducted from the stockholders’ equity as unearned ESOP shares in the accompanying consolidated balance sheets. All ESOP shares were allocated as of December 31, 2022 and 2021.</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Through 2019, the Company made contributions to the ESOP as approved by the Board of Directors on an annual basis. These contributions, plus dividends received, were used to service any ESOP debt and repurchase allocated shares from participants and terminating vested participants. There were no Company contributions made to the ESOP in 2022,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and 2021, the number of shares held by the ESOP were 2,574,100 and 2,795,762, respectively.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30, 2022, the board of directors of the Company adopted resolutions to terminate the ESOP, effective as of December 31, 2022. Upon termination of the ESOP, all ESOP participants became fully vested in their ESOP benefits without regard to whether they were fully vested in such benefits as of the effective date of the termination. Following the completion of the final accounting and allocation of ESOP assets, the ESOP administrator will send applicable distribution forms to all ESOP participants and beneficiaries. As a result of the ESOP termination, all ESOP assets will be distributed to the ESOP participants in a lump sum distribution of cash and Company stock, without consideration as to whether the participant consents to such distribution. However, in the event that an ESOP participant’s account exceeds $1,000 and the participant fails to consent to the distribution, the participant’s account balance will be distributed to an individual retirement account for the participant’s benefit. Furthermore, if an ESOP participant’s account balance is $10,000 or less and the participant elects to receive a cash distribution, then such account balance will be distributed to the ESOP participant in a lump sum cash payment.</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$1.9 million in 2022, $1.8 million in 2021, and $1.7 in 2020.</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Employee Health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has a self-insured welfare benefit plan which provides health and dental benefits. For officers of the Company, there is no</w:t>
      </w:r>
      <w:r>
        <w:rPr>
          <w:rFonts w:ascii="Arial" w:cs="Arial" w:eastAsia="Arial" w:hAnsi="Arial"/>
          <w:sz w:val="17"/>
          <w:szCs w:val="17"/>
          <w:i w:val="1"/>
          <w:iCs w:val="1"/>
          <w:color w:val="auto"/>
        </w:rPr>
        <w:t xml:space="preserve"> </w:t>
      </w:r>
      <w:r>
        <w:rPr>
          <w:rFonts w:ascii="Arial" w:cs="Arial" w:eastAsia="Arial" w:hAnsi="Arial"/>
          <w:sz w:val="17"/>
          <w:szCs w:val="17"/>
          <w:color w:val="auto"/>
        </w:rPr>
        <w:t>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$4.2 million, $4.5 million, and $4.4 million for the years ended December 31, 2022, 2021, and 2020, respectively. In addition, benefit obligations have been accrued and include reported claims payable and claims incurred but not reported, for approximately $653 thousand and $825 thousand as of December 31, 2022 and 2021, respectively. The Company has limited its risk exposure for these benefits through a stop-loss policy with an independent third party insurer which reimburses benefits paid that exceed $150 thousand per participant per year.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u w:val="single" w:color="auto"/>
          <w:color w:val="auto"/>
        </w:rPr>
        <w:t>Non-Qualified Plans</w:t>
      </w:r>
      <w:r>
        <w:rPr>
          <w:rFonts w:ascii="Arial" w:cs="Arial" w:eastAsia="Arial" w:hAnsi="Arial"/>
          <w:sz w:val="17"/>
          <w:szCs w:val="17"/>
          <w:i w:val="1"/>
          <w:iCs w:val="1"/>
          <w:color w:val="auto"/>
        </w:rPr>
        <w:t xml:space="preserve"> </w:t>
      </w:r>
      <w:r>
        <w:rPr>
          <w:rFonts w:ascii="Arial" w:cs="Arial" w:eastAsia="Arial" w:hAnsi="Arial"/>
          <w:sz w:val="17"/>
          <w:szCs w:val="17"/>
          <w:color w:val="auto"/>
        </w:rPr>
        <w:t>– Certain Company executives, as determined by the Company’s Board from time-to-time, have post-retirement salary continuation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 Executive Salary Continuation Plan. Retirement ages and retirement salary amounts are specified in each agreement. The Company accrues actuarial estimates of the costs of these benefits over the respective service periods; approximately $12.9 million and $12.5 million was accrued at December 31, 2022 and 2021, respectively. This plan is nonqualified, noncontributory, and unfunded. The charge to income for this plan during 2022, 2021, and 2020 was approximately $1.0 million, $1.0 million and, $1.1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12. STOCK-BASED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Equity Incentive Plan</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3,916,180 at December 31, 2022. The maximum aggregate number of shares that may be issued under the Plan may be increased annually by up to 3% of the total issued and outstanding common shares of the Company at the beginning of each fiscal year.</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Options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in the Plan during the year ended December 31, 2022 is presented in the table below (dollars in thousands, except per share data):</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Weighted-Average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Number</w:t>
            </w: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w w:val="93"/>
              </w:rPr>
              <w:t>Weighted-Average</w:t>
            </w:r>
          </w:p>
        </w:tc>
        <w:tc>
          <w:tcPr>
            <w:tcW w:w="20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6"/>
              </w:rPr>
              <w:t>Remaining Contractual</w:t>
            </w: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of Shares</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9"/>
              </w:rPr>
              <w:t>Exercise Price</w:t>
            </w:r>
          </w:p>
        </w:tc>
        <w:tc>
          <w:tcPr>
            <w:tcW w:w="100" w:type="dxa"/>
            <w:vAlign w:val="bottom"/>
          </w:tcPr>
          <w:p>
            <w:pPr>
              <w:spacing w:after="0"/>
              <w:rPr>
                <w:sz w:val="19"/>
                <w:szCs w:val="19"/>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Life in Years</w:t>
            </w:r>
          </w:p>
        </w:tc>
        <w:tc>
          <w:tcPr>
            <w:tcW w:w="120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Intrinsic Value</w:t>
            </w:r>
          </w:p>
        </w:tc>
        <w:tc>
          <w:tcPr>
            <w:tcW w:w="0" w:type="dxa"/>
            <w:vAlign w:val="bottom"/>
          </w:tcPr>
          <w:p>
            <w:pPr>
              <w:spacing w:after="0"/>
              <w:rPr>
                <w:sz w:val="1"/>
                <w:szCs w:val="1"/>
                <w:color w:val="auto"/>
              </w:rPr>
            </w:pPr>
          </w:p>
        </w:tc>
      </w:tr>
      <w:tr>
        <w:trPr>
          <w:trHeight w:val="166"/>
        </w:trPr>
        <w:tc>
          <w:tcPr>
            <w:tcW w:w="5320" w:type="dxa"/>
            <w:vAlign w:val="bottom"/>
            <w:gridSpan w:val="3"/>
          </w:tcPr>
          <w:p>
            <w:pPr>
              <w:spacing w:after="0" w:line="166" w:lineRule="exact"/>
              <w:rPr>
                <w:sz w:val="20"/>
                <w:szCs w:val="20"/>
                <w:color w:val="auto"/>
              </w:rPr>
            </w:pPr>
            <w:r>
              <w:rPr>
                <w:rFonts w:ascii="Arial" w:cs="Arial" w:eastAsia="Arial" w:hAnsi="Arial"/>
                <w:sz w:val="17"/>
                <w:szCs w:val="17"/>
                <w:color w:val="auto"/>
              </w:rPr>
              <w:t>Year Ended December 31, 2022</w:t>
            </w:r>
          </w:p>
        </w:tc>
        <w:tc>
          <w:tcPr>
            <w:tcW w:w="10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1,602,028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45,203</w:t>
            </w: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29.40</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(282,276)</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14.18</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gridSpan w:val="2"/>
          </w:tcPr>
          <w:p>
            <w:pPr>
              <w:ind w:left="140"/>
              <w:spacing w:after="0"/>
              <w:rPr>
                <w:sz w:val="20"/>
                <w:szCs w:val="20"/>
                <w:color w:val="auto"/>
              </w:rPr>
            </w:pPr>
            <w:r>
              <w:rPr>
                <w:rFonts w:ascii="Arial" w:cs="Arial" w:eastAsia="Arial" w:hAnsi="Arial"/>
                <w:sz w:val="17"/>
                <w:szCs w:val="17"/>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(7,449)</w:t>
            </w: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19.30</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Expired</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18.27</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spacing w:after="0"/>
              <w:rPr>
                <w:sz w:val="17"/>
                <w:szCs w:val="17"/>
                <w:color w:val="auto"/>
              </w:rPr>
            </w:pPr>
          </w:p>
        </w:tc>
        <w:tc>
          <w:tcPr>
            <w:tcW w:w="2020" w:type="dxa"/>
            <w:vAlign w:val="bottom"/>
            <w:tcBorders>
              <w:top w:val="single" w:sz="8" w:color="CCEEFF"/>
            </w:tcBorders>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1,354,189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16.11</w:t>
            </w:r>
          </w:p>
        </w:tc>
        <w:tc>
          <w:tcPr>
            <w:tcW w:w="2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5.69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15,536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16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Exercisable at end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1,027,161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14.62</w:t>
            </w:r>
          </w:p>
        </w:tc>
        <w:tc>
          <w:tcPr>
            <w:tcW w:w="2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13,250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16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 at end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1,027,161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14.62</w:t>
            </w:r>
          </w:p>
        </w:tc>
        <w:tc>
          <w:tcPr>
            <w:tcW w:w="2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5.03</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 summary of assumptions used to calculate the fair values of the awards granted during the periods noted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ind w:left="720"/>
              <w:spacing w:after="0"/>
              <w:rPr>
                <w:sz w:val="20"/>
                <w:szCs w:val="20"/>
                <w:color w:val="auto"/>
              </w:rPr>
            </w:pPr>
            <w:r>
              <w:rPr>
                <w:rFonts w:ascii="Arial" w:cs="Arial" w:eastAsia="Arial" w:hAnsi="Arial"/>
                <w:sz w:val="17"/>
                <w:szCs w:val="17"/>
                <w:b w:val="1"/>
                <w:bCs w:val="1"/>
                <w:color w:val="auto"/>
                <w:w w:val="95"/>
              </w:rPr>
              <w:t>Year Ended December 31,</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72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Expected volatility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40.20% to</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41.20% to</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41.32%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27.46%</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1.30%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0.70%</w:t>
            </w: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 to 6.3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6.1 to 6.2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300" w:type="dxa"/>
            <w:vAlign w:val="bottom"/>
            <w:gridSpan w:val="3"/>
          </w:tcPr>
          <w:p>
            <w:pPr>
              <w:jc w:val="right"/>
              <w:ind w:right="200"/>
              <w:spacing w:after="0"/>
              <w:rPr>
                <w:sz w:val="20"/>
                <w:szCs w:val="20"/>
                <w:color w:val="auto"/>
              </w:rPr>
            </w:pPr>
            <w:r>
              <w:rPr>
                <w:rFonts w:ascii="Arial" w:cs="Arial" w:eastAsia="Arial" w:hAnsi="Arial"/>
                <w:sz w:val="17"/>
                <w:szCs w:val="17"/>
                <w:color w:val="auto"/>
                <w:w w:val="89"/>
              </w:rPr>
              <w:t>1.56% to 1.95%</w:t>
            </w:r>
          </w:p>
        </w:tc>
        <w:tc>
          <w:tcPr>
            <w:tcW w:w="60" w:type="dxa"/>
            <w:vAlign w:val="bottom"/>
          </w:tcPr>
          <w:p>
            <w:pPr>
              <w:spacing w:after="0"/>
              <w:rPr>
                <w:sz w:val="17"/>
                <w:szCs w:val="17"/>
                <w:color w:val="auto"/>
              </w:rPr>
            </w:pPr>
          </w:p>
        </w:tc>
        <w:tc>
          <w:tcPr>
            <w:tcW w:w="1620" w:type="dxa"/>
            <w:vAlign w:val="bottom"/>
            <w:gridSpan w:val="4"/>
          </w:tcPr>
          <w:p>
            <w:pPr>
              <w:jc w:val="right"/>
              <w:ind w:right="500"/>
              <w:spacing w:after="0"/>
              <w:rPr>
                <w:sz w:val="20"/>
                <w:szCs w:val="20"/>
                <w:color w:val="auto"/>
              </w:rPr>
            </w:pPr>
            <w:r>
              <w:rPr>
                <w:rFonts w:ascii="Arial" w:cs="Arial" w:eastAsia="Arial" w:hAnsi="Arial"/>
                <w:sz w:val="17"/>
                <w:szCs w:val="17"/>
                <w:color w:val="auto"/>
                <w:w w:val="91"/>
              </w:rPr>
              <w:t>0.52% to 0.83%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1.44%</w:t>
            </w: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grant date fair value</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7.07</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w:t>
            </w: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total intrinsic value of options exercised during the years ended December 31, 2022, 2021, and 2020 was $3.9 million, $2.1 million, and $1.1 million,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5"/>
              </w:rPr>
              <w:t>Table of Contents</w:t>
            </w:r>
          </w:p>
        </w:tc>
        <w:tc>
          <w:tcPr>
            <w:tcW w:w="754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7"/>
                <w:szCs w:val="17"/>
                <w:i w:val="1"/>
                <w:iCs w:val="1"/>
                <w:color w:val="auto"/>
                <w:w w:val="89"/>
              </w:rPr>
              <w:t>Restricted Stock Awards and Units</w:t>
            </w:r>
          </w:p>
        </w:tc>
        <w:tc>
          <w:tcPr>
            <w:tcW w:w="6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500" w:type="dxa"/>
            <w:vAlign w:val="bottom"/>
            <w:gridSpan w:val="5"/>
          </w:tcPr>
          <w:p>
            <w:pPr>
              <w:spacing w:after="0"/>
              <w:rPr>
                <w:sz w:val="20"/>
                <w:szCs w:val="20"/>
                <w:color w:val="auto"/>
              </w:rPr>
            </w:pPr>
            <w:r>
              <w:rPr>
                <w:rFonts w:ascii="Arial" w:cs="Arial" w:eastAsia="Arial" w:hAnsi="Arial"/>
                <w:sz w:val="17"/>
                <w:szCs w:val="17"/>
                <w:color w:val="auto"/>
              </w:rPr>
              <w:t>A summary of activity in the Plan during the year ended December 31, 2022 is presented in the table below:</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Number</w:t>
            </w:r>
          </w:p>
        </w:tc>
        <w:tc>
          <w:tcPr>
            <w:tcW w:w="16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of Shares</w:t>
            </w:r>
          </w:p>
        </w:tc>
        <w:tc>
          <w:tcPr>
            <w:tcW w:w="16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66"/>
        </w:trPr>
        <w:tc>
          <w:tcPr>
            <w:tcW w:w="8500" w:type="dxa"/>
            <w:vAlign w:val="bottom"/>
            <w:gridSpan w:val="5"/>
          </w:tcPr>
          <w:p>
            <w:pPr>
              <w:spacing w:after="0" w:line="166" w:lineRule="exact"/>
              <w:rPr>
                <w:sz w:val="20"/>
                <w:szCs w:val="20"/>
                <w:color w:val="auto"/>
              </w:rPr>
            </w:pPr>
            <w:r>
              <w:rPr>
                <w:rFonts w:ascii="Arial" w:cs="Arial" w:eastAsia="Arial" w:hAnsi="Arial"/>
                <w:sz w:val="17"/>
                <w:szCs w:val="17"/>
                <w:color w:val="auto"/>
              </w:rPr>
              <w:t>Year Ended December 31, 2022</w:t>
            </w: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42,767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gridSpan w:val="4"/>
          </w:tcPr>
          <w:p>
            <w:pPr>
              <w:ind w:left="140"/>
              <w:spacing w:after="0"/>
              <w:rPr>
                <w:sz w:val="20"/>
                <w:szCs w:val="20"/>
                <w:color w:val="auto"/>
              </w:rPr>
            </w:pPr>
            <w:r>
              <w:rPr>
                <w:rFonts w:ascii="Arial" w:cs="Arial" w:eastAsia="Arial" w:hAnsi="Arial"/>
                <w:sz w:val="17"/>
                <w:szCs w:val="17"/>
                <w:color w:val="auto"/>
              </w:rPr>
              <w:t>Granted</w:t>
            </w:r>
          </w:p>
        </w:tc>
        <w:tc>
          <w:tcPr>
            <w:tcW w:w="1120" w:type="dxa"/>
            <w:vAlign w:val="bottom"/>
          </w:tcPr>
          <w:p>
            <w:pPr>
              <w:jc w:val="right"/>
              <w:spacing w:after="0"/>
              <w:rPr>
                <w:sz w:val="20"/>
                <w:szCs w:val="20"/>
                <w:color w:val="auto"/>
              </w:rPr>
            </w:pPr>
            <w:r>
              <w:rPr>
                <w:rFonts w:ascii="Arial" w:cs="Arial" w:eastAsia="Arial" w:hAnsi="Arial"/>
                <w:sz w:val="17"/>
                <w:szCs w:val="17"/>
                <w:color w:val="auto"/>
              </w:rPr>
              <w:t>74,891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28.87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(28,628)</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80" w:type="dxa"/>
            <w:vAlign w:val="bottom"/>
            <w:gridSpan w:val="4"/>
          </w:tcPr>
          <w:p>
            <w:pPr>
              <w:ind w:left="140"/>
              <w:spacing w:after="0"/>
              <w:rPr>
                <w:sz w:val="20"/>
                <w:szCs w:val="20"/>
                <w:color w:val="auto"/>
              </w:rPr>
            </w:pPr>
            <w:r>
              <w:rPr>
                <w:rFonts w:ascii="Arial" w:cs="Arial" w:eastAsia="Arial" w:hAnsi="Arial"/>
                <w:sz w:val="17"/>
                <w:szCs w:val="17"/>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(4,688)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28.16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80" w:type="dxa"/>
            <w:vAlign w:val="bottom"/>
            <w:gridSpan w:val="4"/>
          </w:tcPr>
          <w:p>
            <w:pPr>
              <w:spacing w:after="0"/>
              <w:rPr>
                <w:sz w:val="20"/>
                <w:szCs w:val="20"/>
                <w:color w:val="auto"/>
              </w:rPr>
            </w:pPr>
            <w:r>
              <w:rPr>
                <w:rFonts w:ascii="Arial" w:cs="Arial" w:eastAsia="Arial" w:hAnsi="Arial"/>
                <w:sz w:val="17"/>
                <w:szCs w:val="17"/>
                <w:color w:val="auto"/>
              </w:rPr>
              <w:t>Balance, December 31, 2022</w:t>
            </w:r>
          </w:p>
        </w:tc>
        <w:tc>
          <w:tcPr>
            <w:tcW w:w="1120" w:type="dxa"/>
            <w:vAlign w:val="bottom"/>
          </w:tcPr>
          <w:p>
            <w:pPr>
              <w:jc w:val="right"/>
              <w:spacing w:after="0"/>
              <w:rPr>
                <w:sz w:val="20"/>
                <w:szCs w:val="20"/>
                <w:color w:val="auto"/>
              </w:rPr>
            </w:pPr>
            <w:r>
              <w:rPr>
                <w:rFonts w:ascii="Arial" w:cs="Arial" w:eastAsia="Arial" w:hAnsi="Arial"/>
                <w:sz w:val="17"/>
                <w:szCs w:val="17"/>
                <w:color w:val="auto"/>
              </w:rPr>
              <w:t>84,342</w:t>
            </w:r>
          </w:p>
        </w:tc>
        <w:tc>
          <w:tcPr>
            <w:tcW w:w="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years ended December 31, 2022, 2021, and 2020 the Company recorded stock-based compensation expense related to the Plan of $2.8 million, $1.6 million and $1.3 million, respectively.</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total unrecognized compensation cost for the awards outstanding under the Plan at December 31, 2022 was $2.5 million and will be recognized over a weighted average remaining period of 1.61 years. The total fair value of restricted stock units vested during the years ended December 31, 2022, 2021, and 2020 was $601 thousand, $489 thousand, and $489 thousand,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13.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income tax expense (benefit) was as follows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7"/>
                <w:szCs w:val="17"/>
                <w:b w:val="1"/>
                <w:bCs w:val="1"/>
                <w:color w:val="auto"/>
              </w:rPr>
              <w:t>Years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3"/>
        </w:trPr>
        <w:tc>
          <w:tcPr>
            <w:tcW w:w="4580" w:type="dxa"/>
            <w:vAlign w:val="bottom"/>
            <w:gridSpan w:val="2"/>
          </w:tcPr>
          <w:p>
            <w:pPr>
              <w:spacing w:after="0"/>
              <w:rPr>
                <w:sz w:val="20"/>
                <w:szCs w:val="20"/>
                <w:color w:val="auto"/>
              </w:rPr>
            </w:pPr>
            <w:r>
              <w:rPr>
                <w:rFonts w:ascii="Arial" w:cs="Arial" w:eastAsia="Arial" w:hAnsi="Arial"/>
                <w:sz w:val="17"/>
                <w:szCs w:val="17"/>
                <w:color w:val="auto"/>
              </w:rPr>
              <w:t>Current expense</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98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13,250</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12,834</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12,590</w:t>
            </w:r>
          </w:p>
        </w:tc>
      </w:tr>
      <w:tr>
        <w:trPr>
          <w:trHeight w:val="204"/>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State</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220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248</w:t>
            </w:r>
          </w:p>
        </w:tc>
      </w:tr>
      <w:tr>
        <w:trPr>
          <w:trHeight w:val="204"/>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Deferred expense (benefit)</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Federal</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1,453</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(1,588)</w:t>
            </w: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Effective tax rates differ from the federal statutory rate of 21% applied to income before income taxes due to the following for the periods indicated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8"/>
          </w:tcPr>
          <w:p>
            <w:pPr>
              <w:jc w:val="right"/>
              <w:ind w:right="35"/>
              <w:spacing w:after="0"/>
              <w:rPr>
                <w:sz w:val="20"/>
                <w:szCs w:val="20"/>
                <w:color w:val="auto"/>
              </w:rPr>
            </w:pPr>
            <w:r>
              <w:rPr>
                <w:rFonts w:ascii="Arial" w:cs="Arial" w:eastAsia="Arial" w:hAnsi="Arial"/>
                <w:sz w:val="17"/>
                <w:szCs w:val="17"/>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Federal statutory rate times financial statement income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15,355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Effect of:</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Tax-exempt income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(953)</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State taxes, net of federal benefit</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239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from bank owned life insurance</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(251)</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Non-deductible expenses</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409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w:t>
            </w:r>
          </w:p>
        </w:tc>
        <w:tc>
          <w:tcPr>
            <w:tcW w:w="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14,911</w:t>
            </w: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14,507</w:t>
            </w: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Effective tax rate</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20.38%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19.84%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19.87%</w:t>
            </w:r>
          </w:p>
        </w:tc>
        <w:tc>
          <w:tcPr>
            <w:tcW w:w="0" w:type="dxa"/>
            <w:vAlign w:val="bottom"/>
          </w:tcPr>
          <w:p>
            <w:pPr>
              <w:spacing w:after="0"/>
              <w:rPr>
                <w:sz w:val="1"/>
                <w:szCs w:val="1"/>
                <w:color w:val="auto"/>
              </w:rPr>
            </w:pPr>
          </w:p>
        </w:tc>
      </w:tr>
      <w:tr>
        <w:trPr>
          <w:trHeight w:val="395"/>
        </w:trPr>
        <w:tc>
          <w:tcPr>
            <w:tcW w:w="8560" w:type="dxa"/>
            <w:vAlign w:val="bottom"/>
            <w:gridSpan w:val="5"/>
          </w:tcPr>
          <w:p>
            <w:pPr>
              <w:spacing w:after="0"/>
              <w:rPr>
                <w:sz w:val="20"/>
                <w:szCs w:val="20"/>
                <w:color w:val="auto"/>
              </w:rPr>
            </w:pPr>
            <w:r>
              <w:rPr>
                <w:rFonts w:ascii="Arial" w:cs="Arial" w:eastAsia="Arial" w:hAnsi="Arial"/>
                <w:sz w:val="17"/>
                <w:szCs w:val="17"/>
                <w:color w:val="auto"/>
                <w:w w:val="96"/>
              </w:rPr>
              <w:t>Year-end deferred tax assets and liabilities were due to the following as of the periods indicated (dollars in thousands):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6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Allowance for loan losses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8,251</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Deferred compensation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5,772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Nonaccrual loans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 on available-for-sale securities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21,579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36,506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(2,672)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Prepaid expenses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(355)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Mortgage servicing rights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(5,770)</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Arial" w:cs="Arial" w:eastAsia="Arial" w:hAnsi="Arial"/>
                <w:sz w:val="17"/>
                <w:szCs w:val="17"/>
                <w:color w:val="auto"/>
              </w:rPr>
              <w:t>Unrealized gain on available-for-sale securities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(2,438)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(4,386)</w:t>
            </w:r>
          </w:p>
        </w:tc>
        <w:tc>
          <w:tcPr>
            <w:tcW w:w="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(13,688)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(11,797)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asset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left w:val="single" w:sz="8" w:color="CCEEFF"/>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left w:val="single" w:sz="8" w:color="CCEEFF"/>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0" w:gutter="0" w:footer="0" w:header="0"/>
        </w:sectPr>
      </w:pPr>
    </w:p>
    <w:bookmarkStart w:id="92" w:name="page93"/>
    <w:bookmarkEnd w:id="92"/>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45085</wp:posOffset>
            </wp:positionV>
            <wp:extent cx="713994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14. RELATED-PARTY TRANSACTIONS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Direct and indirect loans to executive officers, directors, significant stockholders and their related affiliates as of December 31, 2022 and 2021 aggregated approximately $9.7 million and $12.2 million, respectively. There were no charge-offs related to these loans in 2022 or 2021 and advance and repayment activity was routine. Deposits from these related parties in the consolidated financial statements were not significant.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15. OFF-BALANCE-SHEET ACTIVITIES, COMMITMENTS AND CONTINGENCIES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u w:val="single" w:color="auto"/>
          <w:color w:val="auto"/>
        </w:rPr>
        <w:t>Financial instruments with off-balance-sheet risk</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is a party to financial instruments with off-balance-sheet risk in the normal course of business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gridSpan w:val="2"/>
          </w:tcPr>
          <w:p>
            <w:pPr>
              <w:spacing w:after="0"/>
              <w:rPr>
                <w:sz w:val="20"/>
                <w:szCs w:val="20"/>
                <w:color w:val="auto"/>
              </w:rPr>
            </w:pPr>
            <w:r>
              <w:rPr>
                <w:rFonts w:ascii="Arial" w:cs="Arial" w:eastAsia="Arial" w:hAnsi="Arial"/>
                <w:sz w:val="17"/>
                <w:szCs w:val="17"/>
                <w:color w:val="auto"/>
                <w:w w:val="95"/>
              </w:rPr>
              <w:t>Financial instruments whose contract amounts represent credit risk outstanding at year-end follow (dollars 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4"/>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Commitments to grant loans and unfunded commitments under lines of credit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682,296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542,338</w:t>
            </w:r>
          </w:p>
        </w:tc>
        <w:tc>
          <w:tcPr>
            <w:tcW w:w="10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Standby letters-of-credit</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13,864</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12,418</w:t>
            </w:r>
          </w:p>
        </w:tc>
      </w:tr>
    </w:tbl>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 xml:space="preserve">Litigation </w:t>
      </w:r>
      <w:r>
        <w:rPr>
          <w:rFonts w:ascii="Arial" w:cs="Arial" w:eastAsia="Arial" w:hAnsi="Arial"/>
          <w:sz w:val="15"/>
          <w:szCs w:val="15"/>
          <w:color w:val="auto"/>
        </w:rPr>
        <w:t>– In July 2020, a vendor claimed that City Bank had breached a contract by failing to timely pay amounts allegedly due and owing. City Bank vigorously</w:t>
      </w:r>
      <w:r>
        <w:rPr>
          <w:rFonts w:ascii="Arial" w:cs="Arial" w:eastAsia="Arial" w:hAnsi="Arial"/>
          <w:sz w:val="15"/>
          <w:szCs w:val="15"/>
          <w:i w:val="1"/>
          <w:iCs w:val="1"/>
          <w:color w:val="auto"/>
        </w:rPr>
        <w:t xml:space="preserve"> </w:t>
      </w:r>
      <w:r>
        <w:rPr>
          <w:rFonts w:ascii="Arial" w:cs="Arial" w:eastAsia="Arial" w:hAnsi="Arial"/>
          <w:sz w:val="15"/>
          <w:szCs w:val="15"/>
          <w:color w:val="auto"/>
        </w:rPr>
        <w:t>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On or about September 23, 2022, the parties entered into a Settlement Agreement and Mutual Release, pursuant to which the parties agreed to the settlement and release of all claims and counterclaims in the lawsuit. Thereafter, the parties filed a joint motion to dismiss with prejudice and the court formally dismissed the case by order dated October 7, 2022. A gain contingency was recorded at settlement and that consideration was received on October 3, 2022.</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available to be issued.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u w:val="single" w:color="auto"/>
          <w:color w:val="auto"/>
        </w:rPr>
        <w:t>FHLB Letters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has used FHLB letters of credit to pledge to certain public deposits. There were no FHLB letters of credit outstanding at</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-274955</wp:posOffset>
            </wp:positionV>
            <wp:extent cx="6121400" cy="121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21400" cy="12128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 CAPITAL AND REGULATORY MATTERS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July 2013, the Federal Reserve published final rules for the adoption of the Basel III regulatory capital framework (“Basel III”). Basel III, among other things, (i) introduced a new capital measure called Common Equity Tier 1 (“CET1”), (ii) specified that Tier 1 capital consists of CET1 and Additional Tier 1 Capital instruments meeting specified requirements, (iii) defined CET1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2022 and 2021, that the Company and its bank subsidiary met all capital adequacy requirements to which they are subject.</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of December 31, 2022,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2022 that management believes have changed the bank subsidiary’s category.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85"/>
              </w:rPr>
              <w:t>Table of Contents</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320" w:type="dxa"/>
            <w:vAlign w:val="bottom"/>
            <w:gridSpan w:val="13"/>
          </w:tcPr>
          <w:p>
            <w:pPr>
              <w:spacing w:after="0"/>
              <w:rPr>
                <w:sz w:val="20"/>
                <w:szCs w:val="20"/>
                <w:color w:val="auto"/>
              </w:rPr>
            </w:pPr>
            <w:r>
              <w:rPr>
                <w:rFonts w:ascii="Arial" w:cs="Arial" w:eastAsia="Arial" w:hAnsi="Arial"/>
                <w:sz w:val="17"/>
                <w:szCs w:val="17"/>
                <w:color w:val="auto"/>
                <w:w w:val="94"/>
              </w:rPr>
              <w:t>The Company and its bank subsidiary’s actual capital amounts and ratios follow (dollars in thousands):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5"/>
              </w:rPr>
              <w:t>Minimum Required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center"/>
              <w:ind w:right="300"/>
              <w:spacing w:after="0"/>
              <w:rPr>
                <w:sz w:val="20"/>
                <w:szCs w:val="20"/>
                <w:color w:val="auto"/>
              </w:rPr>
            </w:pPr>
            <w:r>
              <w:rPr>
                <w:rFonts w:ascii="Arial" w:cs="Arial" w:eastAsia="Arial" w:hAnsi="Arial"/>
                <w:sz w:val="17"/>
                <w:szCs w:val="17"/>
                <w:b w:val="1"/>
                <w:bCs w:val="1"/>
                <w:color w:val="auto"/>
                <w:w w:val="91"/>
              </w:rPr>
              <w:t>To Be Well Capitalized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Arial" w:cs="Arial" w:eastAsia="Arial" w:hAnsi="Arial"/>
                <w:sz w:val="17"/>
                <w:szCs w:val="17"/>
                <w:b w:val="1"/>
                <w:bCs w:val="1"/>
                <w:color w:val="auto"/>
              </w:rPr>
              <w:t>Under BASEL III</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w w:val="92"/>
              </w:rPr>
              <w:t>Under Prompt Corrective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ind w:left="800"/>
              <w:spacing w:after="0"/>
              <w:rPr>
                <w:sz w:val="20"/>
                <w:szCs w:val="20"/>
                <w:color w:val="auto"/>
              </w:rPr>
            </w:pPr>
            <w:r>
              <w:rPr>
                <w:rFonts w:ascii="Arial" w:cs="Arial" w:eastAsia="Arial" w:hAnsi="Arial"/>
                <w:sz w:val="17"/>
                <w:szCs w:val="17"/>
                <w:b w:val="1"/>
                <w:bCs w:val="1"/>
                <w:color w:val="auto"/>
              </w:rPr>
              <w:t>Actual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0"/>
              </w:rPr>
              <w:t>Fully Phased-In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w w:val="88"/>
              </w:rPr>
              <w:t>Action Provisions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Amount</w:t>
            </w: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7"/>
                <w:szCs w:val="17"/>
                <w:b w:val="1"/>
                <w:bCs w:val="1"/>
                <w:color w:val="auto"/>
              </w:rPr>
              <w:t>Amount</w:t>
            </w:r>
          </w:p>
        </w:tc>
        <w:tc>
          <w:tcPr>
            <w:tcW w:w="1120" w:type="dxa"/>
            <w:vAlign w:val="bottom"/>
            <w:tcBorders>
              <w:top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Ratio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gridSpan w:val="3"/>
          </w:tcPr>
          <w:p>
            <w:pPr>
              <w:spacing w:after="0" w:line="191" w:lineRule="exact"/>
              <w:rPr>
                <w:sz w:val="20"/>
                <w:szCs w:val="20"/>
                <w:color w:val="auto"/>
              </w:rPr>
            </w:pPr>
            <w:r>
              <w:rPr>
                <w:rFonts w:ascii="Arial" w:cs="Arial" w:eastAsia="Arial" w:hAnsi="Arial"/>
                <w:sz w:val="17"/>
                <w:szCs w:val="17"/>
                <w:b w:val="1"/>
                <w:bCs w:val="1"/>
                <w:color w:val="auto"/>
              </w:rPr>
              <w:t>December 31, 2022:</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80" w:type="dxa"/>
            <w:vAlign w:val="bottom"/>
            <w:gridSpan w:val="3"/>
          </w:tcPr>
          <w:p>
            <w:pPr>
              <w:spacing w:after="0"/>
              <w:rPr>
                <w:sz w:val="20"/>
                <w:szCs w:val="20"/>
                <w:color w:val="auto"/>
              </w:rPr>
            </w:pPr>
            <w:r>
              <w:rPr>
                <w:rFonts w:ascii="Arial" w:cs="Arial" w:eastAsia="Arial" w:hAnsi="Arial"/>
                <w:sz w:val="17"/>
                <w:szCs w:val="17"/>
                <w:color w:val="auto"/>
              </w:rPr>
              <w:t>Total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559,094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354,045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454,427</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13.48%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353,967</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10.50%</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337,112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Tier I Capital to Risk Weighted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443,265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286,608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414,559</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286,545</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269,689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60" w:type="dxa"/>
            <w:vAlign w:val="bottom"/>
            <w:gridSpan w:val="2"/>
          </w:tcPr>
          <w:p>
            <w:pPr>
              <w:spacing w:after="0" w:line="191" w:lineRule="exact"/>
              <w:rPr>
                <w:sz w:val="20"/>
                <w:szCs w:val="20"/>
                <w:color w:val="auto"/>
              </w:rPr>
            </w:pPr>
            <w:r>
              <w:rPr>
                <w:rFonts w:ascii="Arial" w:cs="Arial" w:eastAsia="Arial" w:hAnsi="Arial"/>
                <w:sz w:val="17"/>
                <w:szCs w:val="17"/>
                <w:color w:val="auto"/>
              </w:rPr>
              <w:t>Common Equity Tier 1 to Risk Weighted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398,265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236,030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414,559</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12.30%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235,978</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219,122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Tier I Capital to Average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443,265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161,662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414,559</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161,574</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200,774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384"/>
        </w:trPr>
        <w:tc>
          <w:tcPr>
            <w:tcW w:w="3280" w:type="dxa"/>
            <w:vAlign w:val="bottom"/>
            <w:gridSpan w:val="3"/>
          </w:tcPr>
          <w:p>
            <w:pPr>
              <w:spacing w:after="0"/>
              <w:rPr>
                <w:sz w:val="20"/>
                <w:szCs w:val="20"/>
                <w:color w:val="auto"/>
              </w:rPr>
            </w:pPr>
            <w:r>
              <w:rPr>
                <w:rFonts w:ascii="Arial" w:cs="Arial" w:eastAsia="Arial" w:hAnsi="Arial"/>
                <w:sz w:val="17"/>
                <w:szCs w:val="17"/>
                <w:b w:val="1"/>
                <w:bCs w:val="1"/>
                <w:color w:val="auto"/>
              </w:rPr>
              <w:t>December 31, 2021: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280" w:type="dxa"/>
            <w:vAlign w:val="bottom"/>
            <w:gridSpan w:val="3"/>
          </w:tcPr>
          <w:p>
            <w:pPr>
              <w:spacing w:after="0"/>
              <w:rPr>
                <w:sz w:val="20"/>
                <w:szCs w:val="20"/>
                <w:color w:val="auto"/>
              </w:rPr>
            </w:pPr>
            <w:r>
              <w:rPr>
                <w:rFonts w:ascii="Arial" w:cs="Arial" w:eastAsia="Arial" w:hAnsi="Arial"/>
                <w:sz w:val="17"/>
                <w:szCs w:val="17"/>
                <w:color w:val="auto"/>
              </w:rPr>
              <w:t>Total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524,836</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18.40%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299,521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425,748</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14.93%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299,465</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10.50%</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285,205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Tier I Capital to Risk Weighted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413,322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242,469</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390,015</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13.67%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242,424</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228,164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60" w:type="dxa"/>
            <w:vAlign w:val="bottom"/>
            <w:gridSpan w:val="2"/>
          </w:tcPr>
          <w:p>
            <w:pPr>
              <w:spacing w:after="0" w:line="191" w:lineRule="exact"/>
              <w:rPr>
                <w:sz w:val="20"/>
                <w:szCs w:val="20"/>
                <w:color w:val="auto"/>
              </w:rPr>
            </w:pPr>
            <w:r>
              <w:rPr>
                <w:rFonts w:ascii="Arial" w:cs="Arial" w:eastAsia="Arial" w:hAnsi="Arial"/>
                <w:sz w:val="17"/>
                <w:szCs w:val="17"/>
                <w:color w:val="auto"/>
              </w:rPr>
              <w:t>Common Equity Tier 1 to Risk Weighted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368,322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199,681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390,015</w:t>
            </w: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13.67%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199,644</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185,383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Tier I Capital to Average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413,322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154,592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390,015</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380"/>
              <w:spacing w:after="0"/>
              <w:rPr>
                <w:sz w:val="20"/>
                <w:szCs w:val="20"/>
                <w:color w:val="auto"/>
              </w:rPr>
            </w:pPr>
            <w:r>
              <w:rPr>
                <w:rFonts w:ascii="Arial" w:cs="Arial" w:eastAsia="Arial" w:hAnsi="Arial"/>
                <w:sz w:val="17"/>
                <w:szCs w:val="17"/>
                <w:color w:val="auto"/>
              </w:rPr>
              <w:t>154,503</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191,859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17. DERIVATIVES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reflects the changes in fair value hedges included in the Consolidated Statements of Comprehensive Income (Loss) for the periods indicated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Interest Rate Contracts</w:t>
            </w:r>
          </w:p>
        </w:tc>
        <w:tc>
          <w:tcPr>
            <w:tcW w:w="2880" w:type="dxa"/>
            <w:vAlign w:val="bottom"/>
            <w:tcBorders>
              <w:bottom w:val="single" w:sz="8" w:color="auto"/>
            </w:tcBorders>
          </w:tcPr>
          <w:p>
            <w:pPr>
              <w:ind w:left="1160"/>
              <w:spacing w:after="0"/>
              <w:rPr>
                <w:sz w:val="20"/>
                <w:szCs w:val="20"/>
                <w:color w:val="auto"/>
              </w:rPr>
            </w:pPr>
            <w:r>
              <w:rPr>
                <w:rFonts w:ascii="Arial" w:cs="Arial" w:eastAsia="Arial" w:hAnsi="Arial"/>
                <w:sz w:val="17"/>
                <w:szCs w:val="17"/>
                <w:b w:val="1"/>
                <w:bCs w:val="1"/>
                <w:color w:val="auto"/>
              </w:rPr>
              <w:t>Location</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1"/>
              </w:rPr>
              <w:t>Change in fair value of interest rate swaps hedging investment</w:t>
            </w:r>
          </w:p>
        </w:tc>
        <w:tc>
          <w:tcPr>
            <w:tcW w:w="2880" w:type="dxa"/>
            <w:vAlign w:val="bottom"/>
            <w:shd w:val="clear" w:color="auto" w:fill="CCEEFF"/>
          </w:tcPr>
          <w:p>
            <w:pPr>
              <w:ind w:left="80"/>
              <w:spacing w:after="0" w:line="191" w:lineRule="exact"/>
              <w:rPr>
                <w:sz w:val="20"/>
                <w:szCs w:val="20"/>
                <w:color w:val="auto"/>
              </w:rPr>
            </w:pPr>
            <w:r>
              <w:rPr>
                <w:rFonts w:ascii="Arial" w:cs="Arial" w:eastAsia="Arial" w:hAnsi="Arial"/>
                <w:sz w:val="17"/>
                <w:szCs w:val="17"/>
                <w:color w:val="auto"/>
              </w:rPr>
              <w:t>Other noninterest expense</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3240" w:type="dxa"/>
            <w:vAlign w:val="bottom"/>
            <w:gridSpan w:val="3"/>
            <w:shd w:val="clear" w:color="auto" w:fill="CCEEFF"/>
          </w:tcPr>
          <w:p>
            <w:pPr>
              <w:ind w:left="30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14,439</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5,710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Change in fair value of hedged investment securities</w:t>
            </w:r>
          </w:p>
        </w:tc>
        <w:tc>
          <w:tcPr>
            <w:tcW w:w="3240" w:type="dxa"/>
            <w:vAlign w:val="bottom"/>
            <w:gridSpan w:val="3"/>
          </w:tcPr>
          <w:p>
            <w:pPr>
              <w:ind w:left="80"/>
              <w:spacing w:after="0"/>
              <w:rPr>
                <w:sz w:val="20"/>
                <w:szCs w:val="20"/>
                <w:color w:val="auto"/>
              </w:rPr>
            </w:pPr>
            <w:r>
              <w:rPr>
                <w:rFonts w:ascii="Arial" w:cs="Arial" w:eastAsia="Arial" w:hAnsi="Arial"/>
                <w:sz w:val="17"/>
                <w:szCs w:val="17"/>
                <w:color w:val="auto"/>
              </w:rPr>
              <w:t>Other noninterest expense</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(14,607)</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(5,812)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3240" w:type="dxa"/>
            <w:vAlign w:val="bottom"/>
            <w:gridSpan w:val="3"/>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00" w:type="dxa"/>
            <w:vAlign w:val="bottom"/>
          </w:tcPr>
          <w:p>
            <w:pPr>
              <w:spacing w:after="0" w:line="191" w:lineRule="exact"/>
              <w:rPr>
                <w:sz w:val="20"/>
                <w:szCs w:val="20"/>
                <w:color w:val="auto"/>
              </w:rPr>
            </w:pPr>
            <w:r>
              <w:rPr>
                <w:rFonts w:ascii="Arial" w:cs="Arial" w:eastAsia="Arial" w:hAnsi="Arial"/>
                <w:sz w:val="17"/>
                <w:szCs w:val="17"/>
                <w:color w:val="auto"/>
                <w:w w:val="93"/>
              </w:rPr>
              <w:t>Change in fair value of interest rate swaps hedging fixed rate</w:t>
            </w:r>
          </w:p>
        </w:tc>
        <w:tc>
          <w:tcPr>
            <w:tcW w:w="3240" w:type="dxa"/>
            <w:vAlign w:val="bottom"/>
            <w:gridSpan w:val="3"/>
          </w:tcPr>
          <w:p>
            <w:pPr>
              <w:ind w:left="80"/>
              <w:spacing w:after="0" w:line="191" w:lineRule="exact"/>
              <w:rPr>
                <w:sz w:val="20"/>
                <w:szCs w:val="20"/>
                <w:color w:val="auto"/>
              </w:rPr>
            </w:pPr>
            <w:r>
              <w:rPr>
                <w:rFonts w:ascii="Arial" w:cs="Arial" w:eastAsia="Arial" w:hAnsi="Arial"/>
                <w:sz w:val="17"/>
                <w:szCs w:val="17"/>
                <w:color w:val="auto"/>
              </w:rPr>
              <w:t>Interest income - Loans</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7"/>
                <w:szCs w:val="17"/>
                <w:color w:val="auto"/>
              </w:rPr>
              <w:t>loans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911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498</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hedged fixed rate loans</w:t>
            </w:r>
          </w:p>
        </w:tc>
        <w:tc>
          <w:tcPr>
            <w:tcW w:w="32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Interest income - Loans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(918)</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5"/>
              </w:rPr>
              <w:t>Table of Contents</w:t>
            </w: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8860" w:type="dxa"/>
            <w:vAlign w:val="bottom"/>
            <w:gridSpan w:val="9"/>
          </w:tcPr>
          <w:p>
            <w:pPr>
              <w:spacing w:after="0"/>
              <w:rPr>
                <w:sz w:val="20"/>
                <w:szCs w:val="20"/>
                <w:color w:val="auto"/>
              </w:rPr>
            </w:pPr>
            <w:r>
              <w:rPr>
                <w:rFonts w:ascii="Arial" w:cs="Arial" w:eastAsia="Arial" w:hAnsi="Arial"/>
                <w:sz w:val="17"/>
                <w:szCs w:val="17"/>
                <w:color w:val="auto"/>
              </w:rPr>
              <w:t>The following table reflects the fair value hedges included in the Consolidated Balance Sheets as of December 31: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2022</w:t>
            </w: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2021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9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ind w:left="80"/>
              <w:spacing w:after="0" w:line="187" w:lineRule="exact"/>
              <w:rPr>
                <w:sz w:val="20"/>
                <w:szCs w:val="20"/>
                <w:color w:val="auto"/>
              </w:rPr>
            </w:pPr>
            <w:r>
              <w:rPr>
                <w:rFonts w:ascii="Arial" w:cs="Arial" w:eastAsia="Arial" w:hAnsi="Arial"/>
                <w:sz w:val="17"/>
                <w:szCs w:val="17"/>
                <w:b w:val="1"/>
                <w:bCs w:val="1"/>
                <w:color w:val="auto"/>
              </w:rPr>
              <w:t>Notional</w:t>
            </w:r>
          </w:p>
        </w:tc>
        <w:tc>
          <w:tcPr>
            <w:tcW w:w="920" w:type="dxa"/>
            <w:vAlign w:val="bottom"/>
          </w:tcPr>
          <w:p>
            <w:pPr>
              <w:jc w:val="center"/>
              <w:ind w:right="155"/>
              <w:spacing w:after="0" w:line="187" w:lineRule="exact"/>
              <w:rPr>
                <w:sz w:val="20"/>
                <w:szCs w:val="20"/>
                <w:color w:val="auto"/>
              </w:rPr>
            </w:pPr>
            <w:r>
              <w:rPr>
                <w:rFonts w:ascii="Arial" w:cs="Arial" w:eastAsia="Arial" w:hAnsi="Arial"/>
                <w:sz w:val="17"/>
                <w:szCs w:val="17"/>
                <w:b w:val="1"/>
                <w:bCs w:val="1"/>
                <w:color w:val="auto"/>
              </w:rPr>
              <w:t>Fair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75"/>
              <w:spacing w:after="0" w:line="187" w:lineRule="exact"/>
              <w:rPr>
                <w:sz w:val="20"/>
                <w:szCs w:val="20"/>
                <w:color w:val="auto"/>
              </w:rPr>
            </w:pPr>
            <w:r>
              <w:rPr>
                <w:rFonts w:ascii="Arial" w:cs="Arial" w:eastAsia="Arial" w:hAnsi="Arial"/>
                <w:sz w:val="17"/>
                <w:szCs w:val="17"/>
                <w:b w:val="1"/>
                <w:bCs w:val="1"/>
                <w:color w:val="auto"/>
              </w:rPr>
              <w:t>Notional</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15"/>
              <w:spacing w:after="0" w:line="187"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6"/>
                <w:szCs w:val="16"/>
                <w:color w:val="auto"/>
              </w:rPr>
            </w:pPr>
          </w:p>
        </w:tc>
      </w:tr>
      <w:tr>
        <w:trPr>
          <w:trHeight w:val="226"/>
        </w:trPr>
        <w:tc>
          <w:tcPr>
            <w:tcW w:w="9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1300" w:type="dxa"/>
            <w:vAlign w:val="bottom"/>
            <w:gridSpan w:val="3"/>
          </w:tcPr>
          <w:p>
            <w:pPr>
              <w:jc w:val="center"/>
              <w:ind w:right="620"/>
              <w:spacing w:after="0"/>
              <w:rPr>
                <w:sz w:val="20"/>
                <w:szCs w:val="20"/>
                <w:color w:val="auto"/>
              </w:rPr>
            </w:pPr>
            <w:r>
              <w:rPr>
                <w:rFonts w:ascii="Arial" w:cs="Arial" w:eastAsia="Arial" w:hAnsi="Arial"/>
                <w:sz w:val="17"/>
                <w:szCs w:val="17"/>
                <w:b w:val="1"/>
                <w:bCs w:val="1"/>
                <w:color w:val="auto"/>
                <w:w w:val="88"/>
              </w:rPr>
              <w:t>Value</w:t>
            </w:r>
          </w:p>
        </w:tc>
        <w:tc>
          <w:tcPr>
            <w:tcW w:w="980" w:type="dxa"/>
            <w:vAlign w:val="bottom"/>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Value</w:t>
            </w:r>
          </w:p>
        </w:tc>
      </w:tr>
      <w:tr>
        <w:trPr>
          <w:trHeight w:val="203"/>
        </w:trPr>
        <w:tc>
          <w:tcPr>
            <w:tcW w:w="5980" w:type="dxa"/>
            <w:vAlign w:val="bottom"/>
            <w:gridSpan w:val="2"/>
          </w:tcPr>
          <w:p>
            <w:pPr>
              <w:spacing w:after="0"/>
              <w:rPr>
                <w:sz w:val="20"/>
                <w:szCs w:val="20"/>
                <w:color w:val="auto"/>
              </w:rPr>
            </w:pPr>
            <w:r>
              <w:rPr>
                <w:rFonts w:ascii="Arial" w:cs="Arial" w:eastAsia="Arial" w:hAnsi="Arial"/>
                <w:sz w:val="17"/>
                <w:szCs w:val="17"/>
                <w:color w:val="auto"/>
              </w:rPr>
              <w:t>Included in other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rate swaps related to fixed rate loans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800"/>
              <w:spacing w:after="0"/>
              <w:rPr>
                <w:sz w:val="20"/>
                <w:szCs w:val="20"/>
                <w:color w:val="auto"/>
              </w:rPr>
            </w:pPr>
            <w:r>
              <w:rPr>
                <w:rFonts w:ascii="Arial" w:cs="Arial" w:eastAsia="Arial" w:hAnsi="Arial"/>
                <w:sz w:val="17"/>
                <w:szCs w:val="17"/>
                <w:color w:val="auto"/>
              </w:rPr>
              <w:t>—   $</w:t>
            </w:r>
          </w:p>
        </w:tc>
        <w:tc>
          <w:tcPr>
            <w:tcW w:w="13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429</w:t>
            </w:r>
          </w:p>
        </w:tc>
      </w:tr>
      <w:tr>
        <w:trPr>
          <w:trHeight w:val="204"/>
        </w:trPr>
        <w:tc>
          <w:tcPr>
            <w:tcW w:w="5980" w:type="dxa"/>
            <w:vAlign w:val="bottom"/>
            <w:gridSpan w:val="2"/>
          </w:tcPr>
          <w:p>
            <w:pPr>
              <w:ind w:left="160"/>
              <w:spacing w:after="0"/>
              <w:rPr>
                <w:sz w:val="20"/>
                <w:szCs w:val="20"/>
                <w:color w:val="auto"/>
              </w:rPr>
            </w:pPr>
            <w:r>
              <w:rPr>
                <w:rFonts w:ascii="Arial" w:cs="Arial" w:eastAsia="Arial" w:hAnsi="Arial"/>
                <w:sz w:val="17"/>
                <w:szCs w:val="17"/>
                <w:color w:val="auto"/>
              </w:rPr>
              <w:t>Interest rate swaps related to state and municipal securities</w:t>
            </w:r>
          </w:p>
        </w:tc>
        <w:tc>
          <w:tcPr>
            <w:tcW w:w="160" w:type="dxa"/>
            <w:vAlign w:val="bottom"/>
          </w:tcPr>
          <w:p>
            <w:pPr>
              <w:spacing w:after="0"/>
              <w:rPr>
                <w:sz w:val="17"/>
                <w:szCs w:val="17"/>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Included in other 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980" w:type="dxa"/>
            <w:vAlign w:val="bottom"/>
            <w:gridSpan w:val="2"/>
          </w:tcPr>
          <w:p>
            <w:pPr>
              <w:ind w:left="160"/>
              <w:spacing w:after="0"/>
              <w:rPr>
                <w:sz w:val="20"/>
                <w:szCs w:val="20"/>
                <w:color w:val="auto"/>
              </w:rPr>
            </w:pPr>
            <w:r>
              <w:rPr>
                <w:rFonts w:ascii="Arial" w:cs="Arial" w:eastAsia="Arial" w:hAnsi="Arial"/>
                <w:sz w:val="17"/>
                <w:szCs w:val="17"/>
                <w:color w:val="auto"/>
              </w:rPr>
              <w:t>Interest rate swaps related to fixed rate loans</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9,493</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482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5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rate swaps related to state and municipal securities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123,760</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20,125</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5,686</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banking derivatives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derivatives are not designated as hedging instruments. The net gains (losses) relating to free standing derivative instruments used for risk management are summarized below for the periods indicated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8"/>
          </w:tcPr>
          <w:p>
            <w:pPr>
              <w:ind w:left="440"/>
              <w:spacing w:after="0"/>
              <w:rPr>
                <w:sz w:val="20"/>
                <w:szCs w:val="20"/>
                <w:color w:val="auto"/>
              </w:rPr>
            </w:pPr>
            <w:r>
              <w:rPr>
                <w:rFonts w:ascii="Arial" w:cs="Arial" w:eastAsia="Arial" w:hAnsi="Arial"/>
                <w:sz w:val="17"/>
                <w:szCs w:val="17"/>
                <w:b w:val="1"/>
                <w:bCs w:val="1"/>
                <w:color w:val="auto"/>
              </w:rPr>
              <w:t>For the Year Ended December 31,</w:t>
            </w: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60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7"/>
                <w:szCs w:val="17"/>
                <w:b w:val="1"/>
                <w:bCs w:val="1"/>
                <w:color w:val="auto"/>
              </w:rPr>
              <w:t>Location</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Gain (loss) on mortgage banking derivatives</w:t>
            </w: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Net gain (loss) on sales of loans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460"/>
              <w:spacing w:after="0"/>
              <w:rPr>
                <w:sz w:val="20"/>
                <w:szCs w:val="20"/>
                <w:color w:val="auto"/>
              </w:rPr>
            </w:pPr>
            <w:r>
              <w:rPr>
                <w:rFonts w:ascii="Arial" w:cs="Arial" w:eastAsia="Arial" w:hAnsi="Arial"/>
                <w:sz w:val="17"/>
                <w:szCs w:val="17"/>
                <w:color w:val="auto"/>
                <w:w w:val="77"/>
              </w:rPr>
              <w:t>(1,109)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2,655</w:t>
            </w:r>
          </w:p>
        </w:tc>
        <w:tc>
          <w:tcPr>
            <w:tcW w:w="100" w:type="dxa"/>
            <w:vAlign w:val="bottom"/>
            <w:shd w:val="clear" w:color="auto" w:fill="CCEEFF"/>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reflects the amount and fair value of mortgage banking derivatives in the Consolidated Balance Sheets as of December 31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3"/>
          </w:tcPr>
          <w:p>
            <w:pPr>
              <w:jc w:val="right"/>
              <w:ind w:right="182"/>
              <w:spacing w:after="0"/>
              <w:rPr>
                <w:sz w:val="20"/>
                <w:szCs w:val="20"/>
                <w:color w:val="auto"/>
              </w:rPr>
            </w:pPr>
            <w:r>
              <w:rPr>
                <w:rFonts w:ascii="Arial" w:cs="Arial" w:eastAsia="Arial" w:hAnsi="Arial"/>
                <w:sz w:val="17"/>
                <w:szCs w:val="17"/>
                <w:b w:val="1"/>
                <w:bCs w:val="1"/>
                <w:color w:val="auto"/>
              </w:rPr>
              <w:t>December 31, 2022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line="187" w:lineRule="exact"/>
              <w:rPr>
                <w:sz w:val="20"/>
                <w:szCs w:val="20"/>
                <w:color w:val="auto"/>
              </w:rPr>
            </w:pPr>
            <w:r>
              <w:rPr>
                <w:rFonts w:ascii="Arial" w:cs="Arial" w:eastAsia="Arial" w:hAnsi="Arial"/>
                <w:sz w:val="17"/>
                <w:szCs w:val="17"/>
                <w:b w:val="1"/>
                <w:bCs w:val="1"/>
                <w:color w:val="auto"/>
              </w:rPr>
              <w:t>Notional</w:t>
            </w:r>
          </w:p>
        </w:tc>
        <w:tc>
          <w:tcPr>
            <w:tcW w:w="820" w:type="dxa"/>
            <w:vAlign w:val="bottom"/>
            <w:tcBorders>
              <w:top w:val="single" w:sz="8" w:color="auto"/>
            </w:tcBorders>
          </w:tcPr>
          <w:p>
            <w:pPr>
              <w:jc w:val="right"/>
              <w:ind w:right="22"/>
              <w:spacing w:after="0" w:line="187" w:lineRule="exact"/>
              <w:rPr>
                <w:sz w:val="20"/>
                <w:szCs w:val="20"/>
                <w:color w:val="auto"/>
              </w:rPr>
            </w:pPr>
            <w:r>
              <w:rPr>
                <w:rFonts w:ascii="Arial" w:cs="Arial" w:eastAsia="Arial" w:hAnsi="Arial"/>
                <w:sz w:val="17"/>
                <w:szCs w:val="17"/>
                <w:b w:val="1"/>
                <w:bCs w:val="1"/>
                <w:color w:val="auto"/>
              </w:rPr>
              <w:t>Fair</w:t>
            </w: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00"/>
              <w:spacing w:after="0" w:line="187" w:lineRule="exact"/>
              <w:rPr>
                <w:sz w:val="20"/>
                <w:szCs w:val="20"/>
                <w:color w:val="auto"/>
              </w:rPr>
            </w:pPr>
            <w:r>
              <w:rPr>
                <w:rFonts w:ascii="Arial" w:cs="Arial" w:eastAsia="Arial" w:hAnsi="Arial"/>
                <w:sz w:val="17"/>
                <w:szCs w:val="17"/>
                <w:b w:val="1"/>
                <w:bCs w:val="1"/>
                <w:color w:val="auto"/>
              </w:rPr>
              <w:t>Notional</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5"/>
              <w:spacing w:after="0" w:line="187"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Amount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Value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rPr>
                <w:sz w:val="20"/>
                <w:szCs w:val="20"/>
                <w:color w:val="auto"/>
              </w:rPr>
            </w:pPr>
            <w:r>
              <w:rPr>
                <w:rFonts w:ascii="Arial" w:cs="Arial" w:eastAsia="Arial" w:hAnsi="Arial"/>
                <w:sz w:val="17"/>
                <w:szCs w:val="17"/>
                <w:color w:val="auto"/>
              </w:rPr>
              <w:t>Included in other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contracts related to mortgage loans held for sale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23,500</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7"/>
                <w:szCs w:val="17"/>
                <w:color w:val="auto"/>
              </w:rPr>
              <w:t>Interest rate lock commitments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27,348</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104,437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included in other assets</w:t>
            </w: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50,848</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104,437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Included in other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140"/>
              <w:spacing w:after="0"/>
              <w:rPr>
                <w:sz w:val="20"/>
                <w:szCs w:val="20"/>
                <w:color w:val="auto"/>
              </w:rPr>
            </w:pPr>
            <w:r>
              <w:rPr>
                <w:rFonts w:ascii="Arial" w:cs="Arial" w:eastAsia="Arial" w:hAnsi="Arial"/>
                <w:sz w:val="17"/>
                <w:szCs w:val="17"/>
                <w:color w:val="auto"/>
              </w:rPr>
              <w:t>Forward contracts related to mortgage loans held for sale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5,615</w:t>
            </w:r>
          </w:p>
        </w:tc>
        <w:tc>
          <w:tcPr>
            <w:tcW w:w="24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93,120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rate lock commitments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280"/>
              <w:spacing w:after="0"/>
              <w:rPr>
                <w:sz w:val="20"/>
                <w:szCs w:val="20"/>
                <w:color w:val="auto"/>
              </w:rPr>
            </w:pPr>
            <w:r>
              <w:rPr>
                <w:rFonts w:ascii="Arial" w:cs="Arial" w:eastAsia="Arial" w:hAnsi="Arial"/>
                <w:sz w:val="17"/>
                <w:szCs w:val="17"/>
                <w:color w:val="auto"/>
              </w:rPr>
              <w:t>Total included in other liabilities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5,615</w:t>
            </w:r>
          </w:p>
        </w:tc>
        <w:tc>
          <w:tcPr>
            <w:tcW w:w="24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7"/>
                <w:szCs w:val="17"/>
                <w:color w:val="auto"/>
              </w:rPr>
            </w:pPr>
          </w:p>
        </w:tc>
        <w:tc>
          <w:tcPr>
            <w:tcW w:w="2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93,120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had received cash collateral of $18.9 and $4.8 million to offset asset derivative positions on its interest rate swaps at December 31, 2022 and 2021, respectively. This amount is reported in other liabilities in the Consolidated Balance Sheets. The Company had advanced $1.1 and 1.1 million to offset liability derivative positions on its interest rate swaps at December 31, 2022 and 2021, respectively. Additionally, the Company had advanced $440 thousand and $440 thousand on its mortgage forward contracts at December 31, 2022 and 2021, respectively. The advanced cash collateral amounts are reported in cash and due from banks in the Consolidated Balance Sheets.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i w:val="1"/>
                <w:iCs w:val="1"/>
                <w:color w:val="0000EE"/>
                <w:w w:val="85"/>
              </w:rPr>
              <w:t>Table of Contents</w:t>
            </w:r>
          </w:p>
        </w:tc>
        <w:tc>
          <w:tcPr>
            <w:tcW w:w="63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320" w:type="dxa"/>
            <w:vAlign w:val="bottom"/>
            <w:gridSpan w:val="5"/>
          </w:tcPr>
          <w:p>
            <w:pPr>
              <w:spacing w:after="0"/>
              <w:rPr>
                <w:sz w:val="20"/>
                <w:szCs w:val="20"/>
                <w:color w:val="auto"/>
              </w:rPr>
            </w:pPr>
            <w:r>
              <w:rPr>
                <w:rFonts w:ascii="Arial" w:cs="Arial" w:eastAsia="Arial" w:hAnsi="Arial"/>
                <w:sz w:val="17"/>
                <w:szCs w:val="17"/>
                <w:b w:val="1"/>
                <w:bCs w:val="1"/>
                <w:i w:val="1"/>
                <w:iCs w:val="1"/>
                <w:color w:val="auto"/>
              </w:rPr>
              <w:t>18. PARENT COMPANY ONLY CONDENSED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320" w:type="dxa"/>
            <w:vAlign w:val="bottom"/>
            <w:gridSpan w:val="5"/>
          </w:tcPr>
          <w:p>
            <w:pPr>
              <w:spacing w:after="0"/>
              <w:rPr>
                <w:sz w:val="20"/>
                <w:szCs w:val="20"/>
                <w:color w:val="auto"/>
              </w:rPr>
            </w:pPr>
            <w:r>
              <w:rPr>
                <w:rFonts w:ascii="Arial" w:cs="Arial" w:eastAsia="Arial" w:hAnsi="Arial"/>
                <w:sz w:val="17"/>
                <w:szCs w:val="17"/>
                <w:color w:val="auto"/>
              </w:rPr>
              <w:t>Condensed financial information of South Plains Financial, Inc. follows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jc w:val="center"/>
              <w:ind w:left="355"/>
              <w:spacing w:after="0"/>
              <w:rPr>
                <w:sz w:val="20"/>
                <w:szCs w:val="20"/>
                <w:color w:val="auto"/>
              </w:rPr>
            </w:pPr>
            <w:r>
              <w:rPr>
                <w:rFonts w:ascii="Arial" w:cs="Arial" w:eastAsia="Arial" w:hAnsi="Arial"/>
                <w:sz w:val="17"/>
                <w:szCs w:val="17"/>
                <w:b w:val="1"/>
                <w:bCs w:val="1"/>
                <w:i w:val="1"/>
                <w:iCs w:val="1"/>
                <w:color w:val="auto"/>
                <w:w w:val="95"/>
              </w:rPr>
              <w:t>CONDENSED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320" w:type="dxa"/>
            <w:vAlign w:val="bottom"/>
            <w:gridSpan w:val="5"/>
          </w:tcPr>
          <w:p>
            <w:pPr>
              <w:spacing w:after="0" w:line="166" w:lineRule="exact"/>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98,996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96,243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Investment in banking subsidiary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373,308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429,119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Investment in other subsidiary</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9,214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6,013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481,569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531,426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480" w:type="dxa"/>
            <w:vAlign w:val="bottom"/>
            <w:tcBorders>
              <w:bottom w:val="single" w:sz="8" w:color="auto"/>
            </w:tcBorders>
            <w:gridSpan w:val="3"/>
            <w:shd w:val="clear" w:color="auto" w:fill="CCEEFF"/>
          </w:tcPr>
          <w:p>
            <w:pPr>
              <w:spacing w:after="0" w:line="166" w:lineRule="exact"/>
              <w:rPr>
                <w:sz w:val="20"/>
                <w:szCs w:val="20"/>
                <w:color w:val="auto"/>
              </w:rPr>
            </w:pPr>
            <w:r>
              <w:rPr>
                <w:rFonts w:ascii="Arial" w:cs="Arial" w:eastAsia="Arial" w:hAnsi="Arial"/>
                <w:sz w:val="17"/>
                <w:szCs w:val="17"/>
                <w:color w:val="auto"/>
                <w:w w:val="98"/>
              </w:rPr>
              <w:t>LIABILITIES AND STOCKHOLDERS’ EQUITY</w:t>
            </w:r>
          </w:p>
        </w:tc>
        <w:tc>
          <w:tcPr>
            <w:tcW w:w="382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Debt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122,354</w:t>
            </w:r>
          </w:p>
        </w:tc>
        <w:tc>
          <w:tcPr>
            <w:tcW w:w="2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122,168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Accrued expenses and other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357,014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407,427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right w:val="single" w:sz="8" w:color="CCEEFF"/>
            </w:tcBorders>
            <w:gridSpan w:val="4"/>
            <w:shd w:val="clear" w:color="auto" w:fill="CCEEFF"/>
          </w:tcPr>
          <w:p>
            <w:pPr>
              <w:ind w:left="28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481,569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531,426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jc w:val="center"/>
              <w:ind w:left="335"/>
              <w:spacing w:after="0"/>
              <w:rPr>
                <w:sz w:val="20"/>
                <w:szCs w:val="20"/>
                <w:color w:val="auto"/>
              </w:rPr>
            </w:pPr>
            <w:r>
              <w:rPr>
                <w:rFonts w:ascii="Arial" w:cs="Arial" w:eastAsia="Arial" w:hAnsi="Arial"/>
                <w:sz w:val="17"/>
                <w:szCs w:val="17"/>
                <w:b w:val="1"/>
                <w:bCs w:val="1"/>
                <w:i w:val="1"/>
                <w:iCs w:val="1"/>
                <w:color w:val="auto"/>
                <w:w w:val="97"/>
              </w:rPr>
              <w:t>CONDENSED STATEMENTS OF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6"/>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Dividends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40,375</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48,250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Other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(5,689)</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(4,936)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Other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(1,466)</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Income before income tax and undistributed subsidiary income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32,970</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41,874</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(1,339)</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Equity in undistributed subsidiary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23,715</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15,401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28,682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8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gridSpan w:val="4"/>
          </w:tcPr>
          <w:p>
            <w:pPr>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58,240</w:t>
            </w:r>
          </w:p>
        </w:tc>
        <w:tc>
          <w:tcPr>
            <w:tcW w:w="140" w:type="dxa"/>
            <w:vAlign w:val="bottom"/>
          </w:tcPr>
          <w:p>
            <w:pPr>
              <w:spacing w:after="0"/>
              <w:rPr>
                <w:sz w:val="17"/>
                <w:szCs w:val="17"/>
                <w:color w:val="auto"/>
              </w:rPr>
            </w:pP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58,614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45,353</w:t>
            </w: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jc w:val="center"/>
              <w:ind w:left="3862"/>
              <w:spacing w:after="0"/>
              <w:rPr>
                <w:sz w:val="20"/>
                <w:szCs w:val="20"/>
                <w:color w:val="auto"/>
              </w:rPr>
            </w:pPr>
            <w:r>
              <w:rPr>
                <w:rFonts w:ascii="Arial" w:cs="Arial" w:eastAsia="Arial" w:hAnsi="Arial"/>
                <w:sz w:val="14"/>
                <w:szCs w:val="14"/>
                <w:color w:val="auto"/>
                <w:w w:val="89"/>
              </w:rPr>
              <w:t>95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3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tcPr>
          <w:p>
            <w:pPr>
              <w:spacing w:after="0"/>
              <w:rPr>
                <w:sz w:val="20"/>
                <w:szCs w:val="20"/>
                <w:color w:val="auto"/>
              </w:rPr>
            </w:pPr>
            <w:r>
              <w:rPr>
                <w:rFonts w:ascii="Arial" w:cs="Arial" w:eastAsia="Arial" w:hAnsi="Arial"/>
                <w:sz w:val="14"/>
                <w:szCs w:val="14"/>
                <w:i w:val="1"/>
                <w:iCs w:val="1"/>
                <w:color w:val="0000EE"/>
              </w:rPr>
              <w:t>Table of Contents</w:t>
            </w: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600" w:type="dxa"/>
            <w:vAlign w:val="bottom"/>
            <w:gridSpan w:val="3"/>
          </w:tcPr>
          <w:p>
            <w:pPr>
              <w:jc w:val="right"/>
              <w:ind w:right="66"/>
              <w:spacing w:after="0"/>
              <w:rPr>
                <w:sz w:val="20"/>
                <w:szCs w:val="20"/>
                <w:color w:val="auto"/>
              </w:rPr>
            </w:pPr>
            <w:r>
              <w:rPr>
                <w:rFonts w:ascii="Arial" w:cs="Arial" w:eastAsia="Arial" w:hAnsi="Arial"/>
                <w:sz w:val="17"/>
                <w:szCs w:val="17"/>
                <w:b w:val="1"/>
                <w:bCs w:val="1"/>
                <w:i w:val="1"/>
                <w:iCs w:val="1"/>
                <w:color w:val="auto"/>
              </w:rPr>
              <w:t>CONDENSED STATEMENTS OF CASH FLOWS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6"/>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gridSpan w:val="3"/>
          </w:tcPr>
          <w:p>
            <w:pPr>
              <w:spacing w:after="0"/>
              <w:rPr>
                <w:sz w:val="20"/>
                <w:szCs w:val="20"/>
                <w:color w:val="auto"/>
              </w:rPr>
            </w:pPr>
            <w:r>
              <w:rPr>
                <w:rFonts w:ascii="Arial" w:cs="Arial" w:eastAsia="Arial" w:hAnsi="Arial"/>
                <w:sz w:val="17"/>
                <w:szCs w:val="17"/>
                <w:color w:val="auto"/>
              </w:rPr>
              <w:t>Cash flows from operating activities: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income</w:t>
            </w:r>
          </w:p>
        </w:tc>
        <w:tc>
          <w:tcPr>
            <w:tcW w:w="178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58,614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ind w:left="100"/>
              <w:spacing w:after="0"/>
              <w:rPr>
                <w:sz w:val="20"/>
                <w:szCs w:val="20"/>
                <w:color w:val="auto"/>
              </w:rPr>
            </w:pPr>
            <w:r>
              <w:rPr>
                <w:rFonts w:ascii="Arial" w:cs="Arial" w:eastAsia="Arial" w:hAnsi="Arial"/>
                <w:sz w:val="17"/>
                <w:szCs w:val="17"/>
                <w:color w:val="auto"/>
              </w:rPr>
              <w:t>Adjustments: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Equity in undistributed subsidiary income</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(23,715)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(15,401)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(28,682)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color w:val="auto"/>
              </w:rPr>
              <w:t>Amortization of debt issuance costs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186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Stock based compensation</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1,639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color w:val="auto"/>
              </w:rPr>
              <w:t>Change in other assets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(3,201)</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(1,765)</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Change in other liabilities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color w:val="auto"/>
              </w:rPr>
              <w:t>Net cash provided by operating activities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34,632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43,590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17,779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Cash flows from financing activities: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Proceeds from long-term borrowings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49,070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color w:val="auto"/>
              </w:rPr>
              <w:t>Payments to tax authorities for stock-based compensation</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(1,168)</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(625)</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Payments to repurchase common stock</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(22,699)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(9,227)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gridSpan w:val="2"/>
          </w:tcPr>
          <w:p>
            <w:pPr>
              <w:ind w:left="280"/>
              <w:spacing w:after="0"/>
              <w:rPr>
                <w:sz w:val="20"/>
                <w:szCs w:val="20"/>
                <w:color w:val="auto"/>
              </w:rPr>
            </w:pPr>
            <w:r>
              <w:rPr>
                <w:rFonts w:ascii="Arial" w:cs="Arial" w:eastAsia="Arial" w:hAnsi="Arial"/>
                <w:sz w:val="17"/>
                <w:szCs w:val="17"/>
                <w:color w:val="auto"/>
              </w:rPr>
              <w:t>Cash dividends paid on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(8,012)</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(5,385)</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Net cash provided by (used in) financing activities</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(31,879)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28,353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63,709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Beginning cash and cash equivalents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96,243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67,890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4,181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Ending cash and cash equivalents</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19. EARNINGS PER SHARE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factors used in the earnings per share computation follow (dollars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7"/>
                <w:szCs w:val="17"/>
                <w:b w:val="1"/>
                <w:bCs w:val="1"/>
                <w:color w:val="auto"/>
                <w:w w:val="92"/>
              </w:rPr>
              <w:t>December 31,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58,614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 - basic</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17,373,138</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17,953,624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18,054,373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Stock based compensation awards</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646,690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538,594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284,660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Weighted average common shares outstanding - diluted</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18,019,828</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18,492,218</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18,339,033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202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3.35</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3.26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2020" w:type="dxa"/>
            <w:vAlign w:val="bottom"/>
            <w:gridSpan w:val="2"/>
            <w:shd w:val="clear" w:color="auto" w:fill="CCEEFF"/>
          </w:tcPr>
          <w:p>
            <w:pPr>
              <w:jc w:val="right"/>
              <w:ind w:right="8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3.23</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 SEGMENT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Financial results by reportable segment are detailed below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Banking</w:t>
            </w:r>
          </w:p>
        </w:tc>
        <w:tc>
          <w:tcPr>
            <w:tcW w:w="1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4"/>
              </w:rPr>
              <w:t>Insurance</w:t>
            </w: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2"/>
              </w:rPr>
              <w:t>Consolidated</w:t>
            </w:r>
          </w:p>
        </w:tc>
        <w:tc>
          <w:tcPr>
            <w:tcW w:w="0" w:type="dxa"/>
            <w:vAlign w:val="bottom"/>
          </w:tcPr>
          <w:p>
            <w:pPr>
              <w:spacing w:after="0"/>
              <w:rPr>
                <w:sz w:val="1"/>
                <w:szCs w:val="1"/>
                <w:color w:val="auto"/>
              </w:rPr>
            </w:pPr>
          </w:p>
        </w:tc>
      </w:tr>
      <w:tr>
        <w:trPr>
          <w:trHeight w:val="166"/>
        </w:trPr>
        <w:tc>
          <w:tcPr>
            <w:tcW w:w="4120" w:type="dxa"/>
            <w:vAlign w:val="bottom"/>
            <w:gridSpan w:val="3"/>
          </w:tcPr>
          <w:p>
            <w:pPr>
              <w:spacing w:after="0" w:line="166" w:lineRule="exact"/>
              <w:rPr>
                <w:sz w:val="20"/>
                <w:szCs w:val="20"/>
                <w:color w:val="auto"/>
              </w:rPr>
            </w:pPr>
            <w:r>
              <w:rPr>
                <w:rFonts w:ascii="Arial" w:cs="Arial" w:eastAsia="Arial" w:hAnsi="Arial"/>
                <w:sz w:val="17"/>
                <w:szCs w:val="17"/>
                <w:color w:val="auto"/>
              </w:rPr>
              <w:t>For the Year Ended December 31, 2022</w:t>
            </w:r>
          </w:p>
        </w:tc>
        <w:tc>
          <w:tcPr>
            <w:tcW w:w="3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interest income</w:t>
            </w:r>
          </w:p>
        </w:tc>
        <w:tc>
          <w:tcPr>
            <w:tcW w:w="14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138,476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Provision for loan losses</w:t>
            </w: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2,619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10,649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Noninterest expense</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(137,236)</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(6,853)</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(144,089)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3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69,355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Income tax (expense) benefit</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(14,110)</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(801)</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(14,911)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3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338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3,929,232</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14,831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3,944,063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vMerge w:val="restart"/>
          </w:tcPr>
          <w:p>
            <w:pPr>
              <w:jc w:val="right"/>
              <w:ind w:right="1541"/>
              <w:spacing w:after="0"/>
              <w:rPr>
                <w:sz w:val="20"/>
                <w:szCs w:val="20"/>
                <w:color w:val="auto"/>
              </w:rPr>
            </w:pPr>
            <w:r>
              <w:rPr>
                <w:rFonts w:ascii="Arial" w:cs="Arial" w:eastAsia="Arial" w:hAnsi="Arial"/>
                <w:sz w:val="14"/>
                <w:szCs w:val="14"/>
                <w:color w:val="auto"/>
              </w:rPr>
              <w:t>96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4"/>
          </w:tcPr>
          <w:p>
            <w:pPr>
              <w:spacing w:after="0"/>
              <w:rPr>
                <w:sz w:val="20"/>
                <w:szCs w:val="20"/>
                <w:color w:val="auto"/>
              </w:rPr>
            </w:pPr>
            <w:r>
              <w:rPr>
                <w:rFonts w:ascii="Arial" w:cs="Arial" w:eastAsia="Arial" w:hAnsi="Arial"/>
                <w:sz w:val="14"/>
                <w:szCs w:val="14"/>
                <w:i w:val="1"/>
                <w:iCs w:val="1"/>
                <w:color w:val="0000EE"/>
              </w:rPr>
              <w:t>Table of Contents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Banking</w:t>
            </w:r>
          </w:p>
        </w:tc>
        <w:tc>
          <w:tcPr>
            <w:tcW w:w="16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4"/>
              </w:rPr>
              <w:t>Insurance</w:t>
            </w: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2"/>
              </w:rPr>
              <w:t>Consolidated</w:t>
            </w:r>
          </w:p>
        </w:tc>
      </w:tr>
      <w:tr>
        <w:trPr>
          <w:trHeight w:val="166"/>
        </w:trPr>
        <w:tc>
          <w:tcPr>
            <w:tcW w:w="7320" w:type="dxa"/>
            <w:vAlign w:val="bottom"/>
            <w:gridSpan w:val="4"/>
          </w:tcPr>
          <w:p>
            <w:pPr>
              <w:spacing w:after="0" w:line="166" w:lineRule="exact"/>
              <w:rPr>
                <w:sz w:val="20"/>
                <w:szCs w:val="20"/>
                <w:color w:val="auto"/>
              </w:rPr>
            </w:pPr>
            <w:r>
              <w:rPr>
                <w:rFonts w:ascii="Arial" w:cs="Arial" w:eastAsia="Arial" w:hAnsi="Arial"/>
                <w:sz w:val="17"/>
                <w:szCs w:val="17"/>
                <w:color w:val="auto"/>
              </w:rPr>
              <w:t>For the Year Ended December 31, 2021</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Net interest income (expense)</w:t>
            </w:r>
          </w:p>
        </w:tc>
        <w:tc>
          <w:tcPr>
            <w:tcW w:w="46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121,764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121,764</w:t>
            </w:r>
          </w:p>
        </w:tc>
      </w:tr>
      <w:tr>
        <w:trPr>
          <w:trHeight w:val="204"/>
        </w:trPr>
        <w:tc>
          <w:tcPr>
            <w:tcW w:w="20" w:type="dxa"/>
            <w:vAlign w:val="bottom"/>
          </w:tcPr>
          <w:p>
            <w:pPr>
              <w:spacing w:after="0"/>
              <w:rPr>
                <w:sz w:val="17"/>
                <w:szCs w:val="17"/>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Provision for loan losses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1,918</w:t>
            </w:r>
          </w:p>
        </w:tc>
      </w:tr>
      <w:tr>
        <w:trPr>
          <w:trHeight w:val="204"/>
        </w:trPr>
        <w:tc>
          <w:tcPr>
            <w:tcW w:w="20" w:type="dxa"/>
            <w:vAlign w:val="bottom"/>
          </w:tcPr>
          <w:p>
            <w:pPr>
              <w:spacing w:after="0"/>
              <w:rPr>
                <w:sz w:val="17"/>
                <w:szCs w:val="17"/>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8,135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97,469</w:t>
            </w: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Noninterest expense</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(142,111)</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(5,919)</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(148,030)</w:t>
            </w: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70,905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Income tax (expense) benefit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(14,091)</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(416)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(14,507)</w:t>
            </w: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Total assets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3,890,751</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11,104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3,901,855</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Banking</w:t>
            </w:r>
          </w:p>
        </w:tc>
        <w:tc>
          <w:tcPr>
            <w:tcW w:w="1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4"/>
              </w:rPr>
              <w:t>Insurance</w:t>
            </w: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2"/>
              </w:rPr>
              <w:t>Consolidated</w:t>
            </w:r>
          </w:p>
        </w:tc>
      </w:tr>
      <w:tr>
        <w:trPr>
          <w:trHeight w:val="166"/>
        </w:trPr>
        <w:tc>
          <w:tcPr>
            <w:tcW w:w="7320" w:type="dxa"/>
            <w:vAlign w:val="bottom"/>
            <w:gridSpan w:val="3"/>
          </w:tcPr>
          <w:p>
            <w:pPr>
              <w:spacing w:after="0" w:line="166" w:lineRule="exact"/>
              <w:rPr>
                <w:sz w:val="20"/>
                <w:szCs w:val="20"/>
                <w:color w:val="auto"/>
              </w:rPr>
            </w:pPr>
            <w:r>
              <w:rPr>
                <w:rFonts w:ascii="Arial" w:cs="Arial" w:eastAsia="Arial" w:hAnsi="Arial"/>
                <w:sz w:val="17"/>
                <w:szCs w:val="17"/>
                <w:color w:val="auto"/>
              </w:rPr>
              <w:t>For the Year Ended December 31, 2020</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Net interest income (expense)</w:t>
            </w:r>
          </w:p>
        </w:tc>
        <w:tc>
          <w:tcPr>
            <w:tcW w:w="46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122,285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122,285</w:t>
            </w:r>
          </w:p>
        </w:tc>
      </w:tr>
      <w:tr>
        <w:trPr>
          <w:trHeight w:val="204"/>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Arial" w:cs="Arial" w:eastAsia="Arial" w:hAnsi="Arial"/>
                <w:sz w:val="17"/>
                <w:szCs w:val="17"/>
                <w:color w:val="auto"/>
              </w:rPr>
              <w:t>Provision for loan losses</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(25,570)</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(25,570)</w:t>
            </w:r>
          </w:p>
        </w:tc>
      </w:tr>
      <w:tr>
        <w:trPr>
          <w:trHeight w:val="204"/>
        </w:trPr>
        <w:tc>
          <w:tcPr>
            <w:tcW w:w="2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94,010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7,593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101,603</w:t>
            </w:r>
          </w:p>
        </w:tc>
      </w:tr>
      <w:tr>
        <w:trPr>
          <w:trHeight w:val="209"/>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7"/>
                <w:szCs w:val="17"/>
                <w:color w:val="auto"/>
              </w:rPr>
              <w:t>Noninterest expense</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(135,985)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(5,730)</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(141,715)</w:t>
            </w: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54,740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7"/>
                <w:szCs w:val="17"/>
                <w:color w:val="auto"/>
              </w:rPr>
              <w:t>Income tax (expense) benefit</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(10,804)</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(446)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(11,250)</w:t>
            </w: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3,584,828</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14,332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3,599,160</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21. ACCUMULATED OTHER COMPREHENSIVE INCOME (LOSS)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the changes in accumulated other comprehensive income (loss) by component, net of tax for the periods indicated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Unrealized Gains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w w:val="96"/>
              </w:rPr>
              <w:t>Gains and (Losses)</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and (Losses) 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on Cash Flow</w:t>
            </w: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4"/>
              </w:rPr>
              <w:t>Securities Available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Hedges</w:t>
            </w: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for Sale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66"/>
        </w:trPr>
        <w:tc>
          <w:tcPr>
            <w:tcW w:w="6880" w:type="dxa"/>
            <w:vAlign w:val="bottom"/>
            <w:gridSpan w:val="3"/>
          </w:tcPr>
          <w:p>
            <w:pPr>
              <w:spacing w:after="0" w:line="166" w:lineRule="exact"/>
              <w:rPr>
                <w:sz w:val="20"/>
                <w:szCs w:val="20"/>
                <w:color w:val="auto"/>
              </w:rPr>
            </w:pPr>
            <w:r>
              <w:rPr>
                <w:rFonts w:ascii="Arial" w:cs="Arial" w:eastAsia="Arial" w:hAnsi="Arial"/>
                <w:sz w:val="17"/>
                <w:szCs w:val="17"/>
                <w:color w:val="auto"/>
              </w:rPr>
              <w:t>For the Year Ended December 31, 2022</w:t>
            </w: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4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4,532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9,170</w:t>
            </w:r>
          </w:p>
        </w:tc>
        <w:tc>
          <w:tcPr>
            <w:tcW w:w="30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ind w:left="140"/>
              <w:spacing w:after="0"/>
              <w:rPr>
                <w:sz w:val="20"/>
                <w:szCs w:val="20"/>
                <w:color w:val="auto"/>
              </w:rPr>
            </w:pPr>
            <w:r>
              <w:rPr>
                <w:rFonts w:ascii="Arial" w:cs="Arial" w:eastAsia="Arial" w:hAnsi="Arial"/>
                <w:sz w:val="17"/>
                <w:szCs w:val="17"/>
                <w:color w:val="auto"/>
              </w:rPr>
              <w:t>Other comprehensive income (loss) before reclassification</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(90,350)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(78,810)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Amounts reclassified from other comprehensive</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tcPr>
          <w:p>
            <w:pPr>
              <w:ind w:left="140"/>
              <w:spacing w:after="0"/>
              <w:rPr>
                <w:sz w:val="20"/>
                <w:szCs w:val="20"/>
                <w:color w:val="auto"/>
              </w:rPr>
            </w:pPr>
            <w:r>
              <w:rPr>
                <w:rFonts w:ascii="Arial" w:cs="Arial" w:eastAsia="Arial" w:hAnsi="Arial"/>
                <w:sz w:val="17"/>
                <w:szCs w:val="17"/>
                <w:color w:val="auto"/>
              </w:rPr>
              <w:t>Net current period other comprehensive income (loss)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(90,350)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(78,810)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16,072</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(81,180)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6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68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7"/>
                <w:szCs w:val="17"/>
                <w:color w:val="auto"/>
                <w:w w:val="87"/>
              </w:rPr>
              <w:t>For the Year Ended December 31, 2021</w:t>
            </w:r>
          </w:p>
        </w:tc>
        <w:tc>
          <w:tcPr>
            <w:tcW w:w="4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Beginning balance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21,399</w:t>
            </w:r>
          </w:p>
        </w:tc>
        <w:tc>
          <w:tcPr>
            <w:tcW w:w="30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21,339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comprehensive income (loss) before reclassification</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4,592</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(12,229)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tcPr>
          <w:p>
            <w:pPr>
              <w:ind w:left="140"/>
              <w:spacing w:after="0"/>
              <w:rPr>
                <w:sz w:val="20"/>
                <w:szCs w:val="20"/>
                <w:color w:val="auto"/>
              </w:rPr>
            </w:pPr>
            <w:r>
              <w:rPr>
                <w:rFonts w:ascii="Arial" w:cs="Arial" w:eastAsia="Arial" w:hAnsi="Arial"/>
                <w:sz w:val="17"/>
                <w:szCs w:val="17"/>
                <w:color w:val="auto"/>
              </w:rPr>
              <w:t>Amounts reclassified from other comprehensive</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4,592</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Ending balance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4,532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9,170</w:t>
            </w:r>
          </w:p>
        </w:tc>
        <w:tc>
          <w:tcPr>
            <w:tcW w:w="30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13,702</w:t>
            </w: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68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color w:val="auto"/>
                <w:w w:val="87"/>
              </w:rPr>
              <w:t>For the Year Ended December 31, 2020</w:t>
            </w: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958</w:t>
            </w:r>
          </w:p>
        </w:tc>
        <w:tc>
          <w:tcPr>
            <w:tcW w:w="30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ind w:left="140"/>
              <w:spacing w:after="0"/>
              <w:rPr>
                <w:sz w:val="20"/>
                <w:szCs w:val="20"/>
                <w:color w:val="auto"/>
              </w:rPr>
            </w:pPr>
            <w:r>
              <w:rPr>
                <w:rFonts w:ascii="Arial" w:cs="Arial" w:eastAsia="Arial" w:hAnsi="Arial"/>
                <w:sz w:val="17"/>
                <w:szCs w:val="17"/>
                <w:color w:val="auto"/>
              </w:rPr>
              <w:t>Other comprehensive income (loss) before reclassification</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22,272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22,212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Amounts reclassified from other comprehensive</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tcPr>
          <w:p>
            <w:pPr>
              <w:ind w:left="140"/>
              <w:spacing w:after="0"/>
              <w:rPr>
                <w:sz w:val="20"/>
                <w:szCs w:val="20"/>
                <w:color w:val="auto"/>
              </w:rPr>
            </w:pPr>
            <w:r>
              <w:rPr>
                <w:rFonts w:ascii="Arial" w:cs="Arial" w:eastAsia="Arial" w:hAnsi="Arial"/>
                <w:sz w:val="17"/>
                <w:szCs w:val="17"/>
                <w:color w:val="auto"/>
              </w:rPr>
              <w:t>Net current period other comprehensive income (loss)</w:t>
            </w: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20,441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20,381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are shown on the Consolidated Statements of Comprehensive Income (Loss).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22. FAIR VALUE DISCLOSURES</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ectPr>
          <w:pgSz w:w="11900" w:h="16838" w:orient="portrait"/>
          <w:cols w:equalWidth="0" w:num="1">
            <w:col w:w="11240"/>
          </w:cols>
          <w:pgMar w:left="320" w:top="106"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13994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62" w:lineRule="exact"/>
        <w:rPr>
          <w:sz w:val="20"/>
          <w:szCs w:val="20"/>
          <w:color w:val="auto"/>
        </w:rPr>
      </w:pPr>
    </w:p>
    <w:p>
      <w:pPr>
        <w:ind w:left="620" w:hanging="313"/>
        <w:spacing w:after="0" w:line="274"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Level 1 Inputs </w:t>
      </w:r>
      <w:r>
        <w:rPr>
          <w:rFonts w:ascii="Arial" w:cs="Arial" w:eastAsia="Arial" w:hAnsi="Arial"/>
          <w:sz w:val="17"/>
          <w:szCs w:val="17"/>
          <w:color w:val="auto"/>
        </w:rPr>
        <w:t>- Unadjusted quoted prices in active markets for identical assets or liabilities that the reporting entity has the ability to access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date.</w:t>
      </w:r>
    </w:p>
    <w:p>
      <w:pPr>
        <w:spacing w:after="0" w:line="164" w:lineRule="exact"/>
        <w:rPr>
          <w:rFonts w:ascii="Arial" w:cs="Arial" w:eastAsia="Arial" w:hAnsi="Arial"/>
          <w:sz w:val="17"/>
          <w:szCs w:val="17"/>
          <w:color w:val="auto"/>
        </w:rPr>
      </w:pPr>
    </w:p>
    <w:p>
      <w:pPr>
        <w:jc w:val="both"/>
        <w:ind w:left="620" w:hanging="313"/>
        <w:spacing w:after="0" w:line="279"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 might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63" w:lineRule="exact"/>
        <w:rPr>
          <w:rFonts w:ascii="Arial" w:cs="Arial" w:eastAsia="Arial" w:hAnsi="Arial"/>
          <w:sz w:val="16"/>
          <w:szCs w:val="16"/>
          <w:color w:val="auto"/>
        </w:rPr>
      </w:pPr>
    </w:p>
    <w:p>
      <w:pPr>
        <w:ind w:left="620" w:hanging="313"/>
        <w:spacing w:after="0" w:line="274"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Significant unobservable inputs for determining the fair values of assets or liabilities that reflect an entity’s own assumptions about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market participants would use in pricing the assets or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fair value measurements as of December 31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Level 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66"/>
        </w:trPr>
        <w:tc>
          <w:tcPr>
            <w:tcW w:w="4880" w:type="dxa"/>
            <w:vAlign w:val="bottom"/>
            <w:gridSpan w:val="3"/>
          </w:tcPr>
          <w:p>
            <w:pPr>
              <w:spacing w:after="0" w:line="166" w:lineRule="exact"/>
              <w:rPr>
                <w:sz w:val="20"/>
                <w:szCs w:val="20"/>
                <w:color w:val="auto"/>
              </w:rPr>
            </w:pPr>
            <w:r>
              <w:rPr>
                <w:rFonts w:ascii="Arial" w:cs="Arial" w:eastAsia="Arial" w:hAnsi="Arial"/>
                <w:sz w:val="17"/>
                <w:szCs w:val="17"/>
                <w:color w:val="auto"/>
              </w:rPr>
              <w:t>December 31, 2022</w:t>
            </w:r>
          </w:p>
        </w:tc>
        <w:tc>
          <w:tcPr>
            <w:tcW w:w="1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3"/>
          </w:tcPr>
          <w:p>
            <w:pPr>
              <w:spacing w:after="0"/>
              <w:rPr>
                <w:sz w:val="20"/>
                <w:szCs w:val="20"/>
                <w:color w:val="auto"/>
              </w:rPr>
            </w:pPr>
            <w:r>
              <w:rPr>
                <w:rFonts w:ascii="Arial" w:cs="Arial" w:eastAsia="Arial" w:hAnsi="Arial"/>
                <w:sz w:val="17"/>
                <w:szCs w:val="17"/>
                <w:color w:val="auto"/>
              </w:rPr>
              <w:t>Assets (liabilities) measured at fair value on a recurring basis: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140"/>
              <w:spacing w:after="0"/>
              <w:rPr>
                <w:sz w:val="20"/>
                <w:szCs w:val="20"/>
                <w:color w:val="auto"/>
              </w:rPr>
            </w:pPr>
            <w:r>
              <w:rPr>
                <w:rFonts w:ascii="Arial" w:cs="Arial" w:eastAsia="Arial" w:hAnsi="Arial"/>
                <w:sz w:val="17"/>
                <w:szCs w:val="17"/>
                <w:color w:val="auto"/>
              </w:rPr>
              <w:t>Securities available for sale: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State and municipal</w:t>
            </w:r>
          </w:p>
        </w:tc>
        <w:tc>
          <w:tcPr>
            <w:tcW w:w="2000" w:type="dxa"/>
            <w:vAlign w:val="bottom"/>
            <w:gridSpan w:val="2"/>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225,055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225,055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280"/>
              <w:spacing w:after="0"/>
              <w:rPr>
                <w:sz w:val="20"/>
                <w:szCs w:val="20"/>
                <w:color w:val="auto"/>
              </w:rPr>
            </w:pPr>
            <w:r>
              <w:rPr>
                <w:rFonts w:ascii="Arial" w:cs="Arial" w:eastAsia="Arial" w:hAnsi="Arial"/>
                <w:sz w:val="17"/>
                <w:szCs w:val="17"/>
                <w:color w:val="auto"/>
              </w:rPr>
              <w:t>Residential mortgage-backed securities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328,845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328,845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Commercial mortgage-backed securities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41,967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41,967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280"/>
              <w:spacing w:after="0"/>
              <w:rPr>
                <w:sz w:val="20"/>
                <w:szCs w:val="20"/>
                <w:color w:val="auto"/>
              </w:rPr>
            </w:pPr>
            <w:r>
              <w:rPr>
                <w:rFonts w:ascii="Arial" w:cs="Arial" w:eastAsia="Arial" w:hAnsi="Arial"/>
                <w:sz w:val="17"/>
                <w:szCs w:val="17"/>
                <w:color w:val="auto"/>
              </w:rPr>
              <w:t>Commercial collateralized mortgage obligations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75,638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75,638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Asset-backed and other amortizing securities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280"/>
              <w:spacing w:after="0"/>
              <w:rPr>
                <w:sz w:val="20"/>
                <w:szCs w:val="20"/>
                <w:color w:val="auto"/>
              </w:rPr>
            </w:pPr>
            <w:r>
              <w:rPr>
                <w:rFonts w:ascii="Arial" w:cs="Arial" w:eastAsia="Arial" w:hAnsi="Arial"/>
                <w:sz w:val="17"/>
                <w:szCs w:val="17"/>
                <w:color w:val="auto"/>
              </w:rPr>
              <w:t>Other securities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11,112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11,112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Loans held for sale (mandatory)</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140"/>
              <w:spacing w:after="0"/>
              <w:rPr>
                <w:sz w:val="20"/>
                <w:szCs w:val="20"/>
                <w:color w:val="auto"/>
              </w:rPr>
            </w:pPr>
            <w:r>
              <w:rPr>
                <w:rFonts w:ascii="Arial" w:cs="Arial" w:eastAsia="Arial" w:hAnsi="Arial"/>
                <w:sz w:val="17"/>
                <w:szCs w:val="17"/>
                <w:color w:val="auto"/>
              </w:rPr>
              <w:t>Mortgage servicing rights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27,474</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27,474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Asset derivatives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21,162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140"/>
              <w:spacing w:after="0"/>
              <w:rPr>
                <w:sz w:val="20"/>
                <w:szCs w:val="20"/>
                <w:color w:val="auto"/>
              </w:rPr>
            </w:pPr>
            <w:r>
              <w:rPr>
                <w:rFonts w:ascii="Arial" w:cs="Arial" w:eastAsia="Arial" w:hAnsi="Arial"/>
                <w:sz w:val="17"/>
                <w:szCs w:val="17"/>
                <w:color w:val="auto"/>
              </w:rPr>
              <w:t>Liability derivatives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Assets measured at fair value on a non-recurring basis: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Impaired loans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4,821</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Level 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3</w:t>
            </w:r>
          </w:p>
        </w:tc>
        <w:tc>
          <w:tcPr>
            <w:tcW w:w="2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66"/>
        </w:trPr>
        <w:tc>
          <w:tcPr>
            <w:tcW w:w="4880" w:type="dxa"/>
            <w:vAlign w:val="bottom"/>
            <w:gridSpan w:val="3"/>
          </w:tcPr>
          <w:p>
            <w:pPr>
              <w:spacing w:after="0" w:line="166" w:lineRule="exact"/>
              <w:rPr>
                <w:sz w:val="20"/>
                <w:szCs w:val="20"/>
                <w:color w:val="auto"/>
              </w:rPr>
            </w:pPr>
            <w:r>
              <w:rPr>
                <w:rFonts w:ascii="Arial" w:cs="Arial" w:eastAsia="Arial" w:hAnsi="Arial"/>
                <w:sz w:val="17"/>
                <w:szCs w:val="17"/>
                <w:color w:val="auto"/>
              </w:rPr>
              <w:t>December 31, 2021</w:t>
            </w:r>
          </w:p>
        </w:tc>
        <w:tc>
          <w:tcPr>
            <w:tcW w:w="1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3"/>
          </w:tcPr>
          <w:p>
            <w:pPr>
              <w:spacing w:after="0"/>
              <w:rPr>
                <w:sz w:val="20"/>
                <w:szCs w:val="20"/>
                <w:color w:val="auto"/>
              </w:rPr>
            </w:pPr>
            <w:r>
              <w:rPr>
                <w:rFonts w:ascii="Arial" w:cs="Arial" w:eastAsia="Arial" w:hAnsi="Arial"/>
                <w:sz w:val="17"/>
                <w:szCs w:val="17"/>
                <w:color w:val="auto"/>
              </w:rPr>
              <w:t>Assets (liabilities) measured at fair value on a recurring basis:</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140"/>
              <w:spacing w:after="0"/>
              <w:rPr>
                <w:sz w:val="20"/>
                <w:szCs w:val="20"/>
                <w:color w:val="auto"/>
              </w:rPr>
            </w:pPr>
            <w:r>
              <w:rPr>
                <w:rFonts w:ascii="Arial" w:cs="Arial" w:eastAsia="Arial" w:hAnsi="Arial"/>
                <w:sz w:val="17"/>
                <w:szCs w:val="17"/>
                <w:color w:val="auto"/>
              </w:rPr>
              <w:t>Securities available for sale:</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State and municipal</w:t>
            </w:r>
          </w:p>
        </w:tc>
        <w:tc>
          <w:tcPr>
            <w:tcW w:w="2000" w:type="dxa"/>
            <w:vAlign w:val="bottom"/>
            <w:gridSpan w:val="2"/>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275,672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275,672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280"/>
              <w:spacing w:after="0"/>
              <w:rPr>
                <w:sz w:val="20"/>
                <w:szCs w:val="20"/>
                <w:color w:val="auto"/>
              </w:rPr>
            </w:pPr>
            <w:r>
              <w:rPr>
                <w:rFonts w:ascii="Arial" w:cs="Arial" w:eastAsia="Arial" w:hAnsi="Arial"/>
                <w:sz w:val="17"/>
                <w:szCs w:val="17"/>
                <w:color w:val="auto"/>
              </w:rPr>
              <w:t>Residential mortgage-backed securities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251,601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251,601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Commercial mortgage-backed securities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51,488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51,488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280"/>
              <w:spacing w:after="0"/>
              <w:rPr>
                <w:sz w:val="20"/>
                <w:szCs w:val="20"/>
                <w:color w:val="auto"/>
              </w:rPr>
            </w:pPr>
            <w:r>
              <w:rPr>
                <w:rFonts w:ascii="Arial" w:cs="Arial" w:eastAsia="Arial" w:hAnsi="Arial"/>
                <w:sz w:val="17"/>
                <w:szCs w:val="17"/>
                <w:color w:val="auto"/>
              </w:rPr>
              <w:t>Commercial collateralized mortgage obligations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106,320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106,320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Asset-backed and other amortizing securities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280"/>
              <w:spacing w:after="0"/>
              <w:rPr>
                <w:sz w:val="20"/>
                <w:szCs w:val="20"/>
                <w:color w:val="auto"/>
              </w:rPr>
            </w:pPr>
            <w:r>
              <w:rPr>
                <w:rFonts w:ascii="Arial" w:cs="Arial" w:eastAsia="Arial" w:hAnsi="Arial"/>
                <w:sz w:val="17"/>
                <w:szCs w:val="17"/>
                <w:color w:val="auto"/>
              </w:rPr>
              <w:t>Other securities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12,487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12,487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Loans held for sale (mandatory)</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140"/>
              <w:spacing w:after="0"/>
              <w:rPr>
                <w:sz w:val="20"/>
                <w:szCs w:val="20"/>
                <w:color w:val="auto"/>
              </w:rPr>
            </w:pPr>
            <w:r>
              <w:rPr>
                <w:rFonts w:ascii="Arial" w:cs="Arial" w:eastAsia="Arial" w:hAnsi="Arial"/>
                <w:sz w:val="17"/>
                <w:szCs w:val="17"/>
                <w:color w:val="auto"/>
              </w:rPr>
              <w:t>Mortgage servicing rights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19,700</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19,700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Asset derivatives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tcPr>
          <w:p>
            <w:pPr>
              <w:ind w:left="140"/>
              <w:spacing w:after="0"/>
              <w:rPr>
                <w:sz w:val="20"/>
                <w:szCs w:val="20"/>
                <w:color w:val="auto"/>
              </w:rPr>
            </w:pPr>
            <w:r>
              <w:rPr>
                <w:rFonts w:ascii="Arial" w:cs="Arial" w:eastAsia="Arial" w:hAnsi="Arial"/>
                <w:sz w:val="17"/>
                <w:szCs w:val="17"/>
                <w:color w:val="auto"/>
              </w:rPr>
              <w:t>Liability derivatives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Assets measured at fair value on a non-recurring basis: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Impaired loans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6,427</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00" w:type="dxa"/>
            <w:vAlign w:val="bottom"/>
          </w:tcPr>
          <w:p>
            <w:pPr>
              <w:jc w:val="right"/>
              <w:ind w:right="201"/>
              <w:spacing w:after="0"/>
              <w:rPr>
                <w:sz w:val="20"/>
                <w:szCs w:val="20"/>
                <w:color w:val="auto"/>
              </w:rPr>
            </w:pPr>
            <w:r>
              <w:rPr>
                <w:rFonts w:ascii="Arial" w:cs="Arial" w:eastAsia="Arial" w:hAnsi="Arial"/>
                <w:sz w:val="14"/>
                <w:szCs w:val="14"/>
                <w:color w:val="auto"/>
              </w:rPr>
              <w:t>98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u w:val="single" w:color="auto"/>
          <w:color w:val="auto"/>
        </w:rPr>
        <w:t>Mortgage servicing rights</w:t>
      </w:r>
      <w:r>
        <w:rPr>
          <w:rFonts w:ascii="Arial" w:cs="Arial" w:eastAsia="Arial" w:hAnsi="Arial"/>
          <w:sz w:val="16"/>
          <w:szCs w:val="16"/>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8 for the Level 3 change activity for the years ended December 31, 2022 and 2021.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rPr>
        <w:t xml:space="preserve"> – Fair value of derivatives is based on valuation models using observable market data as of the measurement date.</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u w:val="single" w:color="auto"/>
          <w:color w:val="auto"/>
        </w:rPr>
        <w:t>Impaired loans</w:t>
      </w:r>
      <w:r>
        <w:rPr>
          <w:rFonts w:ascii="Arial" w:cs="Arial" w:eastAsia="Arial" w:hAnsi="Arial"/>
          <w:sz w:val="15"/>
          <w:szCs w:val="15"/>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Values of Assets Recorded on a Recurring Basis for which the Fair Value Option has been Elected</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u w:val="single" w:color="auto"/>
          <w:color w:val="auto"/>
        </w:rPr>
        <w:t>Loans held for sale (mandatory)</w:t>
      </w:r>
      <w:r>
        <w:rPr>
          <w:rFonts w:ascii="Arial" w:cs="Arial" w:eastAsia="Arial" w:hAnsi="Arial"/>
          <w:sz w:val="16"/>
          <w:szCs w:val="16"/>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For assets for which the fair value option has been elected, the earned current contractual interest payment is recognized in interest income, loan</w:t>
      </w:r>
      <w:r>
        <w:rPr>
          <w:rFonts w:ascii="Arial" w:cs="Arial" w:eastAsia="Arial" w:hAnsi="Arial"/>
          <w:sz w:val="16"/>
          <w:szCs w:val="16"/>
          <w:i w:val="1"/>
          <w:iCs w:val="1"/>
          <w:color w:val="auto"/>
        </w:rPr>
        <w:t xml:space="preserve"> </w:t>
      </w:r>
      <w:r>
        <w:rPr>
          <w:rFonts w:ascii="Arial" w:cs="Arial" w:eastAsia="Arial" w:hAnsi="Arial"/>
          <w:sz w:val="16"/>
          <w:szCs w:val="16"/>
          <w:color w:val="auto"/>
        </w:rPr>
        <w:t>origination costs and fees on fair value option loans are recognized in earnings as incurred and not deferred. At December 31, 2022, and 2021, there were no gains or losses recorded attributable to changes in instrument-specific credit risk. Fair value is determined using quoted prices for similar assets, adjusted for specific attributes of that loan. At December 31,2022 and 2021 the aggregate fair value of loans held for sale for mandatory delivery was $10.0 million and $47.6 million, respectively. The aggregate unpaid principal balance as of the same dates was $9.9 million and $46.4 million, respectively, representing differences between fair value and unpaid principal balance of $163 thousand and $1.2 million, respectively. There were no loans held for sale for mandatory delivery designated as nonaccrual or 90 days or more past due at December 31, 2022 and 2021.</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total fair value option impact on noninterest income for loans held for sale for mandatory delivery is included in Net gain on sales of loans in the consolidated statements of comprehensive income (loss). For the years ended December 31, 2022, 2021, and 2020 this amount totaled $(2.1) million, $(3.4) million, and $4.8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quantitative information about recurring and non-recurring Level 3 fair value measurements at December 31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Range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8"/>
              </w:rPr>
              <w:t>Fair Value</w:t>
            </w:r>
          </w:p>
        </w:tc>
        <w:tc>
          <w:tcPr>
            <w:tcW w:w="60" w:type="dxa"/>
            <w:vAlign w:val="bottom"/>
          </w:tcPr>
          <w:p>
            <w:pPr>
              <w:spacing w:after="0"/>
              <w:rPr>
                <w:sz w:val="19"/>
                <w:szCs w:val="19"/>
                <w:color w:val="auto"/>
              </w:rPr>
            </w:pPr>
          </w:p>
        </w:tc>
        <w:tc>
          <w:tcPr>
            <w:tcW w:w="2800" w:type="dxa"/>
            <w:vAlign w:val="bottom"/>
          </w:tcPr>
          <w:p>
            <w:pPr>
              <w:ind w:left="620"/>
              <w:spacing w:after="0"/>
              <w:rPr>
                <w:sz w:val="20"/>
                <w:szCs w:val="20"/>
                <w:color w:val="auto"/>
              </w:rPr>
            </w:pPr>
            <w:r>
              <w:rPr>
                <w:rFonts w:ascii="Arial" w:cs="Arial" w:eastAsia="Arial" w:hAnsi="Arial"/>
                <w:sz w:val="17"/>
                <w:szCs w:val="17"/>
                <w:b w:val="1"/>
                <w:bCs w:val="1"/>
                <w:color w:val="auto"/>
              </w:rPr>
              <w:t>Valuation Techniques</w:t>
            </w:r>
          </w:p>
        </w:tc>
        <w:tc>
          <w:tcPr>
            <w:tcW w:w="100" w:type="dxa"/>
            <w:vAlign w:val="bottom"/>
          </w:tcPr>
          <w:p>
            <w:pPr>
              <w:spacing w:after="0"/>
              <w:rPr>
                <w:sz w:val="19"/>
                <w:szCs w:val="19"/>
                <w:color w:val="auto"/>
              </w:rPr>
            </w:pPr>
          </w:p>
        </w:tc>
        <w:tc>
          <w:tcPr>
            <w:tcW w:w="2800" w:type="dxa"/>
            <w:vAlign w:val="bottom"/>
          </w:tcPr>
          <w:p>
            <w:pPr>
              <w:ind w:left="740"/>
              <w:spacing w:after="0"/>
              <w:rPr>
                <w:sz w:val="20"/>
                <w:szCs w:val="20"/>
                <w:color w:val="auto"/>
              </w:rPr>
            </w:pPr>
            <w:r>
              <w:rPr>
                <w:rFonts w:ascii="Arial" w:cs="Arial" w:eastAsia="Arial" w:hAnsi="Arial"/>
                <w:sz w:val="17"/>
                <w:szCs w:val="17"/>
                <w:b w:val="1"/>
                <w:bCs w:val="1"/>
                <w:color w:val="auto"/>
              </w:rPr>
              <w:t>Unobservable Inputs</w:t>
            </w: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Discounts</w:t>
            </w:r>
          </w:p>
        </w:tc>
        <w:tc>
          <w:tcPr>
            <w:tcW w:w="0" w:type="dxa"/>
            <w:vAlign w:val="bottom"/>
          </w:tcPr>
          <w:p>
            <w:pPr>
              <w:spacing w:after="0"/>
              <w:rPr>
                <w:sz w:val="1"/>
                <w:szCs w:val="1"/>
                <w:color w:val="auto"/>
              </w:rPr>
            </w:pPr>
          </w:p>
        </w:tc>
      </w:tr>
      <w:tr>
        <w:trPr>
          <w:trHeight w:val="166"/>
        </w:trPr>
        <w:tc>
          <w:tcPr>
            <w:tcW w:w="2940" w:type="dxa"/>
            <w:vAlign w:val="bottom"/>
            <w:gridSpan w:val="3"/>
          </w:tcPr>
          <w:p>
            <w:pPr>
              <w:spacing w:after="0" w:line="166" w:lineRule="exact"/>
              <w:rPr>
                <w:sz w:val="20"/>
                <w:szCs w:val="20"/>
                <w:color w:val="auto"/>
              </w:rPr>
            </w:pPr>
            <w:r>
              <w:rPr>
                <w:rFonts w:ascii="Arial" w:cs="Arial" w:eastAsia="Arial" w:hAnsi="Arial"/>
                <w:sz w:val="17"/>
                <w:szCs w:val="17"/>
                <w:color w:val="auto"/>
              </w:rPr>
              <w:t>December 31, 2022</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40" w:type="dxa"/>
            <w:vAlign w:val="bottom"/>
            <w:gridSpan w:val="3"/>
          </w:tcPr>
          <w:p>
            <w:pPr>
              <w:spacing w:after="0"/>
              <w:rPr>
                <w:sz w:val="20"/>
                <w:szCs w:val="20"/>
                <w:color w:val="auto"/>
              </w:rPr>
            </w:pPr>
            <w:r>
              <w:rPr>
                <w:rFonts w:ascii="Arial" w:cs="Arial" w:eastAsia="Arial" w:hAnsi="Arial"/>
                <w:sz w:val="17"/>
                <w:szCs w:val="17"/>
                <w:color w:val="auto"/>
              </w:rPr>
              <w:t>Non-recurring</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4,821</w:t>
            </w:r>
          </w:p>
        </w:tc>
        <w:tc>
          <w:tcPr>
            <w:tcW w:w="28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Third party appraisals or inspections</w:t>
            </w: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8"/>
              </w:rPr>
              <w:t>Collateral discounts and selling costs</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Recurring: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servicing rights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27,474</w:t>
            </w:r>
          </w:p>
        </w:tc>
        <w:tc>
          <w:tcPr>
            <w:tcW w:w="28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Discounted cash flows</w:t>
            </w: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Constant prepayment rate</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ind w:left="40"/>
              <w:spacing w:after="0"/>
              <w:rPr>
                <w:sz w:val="20"/>
                <w:szCs w:val="20"/>
                <w:color w:val="auto"/>
              </w:rPr>
            </w:pPr>
            <w:r>
              <w:rPr>
                <w:rFonts w:ascii="Arial" w:cs="Arial" w:eastAsia="Arial" w:hAnsi="Arial"/>
                <w:sz w:val="17"/>
                <w:szCs w:val="17"/>
                <w:color w:val="auto"/>
              </w:rPr>
              <w:t>Discount rate</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9.15%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320" w:type="dxa"/>
            <w:vAlign w:val="bottom"/>
            <w:tcBorders>
              <w:bottom w:val="single" w:sz="8" w:color="auto"/>
            </w:tcBorders>
          </w:tcPr>
          <w:p>
            <w:pPr>
              <w:spacing w:after="0" w:line="166" w:lineRule="exact"/>
              <w:rPr>
                <w:sz w:val="20"/>
                <w:szCs w:val="20"/>
                <w:color w:val="auto"/>
              </w:rPr>
            </w:pPr>
            <w:r>
              <w:rPr>
                <w:rFonts w:ascii="Arial" w:cs="Arial" w:eastAsia="Arial" w:hAnsi="Arial"/>
                <w:sz w:val="17"/>
                <w:szCs w:val="17"/>
                <w:color w:val="auto"/>
                <w:w w:val="87"/>
              </w:rPr>
              <w:t>December 31, 2021</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Non-recurring</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6,427</w:t>
            </w:r>
          </w:p>
        </w:tc>
        <w:tc>
          <w:tcPr>
            <w:tcW w:w="2860" w:type="dxa"/>
            <w:vAlign w:val="bottom"/>
            <w:gridSpan w:val="2"/>
          </w:tcPr>
          <w:p>
            <w:pPr>
              <w:ind w:left="60"/>
              <w:spacing w:after="0"/>
              <w:rPr>
                <w:sz w:val="20"/>
                <w:szCs w:val="20"/>
                <w:color w:val="auto"/>
              </w:rPr>
            </w:pPr>
            <w:r>
              <w:rPr>
                <w:rFonts w:ascii="Arial" w:cs="Arial" w:eastAsia="Arial" w:hAnsi="Arial"/>
                <w:sz w:val="17"/>
                <w:szCs w:val="17"/>
                <w:color w:val="auto"/>
              </w:rPr>
              <w:t>Third party appraisals or inspections</w:t>
            </w:r>
          </w:p>
        </w:tc>
        <w:tc>
          <w:tcPr>
            <w:tcW w:w="100" w:type="dxa"/>
            <w:vAlign w:val="bottom"/>
          </w:tcPr>
          <w:p>
            <w:pPr>
              <w:spacing w:after="0"/>
              <w:rPr>
                <w:sz w:val="17"/>
                <w:szCs w:val="17"/>
                <w:color w:val="auto"/>
              </w:rPr>
            </w:pPr>
          </w:p>
        </w:tc>
        <w:tc>
          <w:tcPr>
            <w:tcW w:w="2800" w:type="dxa"/>
            <w:vAlign w:val="bottom"/>
          </w:tcPr>
          <w:p>
            <w:pPr>
              <w:ind w:left="40"/>
              <w:spacing w:after="0"/>
              <w:rPr>
                <w:sz w:val="20"/>
                <w:szCs w:val="20"/>
                <w:color w:val="auto"/>
              </w:rPr>
            </w:pPr>
            <w:r>
              <w:rPr>
                <w:rFonts w:ascii="Arial" w:cs="Arial" w:eastAsia="Arial" w:hAnsi="Arial"/>
                <w:sz w:val="17"/>
                <w:szCs w:val="17"/>
                <w:color w:val="auto"/>
                <w:w w:val="98"/>
              </w:rPr>
              <w:t>Collateral discounts and selling costs</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20%-100%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Recurring: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auto"/>
              </w:rPr>
              <w:t>Mortgage servicing rights</w:t>
            </w: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19,700</w:t>
            </w:r>
          </w:p>
        </w:tc>
        <w:tc>
          <w:tcPr>
            <w:tcW w:w="2860" w:type="dxa"/>
            <w:vAlign w:val="bottom"/>
            <w:gridSpan w:val="2"/>
          </w:tcPr>
          <w:p>
            <w:pPr>
              <w:ind w:left="60"/>
              <w:spacing w:after="0"/>
              <w:rPr>
                <w:sz w:val="20"/>
                <w:szCs w:val="20"/>
                <w:color w:val="auto"/>
              </w:rPr>
            </w:pPr>
            <w:r>
              <w:rPr>
                <w:rFonts w:ascii="Arial" w:cs="Arial" w:eastAsia="Arial" w:hAnsi="Arial"/>
                <w:sz w:val="17"/>
                <w:szCs w:val="17"/>
                <w:color w:val="auto"/>
              </w:rPr>
              <w:t>Discounted cash flows</w:t>
            </w:r>
          </w:p>
        </w:tc>
        <w:tc>
          <w:tcPr>
            <w:tcW w:w="2900" w:type="dxa"/>
            <w:vAlign w:val="bottom"/>
            <w:gridSpan w:val="2"/>
          </w:tcPr>
          <w:p>
            <w:pPr>
              <w:ind w:left="100"/>
              <w:spacing w:after="0"/>
              <w:rPr>
                <w:sz w:val="20"/>
                <w:szCs w:val="20"/>
                <w:color w:val="auto"/>
              </w:rPr>
            </w:pPr>
            <w:r>
              <w:rPr>
                <w:rFonts w:ascii="Arial" w:cs="Arial" w:eastAsia="Arial" w:hAnsi="Arial"/>
                <w:sz w:val="17"/>
                <w:szCs w:val="17"/>
                <w:color w:val="auto"/>
              </w:rPr>
              <w:t>Constant prepayment rate</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Discount rate</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2"/>
          </w:tcPr>
          <w:p>
            <w:pPr>
              <w:ind w:left="144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sz w:val="20"/>
                <w:szCs w:val="20"/>
                <w:color w:val="auto"/>
              </w:rPr>
            </w:pPr>
            <w:r>
              <w:rPr>
                <w:rFonts w:ascii="Arial" w:cs="Arial" w:eastAsia="Arial" w:hAnsi="Arial"/>
                <w:sz w:val="14"/>
                <w:szCs w:val="14"/>
                <w:i w:val="1"/>
                <w:iCs w:val="1"/>
                <w:color w:val="0000EE"/>
                <w:w w:val="85"/>
              </w:rPr>
              <w:t>Table of Contents</w:t>
            </w:r>
          </w:p>
        </w:tc>
        <w:tc>
          <w:tcPr>
            <w:tcW w:w="36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1"/>
        </w:trPr>
        <w:tc>
          <w:tcPr>
            <w:tcW w:w="7240" w:type="dxa"/>
            <w:vAlign w:val="bottom"/>
            <w:gridSpan w:val="9"/>
          </w:tcPr>
          <w:p>
            <w:pPr>
              <w:spacing w:after="0"/>
              <w:rPr>
                <w:sz w:val="20"/>
                <w:szCs w:val="20"/>
                <w:color w:val="auto"/>
              </w:rPr>
            </w:pPr>
            <w:r>
              <w:rPr>
                <w:rFonts w:ascii="Arial" w:cs="Arial" w:eastAsia="Arial" w:hAnsi="Arial"/>
                <w:sz w:val="17"/>
                <w:szCs w:val="17"/>
                <w:color w:val="auto"/>
                <w:w w:val="92"/>
              </w:rPr>
              <w:t>The following table summarizes carrying value measurements as of December 31(dollars in thousands):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Amount</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5"/>
              <w:spacing w:after="0"/>
              <w:rPr>
                <w:sz w:val="20"/>
                <w:szCs w:val="20"/>
                <w:color w:val="auto"/>
              </w:rPr>
            </w:pPr>
            <w:r>
              <w:rPr>
                <w:rFonts w:ascii="Arial" w:cs="Arial" w:eastAsia="Arial" w:hAnsi="Arial"/>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r>
      <w:tr>
        <w:trPr>
          <w:trHeight w:val="166"/>
        </w:trPr>
        <w:tc>
          <w:tcPr>
            <w:tcW w:w="134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7"/>
                <w:szCs w:val="17"/>
                <w:color w:val="auto"/>
                <w:w w:val="88"/>
              </w:rPr>
              <w:t>December 31, 2022</w:t>
            </w:r>
          </w:p>
        </w:tc>
        <w:tc>
          <w:tcPr>
            <w:tcW w:w="3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7"/>
                <w:szCs w:val="17"/>
                <w:color w:val="auto"/>
              </w:rPr>
              <w:t>Financial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234,883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234,883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234,883</w:t>
            </w: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Loans held for investment, net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2,708,793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2,662,609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2,662,609</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Loans held for sale (best efforts)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20,365</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20,745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20,745</w:t>
            </w: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Accrued interest receivable</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16,432</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16,432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16,432</w:t>
            </w: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Deposits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3,406,430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3,405,222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3,405,222</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Accrued interest payable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2,836</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2,836</w:t>
            </w: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Junior subordinated deferrable interest debentures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46,393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34,606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34,606</w:t>
            </w: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Subordinated debt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75,961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70,835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70,835</w:t>
            </w:r>
          </w:p>
        </w:tc>
      </w:tr>
      <w:tr>
        <w:trPr>
          <w:trHeight w:val="391"/>
        </w:trPr>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Amount</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5"/>
              <w:spacing w:after="0"/>
              <w:rPr>
                <w:sz w:val="20"/>
                <w:szCs w:val="20"/>
                <w:color w:val="auto"/>
              </w:rPr>
            </w:pPr>
            <w:r>
              <w:rPr>
                <w:rFonts w:ascii="Arial" w:cs="Arial" w:eastAsia="Arial" w:hAnsi="Arial"/>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r>
      <w:tr>
        <w:trPr>
          <w:trHeight w:val="166"/>
        </w:trPr>
        <w:tc>
          <w:tcPr>
            <w:tcW w:w="134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7"/>
                <w:szCs w:val="17"/>
                <w:color w:val="auto"/>
                <w:w w:val="88"/>
              </w:rPr>
              <w:t>December 31, 2021</w:t>
            </w:r>
          </w:p>
        </w:tc>
        <w:tc>
          <w:tcPr>
            <w:tcW w:w="3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7"/>
                <w:szCs w:val="17"/>
                <w:color w:val="auto"/>
              </w:rPr>
              <w:t>Financial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486,821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486,821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486,821</w:t>
            </w: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Loans held for investment, net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2,395,479</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2,397,079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2,397,079</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Loans held for sale (best efforts)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28,914</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29,500</w:t>
            </w: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Accrued interest receivable</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13,900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13,900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13,900</w:t>
            </w:r>
          </w:p>
        </w:tc>
      </w:tr>
      <w:tr>
        <w:trPr>
          <w:trHeight w:val="204"/>
        </w:trPr>
        <w:tc>
          <w:tcPr>
            <w:tcW w:w="46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Financial liabilities: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Deposits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3,341,222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3,004,091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339,797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3,343,888</w:t>
            </w:r>
          </w:p>
        </w:tc>
        <w:tc>
          <w:tcPr>
            <w:tcW w:w="100" w:type="dxa"/>
            <w:vAlign w:val="bottom"/>
          </w:tcPr>
          <w:p>
            <w:pPr>
              <w:spacing w:after="0"/>
              <w:rPr>
                <w:sz w:val="17"/>
                <w:szCs w:val="17"/>
                <w:color w:val="auto"/>
              </w:rPr>
            </w:pP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Accrued interest payable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1,914</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1,914</w:t>
            </w:r>
          </w:p>
        </w:tc>
      </w:tr>
      <w:tr>
        <w:trPr>
          <w:trHeight w:val="204"/>
        </w:trPr>
        <w:tc>
          <w:tcPr>
            <w:tcW w:w="4620" w:type="dxa"/>
            <w:vAlign w:val="bottom"/>
            <w:gridSpan w:val="3"/>
          </w:tcPr>
          <w:p>
            <w:pPr>
              <w:ind w:left="160"/>
              <w:spacing w:after="0"/>
              <w:rPr>
                <w:sz w:val="20"/>
                <w:szCs w:val="20"/>
                <w:color w:val="auto"/>
              </w:rPr>
            </w:pPr>
            <w:r>
              <w:rPr>
                <w:rFonts w:ascii="Arial" w:cs="Arial" w:eastAsia="Arial" w:hAnsi="Arial"/>
                <w:sz w:val="17"/>
                <w:szCs w:val="17"/>
                <w:color w:val="auto"/>
              </w:rPr>
              <w:t>Junior subordinated deferrable interest debentures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46,393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45,690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45,690</w:t>
            </w:r>
          </w:p>
        </w:tc>
      </w:tr>
      <w:tr>
        <w:trPr>
          <w:trHeight w:val="204"/>
        </w:trPr>
        <w:tc>
          <w:tcPr>
            <w:tcW w:w="46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Subordinated debt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75,775</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77,939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77,939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23. SUBSEQUENT EVENTS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Declaration</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January 19, 2023, the Company declared a cash dividend of $0.13 per share of common stock to be paid on February 13, 2023 to all shareholders of record as of January 30, 2023.</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ind w:firstLine="306"/>
        <w:spacing w:after="0" w:line="258" w:lineRule="auto"/>
        <w:rPr>
          <w:sz w:val="20"/>
          <w:szCs w:val="20"/>
          <w:color w:val="auto"/>
        </w:rPr>
      </w:pPr>
      <w:r>
        <w:rPr>
          <w:rFonts w:ascii="Arial" w:cs="Arial" w:eastAsia="Arial" w:hAnsi="Arial"/>
          <w:sz w:val="17"/>
          <w:szCs w:val="17"/>
          <w:color w:val="auto"/>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spacing w:after="0" w:line="178" w:lineRule="exact"/>
        <w:rPr>
          <w:sz w:val="20"/>
          <w:szCs w:val="20"/>
          <w:color w:val="auto"/>
        </w:rPr>
      </w:pPr>
    </w:p>
    <w:p>
      <w:pPr>
        <w:ind w:right="200" w:firstLine="306"/>
        <w:spacing w:after="0" w:line="274" w:lineRule="auto"/>
        <w:rPr>
          <w:sz w:val="20"/>
          <w:szCs w:val="20"/>
          <w:color w:val="auto"/>
        </w:rPr>
      </w:pPr>
      <w:r>
        <w:rPr>
          <w:rFonts w:ascii="Arial" w:cs="Arial" w:eastAsia="Arial" w:hAnsi="Arial"/>
          <w:sz w:val="17"/>
          <w:szCs w:val="17"/>
          <w:color w:val="auto"/>
        </w:rPr>
        <w:t>There have been no significant changes in our internal control over financial reporting during the three months ended December 31, 2022 that have materially affected, or are reasonably likely to materially affect, our internal control over financial reporting.</w:t>
      </w:r>
    </w:p>
    <w:p>
      <w:pPr>
        <w:spacing w:after="0" w:line="165" w:lineRule="exact"/>
        <w:rPr>
          <w:sz w:val="20"/>
          <w:szCs w:val="20"/>
          <w:color w:val="auto"/>
        </w:rPr>
      </w:pPr>
    </w:p>
    <w:p>
      <w:pPr>
        <w:ind w:right="140" w:firstLine="306"/>
        <w:spacing w:after="0" w:line="274" w:lineRule="auto"/>
        <w:rPr>
          <w:sz w:val="20"/>
          <w:szCs w:val="20"/>
          <w:color w:val="auto"/>
        </w:rPr>
      </w:pPr>
      <w:r>
        <w:rPr>
          <w:rFonts w:ascii="Arial" w:cs="Arial" w:eastAsia="Arial" w:hAnsi="Arial"/>
          <w:sz w:val="17"/>
          <w:szCs w:val="17"/>
          <w:color w:val="auto"/>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spacing w:after="0" w:line="165" w:lineRule="exact"/>
        <w:rPr>
          <w:sz w:val="20"/>
          <w:szCs w:val="20"/>
          <w:color w:val="auto"/>
        </w:rPr>
      </w:pPr>
    </w:p>
    <w:p>
      <w:pPr>
        <w:ind w:right="40" w:firstLine="306"/>
        <w:spacing w:after="0" w:line="258" w:lineRule="auto"/>
        <w:rPr>
          <w:sz w:val="20"/>
          <w:szCs w:val="20"/>
          <w:color w:val="auto"/>
        </w:rPr>
      </w:pPr>
      <w:r>
        <w:rPr>
          <w:rFonts w:ascii="Arial" w:cs="Arial" w:eastAsia="Arial" w:hAnsi="Arial"/>
          <w:sz w:val="17"/>
          <w:szCs w:val="17"/>
          <w:u w:val="single" w:color="auto"/>
          <w:color w:val="auto"/>
        </w:rPr>
        <w:t>Report of Management on Internal Control over Financial Reporting</w:t>
      </w:r>
      <w:r>
        <w:rPr>
          <w:rFonts w:ascii="Arial" w:cs="Arial" w:eastAsia="Arial" w:hAnsi="Arial"/>
          <w:sz w:val="17"/>
          <w:szCs w:val="17"/>
          <w:color w:val="auto"/>
        </w:rPr>
        <w:t>. 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spacing w:after="0" w:line="178" w:lineRule="exact"/>
        <w:rPr>
          <w:sz w:val="20"/>
          <w:szCs w:val="20"/>
          <w:color w:val="auto"/>
        </w:rPr>
      </w:pPr>
    </w:p>
    <w:p>
      <w:pPr>
        <w:ind w:right="320" w:firstLine="306"/>
        <w:spacing w:after="0" w:line="262" w:lineRule="auto"/>
        <w:rPr>
          <w:sz w:val="20"/>
          <w:szCs w:val="20"/>
          <w:color w:val="auto"/>
        </w:rPr>
      </w:pPr>
      <w:r>
        <w:rPr>
          <w:rFonts w:ascii="Arial" w:cs="Arial" w:eastAsia="Arial" w:hAnsi="Arial"/>
          <w:sz w:val="17"/>
          <w:szCs w:val="17"/>
          <w:color w:val="auto"/>
        </w:rPr>
        <w:t>Management conducted an assessment of the effectiveness of the Company’s internal control over financial reporting as of December 31, 2022, utilizing the framework established in Internal Control – Integrated Framework 2013, issued by the Committee of Sponsoring Organizations of the Treadway Commission (“COSO”).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Based on this assessment, management has determined that the Company’s internal control over financial reporting as of December 31, 2022 was effective.</w:t>
      </w:r>
    </w:p>
    <w:p>
      <w:pPr>
        <w:spacing w:after="0" w:line="224" w:lineRule="exact"/>
        <w:rPr>
          <w:sz w:val="20"/>
          <w:szCs w:val="20"/>
          <w:color w:val="auto"/>
        </w:rPr>
      </w:pPr>
    </w:p>
    <w:p>
      <w:pPr>
        <w:ind w:firstLine="306"/>
        <w:spacing w:after="0" w:line="256" w:lineRule="auto"/>
        <w:rPr>
          <w:sz w:val="20"/>
          <w:szCs w:val="20"/>
          <w:color w:val="auto"/>
        </w:rPr>
      </w:pPr>
      <w:r>
        <w:rPr>
          <w:rFonts w:ascii="Arial" w:cs="Arial" w:eastAsia="Arial" w:hAnsi="Arial"/>
          <w:sz w:val="17"/>
          <w:szCs w:val="17"/>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GAAP;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180"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ind w:right="60" w:firstLine="306"/>
        <w:spacing w:after="0" w:line="262" w:lineRule="auto"/>
        <w:rPr>
          <w:sz w:val="20"/>
          <w:szCs w:val="20"/>
          <w:color w:val="auto"/>
        </w:rPr>
      </w:pPr>
      <w:r>
        <w:rPr>
          <w:rFonts w:ascii="Arial" w:cs="Arial" w:eastAsia="Arial" w:hAnsi="Arial"/>
          <w:sz w:val="17"/>
          <w:szCs w:val="17"/>
          <w:color w:val="auto"/>
        </w:rPr>
        <w:t>This Report does not include an attestation report of the Company’s independent registered public accounting firm regarding internal control over financial reporting. As an emerging growth company, management’s report was not subject to attestation by the Company’s independent registered public accounting firm in accordance with the JOBS Act.</w:t>
      </w:r>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16" w:lineRule="exact"/>
        <w:rPr>
          <w:sz w:val="20"/>
          <w:szCs w:val="20"/>
          <w:color w:val="auto"/>
        </w:rPr>
      </w:pPr>
    </w:p>
    <w:p>
      <w:pPr>
        <w:ind w:firstLine="306"/>
        <w:spacing w:after="0" w:line="274" w:lineRule="auto"/>
        <w:rPr>
          <w:sz w:val="20"/>
          <w:szCs w:val="20"/>
          <w:color w:val="auto"/>
        </w:rPr>
      </w:pPr>
      <w:r>
        <w:rPr>
          <w:rFonts w:ascii="Arial" w:cs="Arial" w:eastAsia="Arial" w:hAnsi="Arial"/>
          <w:sz w:val="17"/>
          <w:szCs w:val="17"/>
          <w:color w:val="auto"/>
        </w:rPr>
        <w:t>The information required by this Item is incorporated herein by reference to our Definitive Proxy Statement for the 2023 Annual Meeting of Shareholders to be filed with the Securities and Exchange Commission within 120 days after our fiscal year end (the “Proxy Statement”).</w:t>
      </w:r>
    </w:p>
    <w:p>
      <w:pPr>
        <w:spacing w:after="0" w:line="165" w:lineRule="exact"/>
        <w:rPr>
          <w:sz w:val="20"/>
          <w:szCs w:val="20"/>
          <w:color w:val="auto"/>
        </w:rPr>
      </w:pPr>
    </w:p>
    <w:p>
      <w:pPr>
        <w:ind w:right="20" w:firstLine="306"/>
        <w:spacing w:after="0" w:line="258" w:lineRule="auto"/>
        <w:rPr>
          <w:sz w:val="20"/>
          <w:szCs w:val="20"/>
          <w:color w:val="auto"/>
        </w:rPr>
      </w:pPr>
      <w:r>
        <w:rPr>
          <w:rFonts w:ascii="Arial" w:cs="Arial" w:eastAsia="Arial" w:hAnsi="Arial"/>
          <w:sz w:val="17"/>
          <w:szCs w:val="17"/>
          <w:color w:val="auto"/>
        </w:rPr>
        <w:t xml:space="preserve">In accordance with Item 406 of Regulation S-K, we have adopted a Code of Business Conduct and Ethics that applies to Company executives, directors and employees. The Code of Business Conduct and Ethics is posted on our website at </w:t>
      </w:r>
      <w:r>
        <w:rPr>
          <w:rFonts w:ascii="Arial" w:cs="Arial" w:eastAsia="Arial" w:hAnsi="Arial"/>
          <w:sz w:val="17"/>
          <w:szCs w:val="17"/>
          <w:u w:val="single" w:color="auto"/>
          <w:color w:val="auto"/>
        </w:rPr>
        <w:t>www.spfi.bank</w:t>
      </w:r>
      <w:r>
        <w:rPr>
          <w:rFonts w:ascii="Arial" w:cs="Arial" w:eastAsia="Arial" w:hAnsi="Arial"/>
          <w:sz w:val="17"/>
          <w:szCs w:val="17"/>
          <w:color w:val="auto"/>
        </w:rPr>
        <w:t xml:space="preserve"> under “Governance.” Within the time period required by the SEC, we will post on our website any amendment to the Code of Business Conduct and Ethics and any waiver applicable to our principal executive officer, principal financial officer, and principal accounting officer or controller.</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16" w:lineRule="exact"/>
        <w:rPr>
          <w:sz w:val="20"/>
          <w:szCs w:val="20"/>
          <w:color w:val="auto"/>
        </w:rPr>
      </w:pPr>
    </w:p>
    <w:p>
      <w:pPr>
        <w:ind w:right="300" w:firstLine="306"/>
        <w:spacing w:after="0" w:line="274" w:lineRule="auto"/>
        <w:rPr>
          <w:sz w:val="20"/>
          <w:szCs w:val="20"/>
          <w:color w:val="auto"/>
        </w:rPr>
      </w:pPr>
      <w:r>
        <w:rPr>
          <w:rFonts w:ascii="Arial" w:cs="Arial" w:eastAsia="Arial" w:hAnsi="Arial"/>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16" w:lineRule="exact"/>
        <w:rPr>
          <w:sz w:val="20"/>
          <w:szCs w:val="20"/>
          <w:color w:val="auto"/>
        </w:rPr>
      </w:pPr>
    </w:p>
    <w:p>
      <w:pPr>
        <w:ind w:right="300" w:firstLine="306"/>
        <w:spacing w:after="0" w:line="274" w:lineRule="auto"/>
        <w:rPr>
          <w:sz w:val="20"/>
          <w:szCs w:val="20"/>
          <w:color w:val="auto"/>
        </w:rPr>
      </w:pPr>
      <w:r>
        <w:rPr>
          <w:rFonts w:ascii="Arial" w:cs="Arial" w:eastAsia="Arial" w:hAnsi="Arial"/>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16" w:lineRule="exact"/>
        <w:rPr>
          <w:sz w:val="20"/>
          <w:szCs w:val="20"/>
          <w:color w:val="auto"/>
        </w:rPr>
      </w:pPr>
    </w:p>
    <w:p>
      <w:pPr>
        <w:ind w:right="300" w:firstLine="306"/>
        <w:spacing w:after="0" w:line="274" w:lineRule="auto"/>
        <w:rPr>
          <w:sz w:val="20"/>
          <w:szCs w:val="20"/>
          <w:color w:val="auto"/>
        </w:rPr>
      </w:pPr>
      <w:r>
        <w:rPr>
          <w:rFonts w:ascii="Arial" w:cs="Arial" w:eastAsia="Arial" w:hAnsi="Arial"/>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16" w:lineRule="exact"/>
        <w:rPr>
          <w:sz w:val="20"/>
          <w:szCs w:val="20"/>
          <w:color w:val="auto"/>
        </w:rPr>
      </w:pPr>
    </w:p>
    <w:p>
      <w:pPr>
        <w:ind w:right="300" w:firstLine="306"/>
        <w:spacing w:after="0" w:line="274" w:lineRule="auto"/>
        <w:rPr>
          <w:sz w:val="20"/>
          <w:szCs w:val="20"/>
          <w:color w:val="auto"/>
        </w:rPr>
      </w:pPr>
      <w:r>
        <w:rPr>
          <w:rFonts w:ascii="Arial" w:cs="Arial" w:eastAsia="Arial" w:hAnsi="Arial"/>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16" w:lineRule="exact"/>
        <w:rPr>
          <w:sz w:val="20"/>
          <w:szCs w:val="20"/>
          <w:color w:val="auto"/>
        </w:rPr>
      </w:pPr>
    </w:p>
    <w:p>
      <w:pPr>
        <w:ind w:left="300" w:hanging="298"/>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consolidated financial statements, notes thereto and independent auditors’ report thereon, filed as part hereof, are listed in Item 8.</w:t>
      </w:r>
    </w:p>
    <w:p>
      <w:pPr>
        <w:spacing w:after="0" w:line="212" w:lineRule="exact"/>
        <w:rPr>
          <w:rFonts w:ascii="Arial" w:cs="Arial" w:eastAsia="Arial" w:hAnsi="Arial"/>
          <w:sz w:val="17"/>
          <w:szCs w:val="17"/>
          <w:color w:val="auto"/>
        </w:rPr>
      </w:pPr>
    </w:p>
    <w:p>
      <w:pPr>
        <w:ind w:left="300" w:right="380" w:hanging="298"/>
        <w:spacing w:after="0" w:line="274"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financial statement schedules are omitted because they are not required or applicable, or the required information is shown in the consolidated financial statements or the notes thereto.</w:t>
      </w:r>
    </w:p>
    <w:p>
      <w:pPr>
        <w:spacing w:after="0" w:line="164" w:lineRule="exact"/>
        <w:rPr>
          <w:rFonts w:ascii="Arial" w:cs="Arial" w:eastAsia="Arial" w:hAnsi="Arial"/>
          <w:sz w:val="17"/>
          <w:szCs w:val="17"/>
          <w:color w:val="auto"/>
        </w:rPr>
      </w:pPr>
    </w:p>
    <w:p>
      <w:pPr>
        <w:ind w:left="300" w:hanging="298"/>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20" w:type="dxa"/>
            <w:vAlign w:val="bottom"/>
            <w:gridSpan w:val="4"/>
          </w:tcPr>
          <w:p>
            <w:pPr>
              <w:spacing w:after="0"/>
              <w:rPr>
                <w:sz w:val="20"/>
                <w:szCs w:val="20"/>
                <w:color w:val="auto"/>
              </w:rPr>
            </w:pPr>
            <w:r>
              <w:rPr>
                <w:rFonts w:ascii="Arial" w:cs="Arial" w:eastAsia="Arial" w:hAnsi="Arial"/>
                <w:sz w:val="17"/>
                <w:szCs w:val="17"/>
                <w:b w:val="1"/>
                <w:bCs w:val="1"/>
                <w:color w:val="auto"/>
              </w:rPr>
              <w:t>Exhibit No.</w:t>
            </w:r>
          </w:p>
        </w:tc>
        <w:tc>
          <w:tcPr>
            <w:tcW w:w="10220" w:type="dxa"/>
            <w:vAlign w:val="bottom"/>
            <w:gridSpan w:val="2"/>
          </w:tcPr>
          <w:p>
            <w:pPr>
              <w:ind w:left="12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tcBorders>
              <w:top w:val="single" w:sz="8" w:color="auto"/>
            </w:tcBorders>
            <w:gridSpan w:val="2"/>
            <w:shd w:val="clear" w:color="auto" w:fill="CCEEFF"/>
          </w:tcPr>
          <w:p>
            <w:pPr>
              <w:spacing w:after="0" w:line="166" w:lineRule="exact"/>
              <w:rPr>
                <w:rFonts w:ascii="Arial" w:cs="Arial" w:eastAsia="Arial" w:hAnsi="Arial"/>
                <w:sz w:val="17"/>
                <w:szCs w:val="17"/>
                <w:color w:val="0000EE"/>
              </w:rPr>
            </w:pPr>
            <w:hyperlink r:id="rId117">
              <w:r>
                <w:rPr>
                  <w:rFonts w:ascii="Arial" w:cs="Arial" w:eastAsia="Arial" w:hAnsi="Arial"/>
                  <w:sz w:val="17"/>
                  <w:szCs w:val="17"/>
                  <w:color w:val="0000EE"/>
                </w:rPr>
                <w:t>2.</w:t>
              </w:r>
              <w:r>
                <w:rPr>
                  <w:rFonts w:ascii="Arial" w:cs="Arial" w:eastAsia="Arial" w:hAnsi="Arial"/>
                  <w:sz w:val="17"/>
                  <w:szCs w:val="17"/>
                  <w:u w:val="single" w:color="auto"/>
                  <w:color w:val="0000EE"/>
                </w:rPr>
                <w:t>1</w:t>
              </w:r>
            </w:hyperlink>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shd w:val="clear" w:color="auto" w:fill="CCEEFF"/>
          </w:tcPr>
          <w:p>
            <w:pPr>
              <w:spacing w:after="0" w:line="166" w:lineRule="exact"/>
              <w:rPr>
                <w:sz w:val="20"/>
                <w:szCs w:val="20"/>
                <w:color w:val="auto"/>
              </w:rPr>
            </w:pPr>
            <w:r>
              <w:rPr>
                <w:rFonts w:ascii="Arial" w:cs="Arial" w:eastAsia="Arial" w:hAnsi="Arial"/>
                <w:sz w:val="17"/>
                <w:szCs w:val="17"/>
                <w:color w:val="auto"/>
                <w:w w:val="89"/>
              </w:rPr>
              <w:t>Agreement and Plan of Merger by and between South Plains Financial, Inc., SPFI Merger Sub, Inc., City Bank, and West Texas State Bank, dated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2"/>
              </w:rPr>
              <w:t>of July 25, 2019, (incorporated herein by reference to Exhibit 2.1 to the Current Report on Form 8-K filed with the SEC on July 25, 2019 (File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5"/>
              </w:rPr>
              <w:t>38895)) (schedules to which have been omitted pursuant to Item 601(b)(2) of Regulation S-K and will be provided to the SEC upon request).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Arial" w:cs="Arial" w:eastAsia="Arial" w:hAnsi="Arial"/>
                <w:sz w:val="17"/>
                <w:szCs w:val="17"/>
                <w:color w:val="0000EE"/>
              </w:rPr>
            </w:pPr>
            <w:hyperlink r:id="rId118">
              <w:r>
                <w:rPr>
                  <w:rFonts w:ascii="Arial" w:cs="Arial" w:eastAsia="Arial" w:hAnsi="Arial"/>
                  <w:sz w:val="17"/>
                  <w:szCs w:val="17"/>
                  <w:color w:val="0000EE"/>
                </w:rPr>
                <w:t>3.</w:t>
              </w:r>
              <w:r>
                <w:rPr>
                  <w:rFonts w:ascii="Arial" w:cs="Arial" w:eastAsia="Arial" w:hAnsi="Arial"/>
                  <w:sz w:val="17"/>
                  <w:szCs w:val="17"/>
                  <w:u w:val="single" w:color="auto"/>
                  <w:color w:val="0000EE"/>
                </w:rPr>
                <w:t>1</w:t>
              </w:r>
            </w:hyperlink>
          </w:p>
        </w:tc>
        <w:tc>
          <w:tcPr>
            <w:tcW w:w="720" w:type="dxa"/>
            <w:vAlign w:val="bottom"/>
            <w:shd w:val="clear" w:color="auto" w:fill="CCEEFF"/>
          </w:tcPr>
          <w:p>
            <w:pPr>
              <w:spacing w:after="0"/>
              <w:rPr>
                <w:sz w:val="14"/>
                <w:szCs w:val="14"/>
                <w:color w:val="auto"/>
              </w:rPr>
            </w:pP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2"/>
              </w:rPr>
              <w:t>Amended and Restated Certificate of Formation of South Plains Financial, Inc. (incorporated herein by reference to Exhibit 3.1 to the Registration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Statement on Form S-1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Arial" w:cs="Arial" w:eastAsia="Arial" w:hAnsi="Arial"/>
                <w:sz w:val="17"/>
                <w:szCs w:val="17"/>
                <w:color w:val="0000EE"/>
              </w:rPr>
            </w:pPr>
            <w:hyperlink r:id="rId119">
              <w:r>
                <w:rPr>
                  <w:rFonts w:ascii="Arial" w:cs="Arial" w:eastAsia="Arial" w:hAnsi="Arial"/>
                  <w:sz w:val="17"/>
                  <w:szCs w:val="17"/>
                  <w:color w:val="0000EE"/>
                </w:rPr>
                <w:t>3.</w:t>
              </w:r>
              <w:r>
                <w:rPr>
                  <w:rFonts w:ascii="Arial" w:cs="Arial" w:eastAsia="Arial" w:hAnsi="Arial"/>
                  <w:sz w:val="17"/>
                  <w:szCs w:val="17"/>
                  <w:u w:val="single" w:color="auto"/>
                  <w:color w:val="0000EE"/>
                </w:rPr>
                <w:t>2</w:t>
              </w:r>
            </w:hyperlink>
          </w:p>
        </w:tc>
        <w:tc>
          <w:tcPr>
            <w:tcW w:w="720" w:type="dxa"/>
            <w:vAlign w:val="bottom"/>
            <w:shd w:val="clear" w:color="auto" w:fill="CCEEFF"/>
          </w:tcPr>
          <w:p>
            <w:pPr>
              <w:spacing w:after="0"/>
              <w:rPr>
                <w:sz w:val="14"/>
                <w:szCs w:val="14"/>
                <w:color w:val="auto"/>
              </w:rPr>
            </w:pP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3"/>
              </w:rPr>
              <w:t>Second Amended and Restated Bylaws of South Plains Financial, Inc. (incorporated herein by reference to Exhibit 3.1 to the Current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Form 8-K filed with the SEC on November 1, 2021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Arial" w:cs="Arial" w:eastAsia="Arial" w:hAnsi="Arial"/>
                <w:sz w:val="17"/>
                <w:szCs w:val="17"/>
                <w:color w:val="0000EE"/>
              </w:rPr>
            </w:pPr>
            <w:hyperlink r:id="rId120">
              <w:r>
                <w:rPr>
                  <w:rFonts w:ascii="Arial" w:cs="Arial" w:eastAsia="Arial" w:hAnsi="Arial"/>
                  <w:sz w:val="17"/>
                  <w:szCs w:val="17"/>
                  <w:color w:val="0000EE"/>
                </w:rPr>
                <w:t>4.</w:t>
              </w:r>
              <w:r>
                <w:rPr>
                  <w:rFonts w:ascii="Arial" w:cs="Arial" w:eastAsia="Arial" w:hAnsi="Arial"/>
                  <w:sz w:val="17"/>
                  <w:szCs w:val="17"/>
                  <w:u w:val="single" w:color="auto"/>
                  <w:color w:val="0000EE"/>
                </w:rPr>
                <w:t>1</w:t>
              </w:r>
            </w:hyperlink>
          </w:p>
        </w:tc>
        <w:tc>
          <w:tcPr>
            <w:tcW w:w="720" w:type="dxa"/>
            <w:vAlign w:val="bottom"/>
            <w:shd w:val="clear" w:color="auto" w:fill="CCEEFF"/>
          </w:tcPr>
          <w:p>
            <w:pPr>
              <w:spacing w:after="0"/>
              <w:rPr>
                <w:sz w:val="14"/>
                <w:szCs w:val="14"/>
                <w:color w:val="auto"/>
              </w:rPr>
            </w:pP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1"/>
              </w:rPr>
              <w:t>Specimen common stock certificate of South Plains Financial, Inc. (incorporated herein by reference to Exhibit 4.1 to the Registration Statement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Form S-1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Arial" w:cs="Arial" w:eastAsia="Arial" w:hAnsi="Arial"/>
                <w:sz w:val="17"/>
                <w:szCs w:val="17"/>
                <w:color w:val="0000EE"/>
              </w:rPr>
            </w:pPr>
            <w:hyperlink r:id="rId121">
              <w:r>
                <w:rPr>
                  <w:rFonts w:ascii="Arial" w:cs="Arial" w:eastAsia="Arial" w:hAnsi="Arial"/>
                  <w:sz w:val="17"/>
                  <w:szCs w:val="17"/>
                  <w:color w:val="0000EE"/>
                </w:rPr>
                <w:t>4.</w:t>
              </w:r>
              <w:r>
                <w:rPr>
                  <w:rFonts w:ascii="Arial" w:cs="Arial" w:eastAsia="Arial" w:hAnsi="Arial"/>
                  <w:sz w:val="17"/>
                  <w:szCs w:val="17"/>
                  <w:u w:val="single" w:color="auto"/>
                  <w:color w:val="0000EE"/>
                </w:rPr>
                <w:t>2</w:t>
              </w:r>
            </w:hyperlink>
          </w:p>
        </w:tc>
        <w:tc>
          <w:tcPr>
            <w:tcW w:w="720" w:type="dxa"/>
            <w:vAlign w:val="bottom"/>
            <w:shd w:val="clear" w:color="auto" w:fill="CCEEFF"/>
          </w:tcPr>
          <w:p>
            <w:pPr>
              <w:spacing w:after="0"/>
              <w:rPr>
                <w:sz w:val="14"/>
                <w:szCs w:val="14"/>
                <w:color w:val="auto"/>
              </w:rPr>
            </w:pP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2"/>
              </w:rPr>
              <w:t>Indenture, dated September 29, 2020, by and between South Plains Financial, Inc. and UMB Bank, National Association, as trustee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herein by reference to Exhibit 4.1 to the Current Report on Form 8-K filed with the SEC on September 30, 2020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Arial" w:cs="Arial" w:eastAsia="Arial" w:hAnsi="Arial"/>
                <w:sz w:val="17"/>
                <w:szCs w:val="17"/>
                <w:color w:val="0000EE"/>
              </w:rPr>
            </w:pPr>
            <w:hyperlink r:id="rId121">
              <w:r>
                <w:rPr>
                  <w:rFonts w:ascii="Arial" w:cs="Arial" w:eastAsia="Arial" w:hAnsi="Arial"/>
                  <w:sz w:val="17"/>
                  <w:szCs w:val="17"/>
                  <w:color w:val="0000EE"/>
                </w:rPr>
                <w:t>4.</w:t>
              </w:r>
              <w:r>
                <w:rPr>
                  <w:rFonts w:ascii="Arial" w:cs="Arial" w:eastAsia="Arial" w:hAnsi="Arial"/>
                  <w:sz w:val="17"/>
                  <w:szCs w:val="17"/>
                  <w:u w:val="single" w:color="auto"/>
                  <w:color w:val="0000EE"/>
                </w:rPr>
                <w:t>3</w:t>
              </w:r>
            </w:hyperlink>
          </w:p>
        </w:tc>
        <w:tc>
          <w:tcPr>
            <w:tcW w:w="720" w:type="dxa"/>
            <w:vAlign w:val="bottom"/>
            <w:shd w:val="clear" w:color="auto" w:fill="CCEEFF"/>
          </w:tcPr>
          <w:p>
            <w:pPr>
              <w:spacing w:after="0"/>
              <w:rPr>
                <w:sz w:val="14"/>
                <w:szCs w:val="14"/>
                <w:color w:val="auto"/>
              </w:rPr>
            </w:pP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6"/>
              </w:rPr>
              <w:t>Form of Fixed to Floating Rate Subordinated Note due September 30, 2030 (included as Exhibit A-2 to the Indenture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reference as Exhibit 4.2 hereto).</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2">
              <w:r>
                <w:rPr>
                  <w:rFonts w:ascii="Arial" w:cs="Arial" w:eastAsia="Arial" w:hAnsi="Arial"/>
                  <w:sz w:val="17"/>
                  <w:szCs w:val="17"/>
                  <w:color w:val="0000EE"/>
                </w:rPr>
                <w:t>10.</w:t>
              </w:r>
              <w:r>
                <w:rPr>
                  <w:rFonts w:ascii="Arial" w:cs="Arial" w:eastAsia="Arial" w:hAnsi="Arial"/>
                  <w:sz w:val="17"/>
                  <w:szCs w:val="17"/>
                  <w:u w:val="single" w:color="auto"/>
                  <w:color w:val="0000EE"/>
                </w:rPr>
                <w:t>1</w:t>
              </w:r>
            </w:hyperlink>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1"/>
              </w:rPr>
              <w:t>Form of Voting Agreement, dated as of July 25, 2019, by and among South Plains Financial, Inc., West Texas State Bank and the shareholders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1"/>
              </w:rPr>
              <w:t>West Texas State Bank party thereto (incorporated herein by reference to Exhibit 10.1 to the Current Report on Form 8-K filed with the SEC on July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25, 2019 (File No. 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3">
              <w:r>
                <w:rPr>
                  <w:rFonts w:ascii="Arial" w:cs="Arial" w:eastAsia="Arial" w:hAnsi="Arial"/>
                  <w:sz w:val="17"/>
                  <w:szCs w:val="17"/>
                  <w:color w:val="0000EE"/>
                </w:rPr>
                <w:t>10.</w:t>
              </w:r>
              <w:r>
                <w:rPr>
                  <w:rFonts w:ascii="Arial" w:cs="Arial" w:eastAsia="Arial" w:hAnsi="Arial"/>
                  <w:sz w:val="17"/>
                  <w:szCs w:val="17"/>
                  <w:u w:val="single" w:color="auto"/>
                  <w:color w:val="0000EE"/>
                </w:rPr>
                <w:t>2</w:t>
              </w:r>
            </w:hyperlink>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0"/>
              </w:rPr>
              <w:t>Form of Director Support Agreement, dated as of July 25, 2019, by and among South Plains Financial, Inc. and each non-employee director of West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1"/>
              </w:rPr>
              <w:t>Texas State Bank (incorporated herein by reference to Exhibit 10.2 to the Current Report on Form 8-K filed with the SEC on July 25, 2019 (File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4">
              <w:r>
                <w:rPr>
                  <w:rFonts w:ascii="Arial" w:cs="Arial" w:eastAsia="Arial" w:hAnsi="Arial"/>
                  <w:sz w:val="17"/>
                  <w:szCs w:val="17"/>
                  <w:color w:val="0000EE"/>
                </w:rPr>
                <w:t>10.</w:t>
              </w:r>
              <w:r>
                <w:rPr>
                  <w:rFonts w:ascii="Arial" w:cs="Arial" w:eastAsia="Arial" w:hAnsi="Arial"/>
                  <w:sz w:val="17"/>
                  <w:szCs w:val="17"/>
                  <w:u w:val="single" w:color="auto"/>
                  <w:color w:val="0000EE"/>
                </w:rPr>
                <w:t>3</w:t>
              </w:r>
            </w:hyperlink>
            <w:r>
              <w:rPr>
                <w:rFonts w:ascii="Arial" w:cs="Arial" w:eastAsia="Arial" w:hAnsi="Arial"/>
                <w:sz w:val="17"/>
                <w:szCs w:val="17"/>
                <w:color w:val="000000"/>
              </w:rPr>
              <w:t>†</w:t>
            </w: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5"/>
              </w:rPr>
              <w:t>Executive Employment Agreement, dated December 18, 2019, by and between South Plains Financial, Inc., City Bank, and Curtis C. Griffith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5"/>
              </w:rPr>
              <w:t>(incorporated herein by reference to Exhibit 10.1 to the Current Report on Form 8-K filed with the SEC on December 19, 2019 (File No. 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5">
              <w:r>
                <w:rPr>
                  <w:rFonts w:ascii="Arial" w:cs="Arial" w:eastAsia="Arial" w:hAnsi="Arial"/>
                  <w:sz w:val="17"/>
                  <w:szCs w:val="17"/>
                  <w:color w:val="0000EE"/>
                </w:rPr>
                <w:t>10.</w:t>
              </w:r>
              <w:r>
                <w:rPr>
                  <w:rFonts w:ascii="Arial" w:cs="Arial" w:eastAsia="Arial" w:hAnsi="Arial"/>
                  <w:sz w:val="17"/>
                  <w:szCs w:val="17"/>
                  <w:u w:val="single" w:color="auto"/>
                  <w:color w:val="0000EE"/>
                </w:rPr>
                <w:t>4</w:t>
              </w:r>
            </w:hyperlink>
            <w:r>
              <w:rPr>
                <w:rFonts w:ascii="Arial" w:cs="Arial" w:eastAsia="Arial" w:hAnsi="Arial"/>
                <w:sz w:val="17"/>
                <w:szCs w:val="17"/>
                <w:color w:val="000000"/>
              </w:rPr>
              <w:t>†</w:t>
            </w: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0"/>
              </w:rPr>
              <w:t>Executive Employment Agreement, dated March 6, 2019, by and between South Plains Financial, Inc. and Cory T. Newsom (incorporated herein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2"/>
              </w:rPr>
              <w:t>reference to Exhibit 10.4 to the Registration Statement on Form S-1/A of South Plains Financial, Inc. (Registration No. 333-230851) filed April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6">
              <w:r>
                <w:rPr>
                  <w:rFonts w:ascii="Arial" w:cs="Arial" w:eastAsia="Arial" w:hAnsi="Arial"/>
                  <w:sz w:val="17"/>
                  <w:szCs w:val="17"/>
                  <w:color w:val="0000EE"/>
                </w:rPr>
                <w:t>10.</w:t>
              </w:r>
              <w:r>
                <w:rPr>
                  <w:rFonts w:ascii="Arial" w:cs="Arial" w:eastAsia="Arial" w:hAnsi="Arial"/>
                  <w:sz w:val="17"/>
                  <w:szCs w:val="17"/>
                  <w:u w:val="single" w:color="auto"/>
                  <w:color w:val="0000EE"/>
                </w:rPr>
                <w:t>5</w:t>
              </w:r>
            </w:hyperlink>
            <w:r>
              <w:rPr>
                <w:rFonts w:ascii="Arial" w:cs="Arial" w:eastAsia="Arial" w:hAnsi="Arial"/>
                <w:sz w:val="17"/>
                <w:szCs w:val="17"/>
                <w:color w:val="000000"/>
              </w:rPr>
              <w:t>†</w:t>
            </w: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2"/>
              </w:rPr>
              <w:t>Amendment No. 1 to Executive Employment Agreement, dated December 15, 2021, by and among City Bank, Curtis C. Griffith and South Plains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2"/>
              </w:rPr>
              <w:t>Financial, Inc. (incorporated herein by reference to Exhibit 10.1 to the Current Report on Form 8-K filed with the SEC on December 21, 2021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7">
              <w:r>
                <w:rPr>
                  <w:rFonts w:ascii="Arial" w:cs="Arial" w:eastAsia="Arial" w:hAnsi="Arial"/>
                  <w:sz w:val="17"/>
                  <w:szCs w:val="17"/>
                  <w:color w:val="0000EE"/>
                </w:rPr>
                <w:t>10.</w:t>
              </w:r>
              <w:r>
                <w:rPr>
                  <w:rFonts w:ascii="Arial" w:cs="Arial" w:eastAsia="Arial" w:hAnsi="Arial"/>
                  <w:sz w:val="17"/>
                  <w:szCs w:val="17"/>
                  <w:u w:val="single" w:color="auto"/>
                  <w:color w:val="0000EE"/>
                </w:rPr>
                <w:t>6</w:t>
              </w:r>
            </w:hyperlink>
            <w:r>
              <w:rPr>
                <w:rFonts w:ascii="Arial" w:cs="Arial" w:eastAsia="Arial" w:hAnsi="Arial"/>
                <w:sz w:val="17"/>
                <w:szCs w:val="17"/>
                <w:color w:val="000000"/>
              </w:rPr>
              <w:t>†</w:t>
            </w: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2"/>
              </w:rPr>
              <w:t>Amendment No. 1 to Executive Employment Agreement, dated December 15, 2021, by and among City Bank, Cory T. Newsom and South Plains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w w:val="92"/>
              </w:rPr>
              <w:t>Financial, Inc. (incorporated herein by reference to Exhibit 10.2 to the Current Report on Form 8-K filed with the SEC on December 21, 2021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000" w:type="dxa"/>
            <w:vAlign w:val="bottom"/>
            <w:gridSpan w:val="3"/>
            <w:shd w:val="clear" w:color="auto" w:fill="CCEEFF"/>
          </w:tcPr>
          <w:p>
            <w:pPr>
              <w:spacing w:after="0" w:line="166" w:lineRule="exact"/>
              <w:rPr>
                <w:rFonts w:ascii="Arial" w:cs="Arial" w:eastAsia="Arial" w:hAnsi="Arial"/>
                <w:sz w:val="17"/>
                <w:szCs w:val="17"/>
                <w:color w:val="0000EE"/>
              </w:rPr>
            </w:pPr>
            <w:hyperlink r:id="rId128">
              <w:r>
                <w:rPr>
                  <w:rFonts w:ascii="Arial" w:cs="Arial" w:eastAsia="Arial" w:hAnsi="Arial"/>
                  <w:sz w:val="17"/>
                  <w:szCs w:val="17"/>
                  <w:color w:val="0000EE"/>
                </w:rPr>
                <w:t>10.</w:t>
              </w:r>
              <w:r>
                <w:rPr>
                  <w:rFonts w:ascii="Arial" w:cs="Arial" w:eastAsia="Arial" w:hAnsi="Arial"/>
                  <w:sz w:val="17"/>
                  <w:szCs w:val="17"/>
                  <w:u w:val="single" w:color="auto"/>
                  <w:color w:val="0000EE"/>
                </w:rPr>
                <w:t>7</w:t>
              </w:r>
            </w:hyperlink>
            <w:r>
              <w:rPr>
                <w:rFonts w:ascii="Arial" w:cs="Arial" w:eastAsia="Arial" w:hAnsi="Arial"/>
                <w:sz w:val="17"/>
                <w:szCs w:val="17"/>
                <w:color w:val="000000"/>
              </w:rPr>
              <w:t>†</w:t>
            </w:r>
          </w:p>
        </w:tc>
        <w:tc>
          <w:tcPr>
            <w:tcW w:w="1022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7"/>
                <w:szCs w:val="17"/>
                <w:color w:val="auto"/>
                <w:w w:val="92"/>
              </w:rPr>
              <w:t>South Plains Financial, Inc. 2019 Equity Incentive Plan (incorporated herein by reference to Exhibit 10.1 to the Registration Statement on Form 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1/A of South Plains Financial, Inc. (Registration No. 333-230851) filed April 29, 2019).</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20" w:type="dxa"/>
            <w:vAlign w:val="bottom"/>
            <w:gridSpan w:val="2"/>
          </w:tcPr>
          <w:p>
            <w:pPr>
              <w:ind w:left="450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gridSpan w:val="4"/>
            <w:shd w:val="clear" w:color="auto" w:fill="CCEEFF"/>
          </w:tcPr>
          <w:p>
            <w:pPr>
              <w:spacing w:after="0"/>
              <w:rPr>
                <w:rFonts w:ascii="Arial" w:cs="Arial" w:eastAsia="Arial" w:hAnsi="Arial"/>
                <w:sz w:val="17"/>
                <w:szCs w:val="17"/>
                <w:color w:val="0000EE"/>
              </w:rPr>
            </w:pPr>
            <w:hyperlink r:id="rId129">
              <w:r>
                <w:rPr>
                  <w:rFonts w:ascii="Arial" w:cs="Arial" w:eastAsia="Arial" w:hAnsi="Arial"/>
                  <w:sz w:val="17"/>
                  <w:szCs w:val="17"/>
                  <w:color w:val="0000EE"/>
                </w:rPr>
                <w:t>10.</w:t>
              </w:r>
              <w:r>
                <w:rPr>
                  <w:rFonts w:ascii="Arial" w:cs="Arial" w:eastAsia="Arial" w:hAnsi="Arial"/>
                  <w:sz w:val="17"/>
                  <w:szCs w:val="17"/>
                  <w:u w:val="single" w:color="auto"/>
                  <w:color w:val="0000EE"/>
                </w:rPr>
                <w:t>8</w:t>
              </w:r>
            </w:hyperlink>
            <w:r>
              <w:rPr>
                <w:rFonts w:ascii="Arial" w:cs="Arial" w:eastAsia="Arial" w:hAnsi="Arial"/>
                <w:sz w:val="17"/>
                <w:szCs w:val="17"/>
                <w:color w:val="000000"/>
              </w:rPr>
              <w:t>†</w:t>
            </w: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Form of Stock Option Award Agreement under the South Plains Financial, Inc. 2019 Equity Incentive Plan (incorporated herein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w w:val="96"/>
              </w:rPr>
              <w:t>Exhibit 10.2 to the 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4"/>
            <w:shd w:val="clear" w:color="auto" w:fill="CCEEFF"/>
          </w:tcPr>
          <w:p>
            <w:pPr>
              <w:spacing w:after="0" w:line="166" w:lineRule="exact"/>
              <w:rPr>
                <w:rFonts w:ascii="Arial" w:cs="Arial" w:eastAsia="Arial" w:hAnsi="Arial"/>
                <w:sz w:val="17"/>
                <w:szCs w:val="17"/>
                <w:color w:val="0000EE"/>
              </w:rPr>
            </w:pPr>
            <w:hyperlink r:id="rId130">
              <w:r>
                <w:rPr>
                  <w:rFonts w:ascii="Arial" w:cs="Arial" w:eastAsia="Arial" w:hAnsi="Arial"/>
                  <w:sz w:val="17"/>
                  <w:szCs w:val="17"/>
                  <w:color w:val="0000EE"/>
                </w:rPr>
                <w:t>10.</w:t>
              </w:r>
              <w:r>
                <w:rPr>
                  <w:rFonts w:ascii="Arial" w:cs="Arial" w:eastAsia="Arial" w:hAnsi="Arial"/>
                  <w:sz w:val="17"/>
                  <w:szCs w:val="17"/>
                  <w:u w:val="single" w:color="auto"/>
                  <w:color w:val="0000EE"/>
                </w:rPr>
                <w:t>9</w:t>
              </w:r>
            </w:hyperlink>
            <w:r>
              <w:rPr>
                <w:rFonts w:ascii="Arial" w:cs="Arial" w:eastAsia="Arial" w:hAnsi="Arial"/>
                <w:sz w:val="17"/>
                <w:szCs w:val="17"/>
                <w:color w:val="000000"/>
              </w:rPr>
              <w:t>†</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7"/>
              </w:rPr>
              <w:t>Form of Restricted Stock Unit Award Agreement under the South Plains Financial, Inc. 2019 Equity Incentive Plan (incorporated herein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w w:val="93"/>
              </w:rPr>
              <w:t>reference to Exhibit 10.3 to the Registration Statement on Form S-1 of South Plains Financial, Inc. (Registration No. 333-230851) filed April 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4"/>
            <w:shd w:val="clear" w:color="auto" w:fill="CCEEFF"/>
          </w:tcPr>
          <w:p>
            <w:pPr>
              <w:spacing w:after="0" w:line="166" w:lineRule="exact"/>
              <w:rPr>
                <w:rFonts w:ascii="Arial" w:cs="Arial" w:eastAsia="Arial" w:hAnsi="Arial"/>
                <w:sz w:val="17"/>
                <w:szCs w:val="17"/>
                <w:color w:val="0000EE"/>
              </w:rPr>
            </w:pPr>
            <w:hyperlink r:id="rId131">
              <w:r>
                <w:rPr>
                  <w:rFonts w:ascii="Arial" w:cs="Arial" w:eastAsia="Arial" w:hAnsi="Arial"/>
                  <w:sz w:val="17"/>
                  <w:szCs w:val="17"/>
                  <w:color w:val="0000EE"/>
                </w:rPr>
                <w:t>10.</w:t>
              </w:r>
              <w:r>
                <w:rPr>
                  <w:rFonts w:ascii="Arial" w:cs="Arial" w:eastAsia="Arial" w:hAnsi="Arial"/>
                  <w:sz w:val="17"/>
                  <w:szCs w:val="17"/>
                  <w:u w:val="single" w:color="auto"/>
                  <w:color w:val="0000EE"/>
                </w:rPr>
                <w:t>10</w:t>
              </w:r>
            </w:hyperlink>
            <w:r>
              <w:rPr>
                <w:rFonts w:ascii="Arial" w:cs="Arial" w:eastAsia="Arial" w:hAnsi="Arial"/>
                <w:sz w:val="17"/>
                <w:szCs w:val="17"/>
                <w:color w:val="000000"/>
              </w:rPr>
              <w:t>†</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2"/>
              </w:rPr>
              <w:t>Form of Indemnification Agreement (incorporated herein by reference to Exhibit 10.9 to the Registration Statement on Form S-1/A of South Plains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4"/>
            <w:shd w:val="clear" w:color="auto" w:fill="CCEEFF"/>
          </w:tcPr>
          <w:p>
            <w:pPr>
              <w:spacing w:after="0" w:line="166" w:lineRule="exact"/>
              <w:rPr>
                <w:rFonts w:ascii="Arial" w:cs="Arial" w:eastAsia="Arial" w:hAnsi="Arial"/>
                <w:sz w:val="17"/>
                <w:szCs w:val="17"/>
                <w:color w:val="0000EE"/>
              </w:rPr>
            </w:pPr>
            <w:hyperlink r:id="rId132">
              <w:r>
                <w:rPr>
                  <w:rFonts w:ascii="Arial" w:cs="Arial" w:eastAsia="Arial" w:hAnsi="Arial"/>
                  <w:sz w:val="17"/>
                  <w:szCs w:val="17"/>
                  <w:color w:val="0000EE"/>
                </w:rPr>
                <w:t>10.</w:t>
              </w:r>
              <w:r>
                <w:rPr>
                  <w:rFonts w:ascii="Arial" w:cs="Arial" w:eastAsia="Arial" w:hAnsi="Arial"/>
                  <w:sz w:val="17"/>
                  <w:szCs w:val="17"/>
                  <w:u w:val="single" w:color="auto"/>
                  <w:color w:val="0000EE"/>
                </w:rPr>
                <w:t>11</w:t>
              </w:r>
            </w:hyperlink>
            <w:r>
              <w:rPr>
                <w:rFonts w:ascii="Arial" w:cs="Arial" w:eastAsia="Arial" w:hAnsi="Arial"/>
                <w:sz w:val="17"/>
                <w:szCs w:val="17"/>
                <w:color w:val="000000"/>
              </w:rPr>
              <w:t>†</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6"/>
              </w:rPr>
              <w:t>Deferred Compensation Plan Adoption Agreement of Cory T. Newsom (incorporated herein by reference to Exhibit 10.5 to the Registration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4"/>
            <w:shd w:val="clear" w:color="auto" w:fill="CCEEFF"/>
          </w:tcPr>
          <w:p>
            <w:pPr>
              <w:spacing w:after="0" w:line="166" w:lineRule="exact"/>
              <w:rPr>
                <w:rFonts w:ascii="Arial" w:cs="Arial" w:eastAsia="Arial" w:hAnsi="Arial"/>
                <w:sz w:val="17"/>
                <w:szCs w:val="17"/>
                <w:color w:val="0000EE"/>
              </w:rPr>
            </w:pPr>
            <w:hyperlink r:id="rId133">
              <w:r>
                <w:rPr>
                  <w:rFonts w:ascii="Arial" w:cs="Arial" w:eastAsia="Arial" w:hAnsi="Arial"/>
                  <w:sz w:val="17"/>
                  <w:szCs w:val="17"/>
                  <w:color w:val="0000EE"/>
                </w:rPr>
                <w:t>10.</w:t>
              </w:r>
              <w:r>
                <w:rPr>
                  <w:rFonts w:ascii="Arial" w:cs="Arial" w:eastAsia="Arial" w:hAnsi="Arial"/>
                  <w:sz w:val="17"/>
                  <w:szCs w:val="17"/>
                  <w:u w:val="single" w:color="auto"/>
                  <w:color w:val="0000EE"/>
                </w:rPr>
                <w:t>12</w:t>
              </w:r>
            </w:hyperlink>
            <w:r>
              <w:rPr>
                <w:rFonts w:ascii="Arial" w:cs="Arial" w:eastAsia="Arial" w:hAnsi="Arial"/>
                <w:sz w:val="17"/>
                <w:szCs w:val="17"/>
                <w:color w:val="000000"/>
              </w:rPr>
              <w:t>†</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5"/>
              </w:rPr>
              <w:t>Joint Beneficiary Designation Agreement of Cory Newsom, effective January 1, 2008 (incorporated herein by reference to Exhibit 10.6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4"/>
            <w:shd w:val="clear" w:color="auto" w:fill="CCEEFF"/>
          </w:tcPr>
          <w:p>
            <w:pPr>
              <w:spacing w:after="0" w:line="166" w:lineRule="exact"/>
              <w:rPr>
                <w:rFonts w:ascii="Arial" w:cs="Arial" w:eastAsia="Arial" w:hAnsi="Arial"/>
                <w:sz w:val="17"/>
                <w:szCs w:val="17"/>
                <w:color w:val="0000EE"/>
              </w:rPr>
            </w:pPr>
            <w:hyperlink r:id="rId134">
              <w:r>
                <w:rPr>
                  <w:rFonts w:ascii="Arial" w:cs="Arial" w:eastAsia="Arial" w:hAnsi="Arial"/>
                  <w:sz w:val="17"/>
                  <w:szCs w:val="17"/>
                  <w:color w:val="0000EE"/>
                </w:rPr>
                <w:t>10.</w:t>
              </w:r>
              <w:r>
                <w:rPr>
                  <w:rFonts w:ascii="Arial" w:cs="Arial" w:eastAsia="Arial" w:hAnsi="Arial"/>
                  <w:sz w:val="17"/>
                  <w:szCs w:val="17"/>
                  <w:u w:val="single" w:color="auto"/>
                  <w:color w:val="0000EE"/>
                </w:rPr>
                <w:t>13</w:t>
              </w:r>
            </w:hyperlink>
            <w:r>
              <w:rPr>
                <w:rFonts w:ascii="Arial" w:cs="Arial" w:eastAsia="Arial" w:hAnsi="Arial"/>
                <w:sz w:val="17"/>
                <w:szCs w:val="17"/>
                <w:color w:val="000000"/>
              </w:rPr>
              <w:t>†</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8"/>
              </w:rPr>
              <w:t>Joint Beneficiary Designation Agreement of Cory Newsom, effective April 1, 2014 (incorporated herein by reference to Exhibit 10.7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3"/>
            <w:shd w:val="clear" w:color="auto" w:fill="CCEEFF"/>
          </w:tcPr>
          <w:p>
            <w:pPr>
              <w:spacing w:after="0" w:line="166" w:lineRule="exact"/>
              <w:rPr>
                <w:rFonts w:ascii="Arial" w:cs="Arial" w:eastAsia="Arial" w:hAnsi="Arial"/>
                <w:sz w:val="17"/>
                <w:szCs w:val="17"/>
                <w:color w:val="0000EE"/>
                <w:w w:val="98"/>
              </w:rPr>
            </w:pPr>
            <w:hyperlink r:id="rId135">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14</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1"/>
              </w:rPr>
              <w:t>Board Representation Agreement between South Plains Financial, Inc. and James C. Henry (incorporated herein by reference to Exhibit 10.8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3"/>
            <w:shd w:val="clear" w:color="auto" w:fill="CCEEFF"/>
          </w:tcPr>
          <w:p>
            <w:pPr>
              <w:spacing w:after="0" w:line="166" w:lineRule="exact"/>
              <w:rPr>
                <w:rFonts w:ascii="Arial" w:cs="Arial" w:eastAsia="Arial" w:hAnsi="Arial"/>
                <w:sz w:val="17"/>
                <w:szCs w:val="17"/>
                <w:color w:val="0000EE"/>
                <w:w w:val="98"/>
              </w:rPr>
            </w:pPr>
            <w:hyperlink r:id="rId136">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15</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1"/>
              </w:rPr>
              <w:t>Form of Note Purchase Agreement, dated as of September 29, 2020, by and among South Plains Financial, Inc. and the Purchasers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w w:val="99"/>
              </w:rPr>
              <w:t>herein by reference to Exhibit 10.1 of the Current Report on Form 8-K filed with the SEC on September 30, 2020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3"/>
            <w:shd w:val="clear" w:color="auto" w:fill="CCEEFF"/>
          </w:tcPr>
          <w:p>
            <w:pPr>
              <w:spacing w:after="0" w:line="166" w:lineRule="exact"/>
              <w:rPr>
                <w:rFonts w:ascii="Arial" w:cs="Arial" w:eastAsia="Arial" w:hAnsi="Arial"/>
                <w:sz w:val="17"/>
                <w:szCs w:val="17"/>
                <w:color w:val="0000EE"/>
                <w:w w:val="98"/>
              </w:rPr>
            </w:pPr>
            <w:hyperlink r:id="rId137">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16</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8"/>
              </w:rPr>
              <w:t>Form of Registration Rights Agreement, dated as of September 29, 2020, by and among South Plains Financial, Inc. and the Purchasers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w w:val="95"/>
              </w:rPr>
              <w:t>(incorporated herein by reference to Exhibit 10.2 of the Current Report on Form 8-K filed with the SEC on September 30, 2020 (File No. 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 w:type="dxa"/>
            <w:vAlign w:val="bottom"/>
            <w:gridSpan w:val="2"/>
            <w:shd w:val="clear" w:color="auto" w:fill="CCEEFF"/>
          </w:tcPr>
          <w:p>
            <w:pPr>
              <w:spacing w:after="0" w:line="166" w:lineRule="exact"/>
              <w:rPr>
                <w:rFonts w:ascii="Arial" w:cs="Arial" w:eastAsia="Arial" w:hAnsi="Arial"/>
                <w:sz w:val="17"/>
                <w:szCs w:val="17"/>
                <w:color w:val="0000EE"/>
              </w:rPr>
            </w:pPr>
            <w:hyperlink r:id="rId138">
              <w:r>
                <w:rPr>
                  <w:rFonts w:ascii="Arial" w:cs="Arial" w:eastAsia="Arial" w:hAnsi="Arial"/>
                  <w:sz w:val="17"/>
                  <w:szCs w:val="17"/>
                  <w:color w:val="0000EE"/>
                </w:rPr>
                <w:t>16.</w:t>
              </w:r>
              <w:r>
                <w:rPr>
                  <w:rFonts w:ascii="Arial" w:cs="Arial" w:eastAsia="Arial" w:hAnsi="Arial"/>
                  <w:sz w:val="17"/>
                  <w:szCs w:val="17"/>
                  <w:u w:val="single" w:color="auto"/>
                  <w:color w:val="0000EE"/>
                </w:rPr>
                <w:t>1</w:t>
              </w:r>
            </w:hyperlink>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0"/>
              </w:rPr>
              <w:t>Letter from Weaver and Tidwell, L.L.P., dated October 26, 2021, to the U.S. Securities and Exchange Commission (incorporated herein by reference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 Exhibit 16.1 of the Current Report on form 8-K filed with the SEC on October 26, 2021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 w:type="dxa"/>
            <w:vAlign w:val="bottom"/>
            <w:gridSpan w:val="2"/>
            <w:shd w:val="clear" w:color="auto" w:fill="CCEEFF"/>
          </w:tcPr>
          <w:p>
            <w:pPr>
              <w:spacing w:after="0" w:line="166" w:lineRule="exact"/>
              <w:rPr>
                <w:rFonts w:ascii="Arial" w:cs="Arial" w:eastAsia="Arial" w:hAnsi="Arial"/>
                <w:sz w:val="17"/>
                <w:szCs w:val="17"/>
                <w:color w:val="0000EE"/>
              </w:rPr>
            </w:pPr>
            <w:hyperlink r:id="rId139">
              <w:r>
                <w:rPr>
                  <w:rFonts w:ascii="Arial" w:cs="Arial" w:eastAsia="Arial" w:hAnsi="Arial"/>
                  <w:sz w:val="17"/>
                  <w:szCs w:val="17"/>
                  <w:color w:val="0000EE"/>
                </w:rPr>
                <w:t>16.</w:t>
              </w:r>
              <w:r>
                <w:rPr>
                  <w:rFonts w:ascii="Arial" w:cs="Arial" w:eastAsia="Arial" w:hAnsi="Arial"/>
                  <w:sz w:val="17"/>
                  <w:szCs w:val="17"/>
                  <w:u w:val="single" w:color="auto"/>
                  <w:color w:val="0000EE"/>
                </w:rPr>
                <w:t>2</w:t>
              </w:r>
            </w:hyperlink>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w w:val="91"/>
              </w:rPr>
              <w:t>Letter from Weaver and Tidwell, L.L.P., dated March 11, 2022, to the U.S. Securities and Exchange Commission (incorporated herein by reference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 Exhibit 16.1 of the Current Report on form 8-K filed with the SEC on March 11, 2022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0000EE"/>
              </w:rPr>
              <w:t>21.</w:t>
            </w:r>
            <w:r>
              <w:rPr>
                <w:rFonts w:ascii="Arial" w:cs="Arial" w:eastAsia="Arial" w:hAnsi="Arial"/>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Subsidiaries of South Plains Financial, Inc.</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0000EE"/>
              </w:rPr>
              <w:t>23.</w:t>
            </w:r>
            <w:r>
              <w:rPr>
                <w:rFonts w:ascii="Arial" w:cs="Arial" w:eastAsia="Arial" w:hAnsi="Arial"/>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Consent of FORVIS.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0000EE"/>
              </w:rPr>
              <w:t>23.</w:t>
            </w:r>
            <w:r>
              <w:rPr>
                <w:rFonts w:ascii="Arial" w:cs="Arial" w:eastAsia="Arial" w:hAnsi="Arial"/>
                <w:sz w:val="17"/>
                <w:szCs w:val="17"/>
                <w:u w:val="single" w:color="auto"/>
                <w:color w:val="0000EE"/>
              </w:rPr>
              <w:t>2*</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Consent of Weaver and Tidwell, LLP.</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Certification by Chief Executive Officer pursuant to Rule 13a-14(a) under the Securities Exchange Act of 1934, as amended.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Certification by Chief Financial Officer pursuant to Rule 13a-14(a) under the Securities Exchange Act of 1934, as amended.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900" w:type="dxa"/>
            <w:vAlign w:val="bottom"/>
            <w:gridSpan w:val="4"/>
            <w:shd w:val="clear" w:color="auto" w:fill="CCEEFF"/>
          </w:tcPr>
          <w:p>
            <w:pPr>
              <w:spacing w:after="0" w:line="166"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Section 1350 Certification of Chief Executive Officer.</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900" w:type="dxa"/>
            <w:vAlign w:val="bottom"/>
            <w:gridSpan w:val="4"/>
            <w:shd w:val="clear" w:color="auto" w:fill="CCEEFF"/>
          </w:tcPr>
          <w:p>
            <w:pPr>
              <w:spacing w:after="0" w:line="166"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10320" w:type="dxa"/>
            <w:vAlign w:val="bottom"/>
            <w:shd w:val="clear" w:color="auto" w:fill="CCEEFF"/>
          </w:tcPr>
          <w:p>
            <w:pPr>
              <w:ind w:left="220"/>
              <w:spacing w:after="0" w:line="166" w:lineRule="exact"/>
              <w:rPr>
                <w:sz w:val="20"/>
                <w:szCs w:val="20"/>
                <w:color w:val="auto"/>
              </w:rPr>
            </w:pPr>
            <w:r>
              <w:rPr>
                <w:rFonts w:ascii="Arial" w:cs="Arial" w:eastAsia="Arial" w:hAnsi="Arial"/>
                <w:sz w:val="17"/>
                <w:szCs w:val="17"/>
                <w:color w:val="auto"/>
              </w:rPr>
              <w:t>Section 1350 Certification of Chief Financial Officer.</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900" w:type="dxa"/>
            <w:vAlign w:val="bottom"/>
            <w:gridSpan w:val="4"/>
            <w:shd w:val="clear" w:color="auto" w:fill="CCEEFF"/>
          </w:tcPr>
          <w:p>
            <w:pPr>
              <w:spacing w:after="0" w:line="191" w:lineRule="exact"/>
              <w:rPr>
                <w:sz w:val="20"/>
                <w:szCs w:val="20"/>
                <w:color w:val="auto"/>
              </w:rPr>
            </w:pPr>
            <w:r>
              <w:rPr>
                <w:rFonts w:ascii="Arial" w:cs="Arial" w:eastAsia="Arial" w:hAnsi="Arial"/>
                <w:sz w:val="17"/>
                <w:szCs w:val="17"/>
                <w:color w:val="auto"/>
              </w:rPr>
              <w:t>101.INS*</w:t>
            </w:r>
          </w:p>
        </w:tc>
        <w:tc>
          <w:tcPr>
            <w:tcW w:w="10320" w:type="dxa"/>
            <w:vAlign w:val="bottom"/>
            <w:shd w:val="clear" w:color="auto" w:fill="CCEEFF"/>
          </w:tcPr>
          <w:p>
            <w:pPr>
              <w:ind w:left="220"/>
              <w:spacing w:after="0" w:line="191" w:lineRule="exact"/>
              <w:rPr>
                <w:sz w:val="20"/>
                <w:szCs w:val="20"/>
                <w:color w:val="auto"/>
              </w:rPr>
            </w:pPr>
            <w:r>
              <w:rPr>
                <w:rFonts w:ascii="Arial" w:cs="Arial" w:eastAsia="Arial" w:hAnsi="Arial"/>
                <w:sz w:val="17"/>
                <w:szCs w:val="17"/>
                <w:color w:val="auto"/>
                <w:w w:val="92"/>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101.SCH*</w:t>
            </w: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101.CAL*</w:t>
            </w: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101.DEF*</w:t>
            </w: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101.LAB*</w:t>
            </w:r>
          </w:p>
        </w:tc>
        <w:tc>
          <w:tcPr>
            <w:tcW w:w="10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320" w:type="dxa"/>
            <w:vAlign w:val="bottom"/>
          </w:tcPr>
          <w:p>
            <w:pPr>
              <w:ind w:left="460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sz w:val="20"/>
                <w:szCs w:val="20"/>
                <w:color w:val="auto"/>
              </w:rPr>
            </w:pPr>
            <w:r>
              <w:rPr>
                <w:rFonts w:ascii="Arial" w:cs="Arial" w:eastAsia="Arial" w:hAnsi="Arial"/>
                <w:sz w:val="14"/>
                <w:szCs w:val="14"/>
                <w:i w:val="1"/>
                <w:iCs w:val="1"/>
                <w:color w:val="0000EE"/>
                <w:w w:val="92"/>
              </w:rPr>
              <w:t>Table of Contents</w:t>
            </w: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94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10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00" w:hanging="298"/>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Filed with this Annual Report on Form 10-K.</w:t>
      </w:r>
    </w:p>
    <w:p>
      <w:pPr>
        <w:spacing w:after="0" w:line="21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with this Annual Report on Form 10-K.</w:t>
      </w:r>
    </w:p>
    <w:p>
      <w:pPr>
        <w:spacing w:after="0" w:line="212" w:lineRule="exact"/>
        <w:rPr>
          <w:sz w:val="20"/>
          <w:szCs w:val="20"/>
          <w:color w:val="auto"/>
        </w:rPr>
      </w:pPr>
    </w:p>
    <w:p>
      <w:pPr>
        <w:ind w:left="300" w:hanging="298"/>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3994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right="320" w:firstLine="611"/>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61"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South Plains Financial, Inc.</w:t>
      </w:r>
    </w:p>
    <w:p>
      <w:pPr>
        <w:spacing w:after="0" w:line="216"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March 13, 2023</w:t>
      </w:r>
      <w:r>
        <w:rPr>
          <w:sz w:val="20"/>
          <w:szCs w:val="20"/>
          <w:color w:val="auto"/>
        </w:rPr>
        <w:tab/>
      </w:r>
      <w:r>
        <w:rPr>
          <w:rFonts w:ascii="Arial" w:cs="Arial" w:eastAsia="Arial" w:hAnsi="Arial"/>
          <w:sz w:val="16"/>
          <w:szCs w:val="16"/>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13335</wp:posOffset>
            </wp:positionV>
            <wp:extent cx="335597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3355975" cy="1587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Curtis C. Griffith</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Chairman and Chief Executive Officer</w:t>
      </w:r>
    </w:p>
    <w:p>
      <w:pPr>
        <w:spacing w:after="0" w:line="201" w:lineRule="exact"/>
        <w:rPr>
          <w:sz w:val="20"/>
          <w:szCs w:val="20"/>
          <w:color w:val="auto"/>
        </w:rPr>
      </w:pPr>
    </w:p>
    <w:p>
      <w:pPr>
        <w:ind w:right="100" w:firstLine="611"/>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78689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78689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Curtis C. Griffith</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78689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Cory T. Newsom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78689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Steven B. Crockett</w:t>
      </w:r>
    </w:p>
    <w:p>
      <w:pPr>
        <w:spacing w:after="0" w:line="212" w:lineRule="exact"/>
        <w:rPr>
          <w:sz w:val="20"/>
          <w:szCs w:val="20"/>
          <w:color w:val="auto"/>
        </w:rPr>
      </w:pPr>
    </w:p>
    <w:p>
      <w:pPr>
        <w:ind w:right="660"/>
        <w:spacing w:after="0" w:line="378" w:lineRule="auto"/>
        <w:rPr>
          <w:sz w:val="20"/>
          <w:szCs w:val="20"/>
          <w:color w:val="auto"/>
        </w:rPr>
      </w:pPr>
      <w:r>
        <w:rPr>
          <w:rFonts w:ascii="Arial" w:cs="Arial" w:eastAsia="Arial" w:hAnsi="Arial"/>
          <w:sz w:val="15"/>
          <w:szCs w:val="15"/>
          <w:color w:val="auto"/>
        </w:rPr>
        <w:t>/s/ Richard D. Campbell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-207010</wp:posOffset>
            </wp:positionV>
            <wp:extent cx="178689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 Cynthia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78689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Cynthia B. Keith</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78689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Noe G. Valles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Kyle R. 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78689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Kyle R. Wargo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Title</w:t>
            </w:r>
          </w:p>
        </w:tc>
        <w:tc>
          <w:tcPr>
            <w:tcW w:w="260" w:type="dxa"/>
            <w:vAlign w:val="bottom"/>
          </w:tcPr>
          <w:p>
            <w:pPr>
              <w:spacing w:after="0"/>
              <w:rPr>
                <w:sz w:val="19"/>
                <w:szCs w:val="19"/>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r>
      <w:tr>
        <w:trPr>
          <w:trHeight w:val="623"/>
        </w:trPr>
        <w:tc>
          <w:tcPr>
            <w:tcW w:w="6000" w:type="dxa"/>
            <w:vAlign w:val="bottom"/>
            <w:gridSpan w:val="2"/>
          </w:tcPr>
          <w:p>
            <w:pPr>
              <w:spacing w:after="0"/>
              <w:rPr>
                <w:sz w:val="20"/>
                <w:szCs w:val="20"/>
                <w:color w:val="auto"/>
              </w:rPr>
            </w:pPr>
            <w:r>
              <w:rPr>
                <w:rFonts w:ascii="Arial" w:cs="Arial" w:eastAsia="Arial" w:hAnsi="Arial"/>
                <w:sz w:val="17"/>
                <w:szCs w:val="17"/>
                <w:color w:val="auto"/>
              </w:rPr>
              <w:t>Director (Chairman); Chief Executive Officer (principal executive officer)</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r>
        <w:trPr>
          <w:trHeight w:val="637"/>
        </w:trPr>
        <w:tc>
          <w:tcPr>
            <w:tcW w:w="6000" w:type="dxa"/>
            <w:vAlign w:val="bottom"/>
            <w:gridSpan w:val="2"/>
          </w:tcPr>
          <w:p>
            <w:pPr>
              <w:spacing w:after="0"/>
              <w:rPr>
                <w:sz w:val="20"/>
                <w:szCs w:val="20"/>
                <w:color w:val="auto"/>
              </w:rPr>
            </w:pPr>
            <w:r>
              <w:rPr>
                <w:rFonts w:ascii="Arial" w:cs="Arial" w:eastAsia="Arial" w:hAnsi="Arial"/>
                <w:sz w:val="17"/>
                <w:szCs w:val="17"/>
                <w:color w:val="auto"/>
              </w:rPr>
              <w:t>Director and President</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r>
        <w:trPr>
          <w:trHeight w:val="637"/>
        </w:trPr>
        <w:tc>
          <w:tcPr>
            <w:tcW w:w="6000" w:type="dxa"/>
            <w:vAlign w:val="bottom"/>
            <w:gridSpan w:val="2"/>
          </w:tcPr>
          <w:p>
            <w:pPr>
              <w:spacing w:after="0"/>
              <w:rPr>
                <w:sz w:val="20"/>
                <w:szCs w:val="20"/>
                <w:color w:val="auto"/>
              </w:rPr>
            </w:pPr>
            <w:r>
              <w:rPr>
                <w:rFonts w:ascii="Arial" w:cs="Arial" w:eastAsia="Arial" w:hAnsi="Arial"/>
                <w:sz w:val="17"/>
                <w:szCs w:val="17"/>
                <w:color w:val="auto"/>
              </w:rPr>
              <w:t>Chief Financial Officer and Treasurer (principal financial and accounting officer)</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r>
        <w:trPr>
          <w:trHeight w:val="637"/>
        </w:trPr>
        <w:tc>
          <w:tcPr>
            <w:tcW w:w="60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r>
        <w:trPr>
          <w:trHeight w:val="637"/>
        </w:trPr>
        <w:tc>
          <w:tcPr>
            <w:tcW w:w="60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r>
        <w:trPr>
          <w:trHeight w:val="637"/>
        </w:trPr>
        <w:tc>
          <w:tcPr>
            <w:tcW w:w="60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r>
        <w:trPr>
          <w:trHeight w:val="637"/>
        </w:trPr>
        <w:tc>
          <w:tcPr>
            <w:tcW w:w="60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200" w:type="dxa"/>
            <w:vAlign w:val="bottom"/>
          </w:tcPr>
          <w:p>
            <w:pPr>
              <w:spacing w:after="0"/>
              <w:rPr>
                <w:sz w:val="20"/>
                <w:szCs w:val="20"/>
                <w:color w:val="auto"/>
              </w:rPr>
            </w:pPr>
            <w:r>
              <w:rPr>
                <w:rFonts w:ascii="Arial" w:cs="Arial" w:eastAsia="Arial" w:hAnsi="Arial"/>
                <w:sz w:val="17"/>
                <w:szCs w:val="17"/>
                <w:color w:val="auto"/>
              </w:rPr>
              <w:t>March 13, 2023</w:t>
            </w:r>
          </w:p>
        </w:tc>
      </w:tr>
    </w:tbl>
    <w:p>
      <w:pPr>
        <w:spacing w:after="0" w:line="200" w:lineRule="exact"/>
        <w:rPr>
          <w:sz w:val="20"/>
          <w:szCs w:val="20"/>
          <w:color w:val="auto"/>
        </w:rPr>
      </w:pPr>
    </w:p>
    <w:p>
      <w:pPr>
        <w:sectPr>
          <w:pgSz w:w="11900" w:h="16838" w:orient="portrait"/>
          <w:cols w:equalWidth="0" w:num="2">
            <w:col w:w="2320" w:space="720"/>
            <w:col w:w="8200"/>
          </w:cols>
          <w:pgMar w:left="320" w:top="121" w:right="3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13994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21.1</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Subsidiaries of South Plains Financial,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Entity Name</w:t>
            </w:r>
          </w:p>
        </w:tc>
        <w:tc>
          <w:tcPr>
            <w:tcW w:w="7120" w:type="dxa"/>
            <w:vAlign w:val="bottom"/>
            <w:gridSpan w:val="3"/>
          </w:tcPr>
          <w:p>
            <w:pPr>
              <w:ind w:left="1460"/>
              <w:spacing w:after="0"/>
              <w:rPr>
                <w:sz w:val="20"/>
                <w:szCs w:val="20"/>
                <w:color w:val="auto"/>
              </w:rPr>
            </w:pPr>
            <w:r>
              <w:rPr>
                <w:rFonts w:ascii="Arial" w:cs="Arial" w:eastAsia="Arial" w:hAnsi="Arial"/>
                <w:sz w:val="17"/>
                <w:szCs w:val="17"/>
                <w:b w:val="1"/>
                <w:bCs w:val="1"/>
                <w:color w:val="auto"/>
              </w:rPr>
              <w:t>State of Incorporation</w:t>
            </w:r>
          </w:p>
        </w:tc>
      </w:tr>
      <w:tr>
        <w:trPr>
          <w:trHeight w:val="20"/>
        </w:trPr>
        <w:tc>
          <w:tcPr>
            <w:tcW w:w="9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13"/>
        </w:trPr>
        <w:tc>
          <w:tcPr>
            <w:tcW w:w="4120" w:type="dxa"/>
            <w:vAlign w:val="bottom"/>
            <w:gridSpan w:val="2"/>
          </w:tcPr>
          <w:p>
            <w:pPr>
              <w:spacing w:after="0"/>
              <w:rPr>
                <w:sz w:val="20"/>
                <w:szCs w:val="20"/>
                <w:color w:val="auto"/>
              </w:rPr>
            </w:pPr>
            <w:r>
              <w:rPr>
                <w:rFonts w:ascii="Arial" w:cs="Arial" w:eastAsia="Arial" w:hAnsi="Arial"/>
                <w:sz w:val="17"/>
                <w:szCs w:val="17"/>
                <w:color w:val="auto"/>
              </w:rPr>
              <w:t>CB Provence, LLC</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Texas</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CBT Brushy Creek, LLC</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Texas</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CBT Properties, LLC</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Texas</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City Bank</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Texas</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Ruidoso Retail, Inc.</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Texas</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South Plains Financial Capital Trust III</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Delaware</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South Plains Financial Capital Trust IV</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Delaware</w:t>
            </w:r>
          </w:p>
        </w:tc>
      </w:tr>
      <w:tr>
        <w:trPr>
          <w:trHeight w:val="204"/>
        </w:trPr>
        <w:tc>
          <w:tcPr>
            <w:tcW w:w="4120" w:type="dxa"/>
            <w:vAlign w:val="bottom"/>
            <w:gridSpan w:val="2"/>
          </w:tcPr>
          <w:p>
            <w:pPr>
              <w:spacing w:after="0"/>
              <w:rPr>
                <w:sz w:val="20"/>
                <w:szCs w:val="20"/>
                <w:color w:val="auto"/>
              </w:rPr>
            </w:pPr>
            <w:r>
              <w:rPr>
                <w:rFonts w:ascii="Arial" w:cs="Arial" w:eastAsia="Arial" w:hAnsi="Arial"/>
                <w:sz w:val="17"/>
                <w:szCs w:val="17"/>
                <w:color w:val="auto"/>
              </w:rPr>
              <w:t>South Plains Financial Capital Trust V</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Delaware</w:t>
            </w:r>
          </w:p>
        </w:tc>
      </w:tr>
      <w:tr>
        <w:trPr>
          <w:trHeight w:val="215"/>
        </w:trPr>
        <w:tc>
          <w:tcPr>
            <w:tcW w:w="4120" w:type="dxa"/>
            <w:vAlign w:val="bottom"/>
            <w:gridSpan w:val="2"/>
          </w:tcPr>
          <w:p>
            <w:pPr>
              <w:spacing w:after="0"/>
              <w:rPr>
                <w:sz w:val="20"/>
                <w:szCs w:val="20"/>
                <w:color w:val="auto"/>
              </w:rPr>
            </w:pPr>
            <w:r>
              <w:rPr>
                <w:rFonts w:ascii="Arial" w:cs="Arial" w:eastAsia="Arial" w:hAnsi="Arial"/>
                <w:sz w:val="17"/>
                <w:szCs w:val="17"/>
                <w:color w:val="auto"/>
              </w:rPr>
              <w:t>Windmark Insurance Agency, Inc.</w:t>
            </w:r>
          </w:p>
        </w:tc>
        <w:tc>
          <w:tcPr>
            <w:tcW w:w="7120" w:type="dxa"/>
            <w:vAlign w:val="bottom"/>
            <w:gridSpan w:val="3"/>
          </w:tcPr>
          <w:p>
            <w:pPr>
              <w:ind w:left="1460"/>
              <w:spacing w:after="0"/>
              <w:rPr>
                <w:sz w:val="20"/>
                <w:szCs w:val="20"/>
                <w:color w:val="auto"/>
              </w:rPr>
            </w:pPr>
            <w:r>
              <w:rPr>
                <w:rFonts w:ascii="Arial" w:cs="Arial" w:eastAsia="Arial" w:hAnsi="Arial"/>
                <w:sz w:val="17"/>
                <w:szCs w:val="17"/>
                <w:color w:val="auto"/>
              </w:rPr>
              <w:t>Texas</w:t>
            </w:r>
          </w:p>
        </w:tc>
      </w:tr>
      <w:tr>
        <w:trPr>
          <w:trHeight w:val="567"/>
        </w:trPr>
        <w:tc>
          <w:tcPr>
            <w:tcW w:w="9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23.1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consent to the incorporation by reference in the registration statement of South Plains Financial, Inc. on Form S-8 (No. 333-231667) and on Form S-4/A (No. 333-250021) of our report dated March 13, 2023, on our audit of the consolidated financial statements of South Plains Financial, Inc. as of December 31, 2022, and for the year ended December 31, 2022, which is included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FORVIS, LLP</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713994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23.2</w:t>
      </w:r>
    </w:p>
    <w:p>
      <w:pPr>
        <w:spacing w:after="0" w:line="228"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Board of Directors and Audit Committee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South Plains Financial, Inc.</w:t>
      </w:r>
    </w:p>
    <w:p>
      <w:pPr>
        <w:spacing w:after="0"/>
        <w:rPr>
          <w:sz w:val="20"/>
          <w:szCs w:val="20"/>
          <w:color w:val="auto"/>
        </w:rPr>
      </w:pPr>
      <w:r>
        <w:rPr>
          <w:rFonts w:ascii="Arial" w:cs="Arial" w:eastAsia="Arial" w:hAnsi="Arial"/>
          <w:sz w:val="20"/>
          <w:szCs w:val="20"/>
          <w:color w:val="auto"/>
        </w:rPr>
        <w:t>Lubbock, Texas</w:t>
      </w:r>
    </w:p>
    <w:p>
      <w:pPr>
        <w:spacing w:after="0" w:line="21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consent to the incorporation by reference in South Plains Financial, Inc.’s Registration Statement (No. 333-231667) on Form S-8 and the Registration Statement (No. 333-250021) on Form S-4/A of our report dated March 7, 2022 relating to the consolidated financial statements of South Plains Financial, Inc. appearing in this Annual Report on Form 10-K. We also consent to the reference to our firm under the caption “Experts” in the Form S-4/A.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Weaver and Tidwell, L.L.P.</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Fort Worth, Texas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713994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 Curtis C. Griffith, certify that:</w:t>
      </w:r>
    </w:p>
    <w:p>
      <w:pPr>
        <w:spacing w:after="0" w:line="237" w:lineRule="exact"/>
        <w:rPr>
          <w:sz w:val="20"/>
          <w:szCs w:val="20"/>
          <w:color w:val="auto"/>
        </w:rPr>
      </w:pPr>
    </w:p>
    <w:p>
      <w:pPr>
        <w:ind w:left="300" w:hanging="298"/>
        <w:spacing w:after="0"/>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South Plains Financial, Inc. (the “registrant”) for the year ended December 31, 2022 (this “report”);</w:t>
      </w:r>
    </w:p>
    <w:p>
      <w:pPr>
        <w:spacing w:after="0" w:line="248" w:lineRule="exact"/>
        <w:rPr>
          <w:rFonts w:ascii="Arial" w:cs="Arial" w:eastAsia="Arial" w:hAnsi="Arial"/>
          <w:sz w:val="16"/>
          <w:szCs w:val="16"/>
          <w:color w:val="auto"/>
        </w:rPr>
      </w:pPr>
    </w:p>
    <w:p>
      <w:pPr>
        <w:ind w:left="300" w:hanging="298"/>
        <w:spacing w:after="0" w:line="306"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left="300" w:hanging="298"/>
        <w:spacing w:after="0" w:line="274"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300" w:hanging="298"/>
        <w:spacing w:after="0" w:line="262"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620" w:hanging="313"/>
        <w:spacing w:after="0" w:line="274"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620" w:hanging="313"/>
        <w:spacing w:after="0" w:line="274"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620" w:hanging="313"/>
        <w:spacing w:after="0" w:line="274" w:lineRule="auto"/>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7"/>
          <w:szCs w:val="17"/>
          <w:color w:val="auto"/>
        </w:rPr>
        <w:t>Date: March 13,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13335</wp:posOffset>
            </wp:positionV>
            <wp:extent cx="337185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371850" cy="15875"/>
                    </a:xfrm>
                    <a:prstGeom prst="rect">
                      <a:avLst/>
                    </a:prstGeom>
                    <a:noFill/>
                  </pic:spPr>
                </pic:pic>
              </a:graphicData>
            </a:graphic>
          </wp:anchor>
        </w:drawing>
      </w:r>
    </w:p>
    <w:p>
      <w:pPr>
        <w:spacing w:after="0" w:line="14"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Curtis C. Griffith</w:t>
      </w:r>
    </w:p>
    <w:p>
      <w:pPr>
        <w:spacing w:after="0" w:line="20"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361950</wp:posOffset>
            </wp:positionV>
            <wp:extent cx="7139940"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 Steven B. Crockett, certify that:</w:t>
      </w:r>
    </w:p>
    <w:p>
      <w:pPr>
        <w:spacing w:after="0" w:line="237" w:lineRule="exact"/>
        <w:rPr>
          <w:sz w:val="20"/>
          <w:szCs w:val="20"/>
          <w:color w:val="auto"/>
        </w:rPr>
      </w:pPr>
    </w:p>
    <w:p>
      <w:pPr>
        <w:ind w:left="300" w:hanging="298"/>
        <w:spacing w:after="0"/>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South Plains Financial, Inc. (the “registrant”) for the year ended December 31, 2022 (this “report”);</w:t>
      </w:r>
    </w:p>
    <w:p>
      <w:pPr>
        <w:spacing w:after="0" w:line="248" w:lineRule="exact"/>
        <w:rPr>
          <w:rFonts w:ascii="Arial" w:cs="Arial" w:eastAsia="Arial" w:hAnsi="Arial"/>
          <w:sz w:val="16"/>
          <w:szCs w:val="16"/>
          <w:color w:val="auto"/>
        </w:rPr>
      </w:pPr>
    </w:p>
    <w:p>
      <w:pPr>
        <w:ind w:left="300" w:hanging="298"/>
        <w:spacing w:after="0" w:line="306"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left="300" w:hanging="298"/>
        <w:spacing w:after="0" w:line="274"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300" w:hanging="298"/>
        <w:spacing w:after="0" w:line="262"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620" w:hanging="313"/>
        <w:spacing w:after="0" w:line="274"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620" w:hanging="313"/>
        <w:spacing w:after="0" w:line="262"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300" w:hanging="298"/>
        <w:spacing w:after="0" w:line="274"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620" w:hanging="313"/>
        <w:spacing w:after="0" w:line="274"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620" w:hanging="313"/>
        <w:spacing w:after="0" w:line="274"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620" w:val="left"/>
          <w:tab w:leader="none" w:pos="7820" w:val="left"/>
        </w:tabs>
        <w:rPr>
          <w:sz w:val="20"/>
          <w:szCs w:val="20"/>
          <w:color w:val="auto"/>
        </w:rPr>
      </w:pPr>
      <w:r>
        <w:rPr>
          <w:rFonts w:ascii="Arial" w:cs="Arial" w:eastAsia="Arial" w:hAnsi="Arial"/>
          <w:sz w:val="17"/>
          <w:szCs w:val="17"/>
          <w:color w:val="auto"/>
        </w:rPr>
        <w:t>Date: March 13,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13335</wp:posOffset>
            </wp:positionV>
            <wp:extent cx="337185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3371850" cy="15875"/>
                    </a:xfrm>
                    <a:prstGeom prst="rect">
                      <a:avLst/>
                    </a:prstGeom>
                    <a:noFill/>
                  </pic:spPr>
                </pic:pic>
              </a:graphicData>
            </a:graphic>
          </wp:anchor>
        </w:drawing>
      </w:r>
    </w:p>
    <w:p>
      <w:pPr>
        <w:spacing w:after="0" w:line="14"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Steven B. Crockett</w:t>
      </w:r>
    </w:p>
    <w:p>
      <w:pPr>
        <w:spacing w:after="0" w:line="20" w:lineRule="exact"/>
        <w:rPr>
          <w:sz w:val="20"/>
          <w:szCs w:val="20"/>
          <w:color w:val="auto"/>
        </w:rPr>
      </w:pPr>
    </w:p>
    <w:p>
      <w:pPr>
        <w:jc w:val="center"/>
        <w:ind w:left="592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361950</wp:posOffset>
            </wp:positionV>
            <wp:extent cx="713994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0"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18 U.S.C. SECTION 1350, AS ADOPTED PURSUANT TO</w:t>
      </w:r>
    </w:p>
    <w:p>
      <w:pPr>
        <w:ind w:left="298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2022 (the “Report”), as filed with the Securities and Exchange Commission on the date hereof, I certify, pursuant to 18 U.S.C. § 1350, as adopted pursuant to § 906 of the Sarbanes-Oxley Act of 2002, that to the best of my knowledge:</w:t>
      </w:r>
    </w:p>
    <w:p>
      <w:pPr>
        <w:spacing w:after="0" w:line="177" w:lineRule="exact"/>
        <w:rPr>
          <w:sz w:val="20"/>
          <w:szCs w:val="20"/>
          <w:color w:val="auto"/>
        </w:rPr>
      </w:pPr>
    </w:p>
    <w:p>
      <w:pPr>
        <w:ind w:left="620" w:hanging="313"/>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7" w:lineRule="exact"/>
        <w:rPr>
          <w:rFonts w:ascii="Arial" w:cs="Arial" w:eastAsia="Arial" w:hAnsi="Arial"/>
          <w:sz w:val="17"/>
          <w:szCs w:val="17"/>
          <w:color w:val="auto"/>
        </w:rPr>
      </w:pPr>
    </w:p>
    <w:p>
      <w:pPr>
        <w:ind w:left="620" w:hanging="313"/>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Date: March 13, 2023</w:t>
            </w:r>
          </w:p>
        </w:tc>
        <w:tc>
          <w:tcPr>
            <w:tcW w:w="2380" w:type="dxa"/>
            <w:vAlign w:val="bottom"/>
          </w:tcPr>
          <w:p>
            <w:pPr>
              <w:ind w:left="2080"/>
              <w:spacing w:after="0"/>
              <w:rPr>
                <w:sz w:val="20"/>
                <w:szCs w:val="20"/>
                <w:color w:val="auto"/>
              </w:rPr>
            </w:pPr>
            <w:r>
              <w:rPr>
                <w:rFonts w:ascii="Arial" w:cs="Arial" w:eastAsia="Arial" w:hAnsi="Arial"/>
                <w:sz w:val="17"/>
                <w:szCs w:val="17"/>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Curtis C. Griffith</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Pr>
          <w:p>
            <w:pPr>
              <w:jc w:val="center"/>
              <w:spacing w:after="0" w:line="191" w:lineRule="exact"/>
              <w:rPr>
                <w:sz w:val="20"/>
                <w:szCs w:val="20"/>
                <w:color w:val="auto"/>
              </w:rPr>
            </w:pPr>
            <w:r>
              <w:rPr>
                <w:rFonts w:ascii="Arial" w:cs="Arial" w:eastAsia="Arial" w:hAnsi="Arial"/>
                <w:sz w:val="17"/>
                <w:szCs w:val="17"/>
                <w:color w:val="auto"/>
                <w:w w:val="97"/>
              </w:rPr>
              <w:t>Curtis C. Griffith</w:t>
            </w:r>
          </w:p>
        </w:tc>
      </w:tr>
      <w:tr>
        <w:trPr>
          <w:trHeight w:val="215"/>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92"/>
              </w:rPr>
              <w:t>Chairman and Chief Executive Officer</w:t>
            </w:r>
          </w:p>
        </w:tc>
      </w:tr>
      <w:tr>
        <w:trPr>
          <w:trHeight w:val="567"/>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0"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18 U.S.C. SECTION 1350, AS ADOPTED PURSUANT TO</w:t>
      </w:r>
    </w:p>
    <w:p>
      <w:pPr>
        <w:ind w:left="298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2022 (the “Report”), as filed with the Securities and Exchange Commission on the date hereof, I certify, pursuant to 18 U.S.C. § 1350, as adopted pursuant to § 906 of the Sarbanes-Oxley Act of 2002, that to the best of my knowledge:</w:t>
      </w:r>
    </w:p>
    <w:p>
      <w:pPr>
        <w:spacing w:after="0" w:line="177" w:lineRule="exact"/>
        <w:rPr>
          <w:sz w:val="20"/>
          <w:szCs w:val="20"/>
          <w:color w:val="auto"/>
        </w:rPr>
      </w:pPr>
    </w:p>
    <w:p>
      <w:pPr>
        <w:ind w:left="620" w:hanging="313"/>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7" w:lineRule="exact"/>
        <w:rPr>
          <w:rFonts w:ascii="Arial" w:cs="Arial" w:eastAsia="Arial" w:hAnsi="Arial"/>
          <w:sz w:val="17"/>
          <w:szCs w:val="17"/>
          <w:color w:val="auto"/>
        </w:rPr>
      </w:pPr>
    </w:p>
    <w:p>
      <w:pPr>
        <w:ind w:left="620" w:hanging="313"/>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Date: March 13, 2023</w:t>
            </w:r>
          </w:p>
        </w:tc>
        <w:tc>
          <w:tcPr>
            <w:tcW w:w="2380" w:type="dxa"/>
            <w:vAlign w:val="bottom"/>
          </w:tcPr>
          <w:p>
            <w:pPr>
              <w:ind w:left="2080"/>
              <w:spacing w:after="0"/>
              <w:rPr>
                <w:sz w:val="20"/>
                <w:szCs w:val="20"/>
                <w:color w:val="auto"/>
              </w:rPr>
            </w:pPr>
            <w:r>
              <w:rPr>
                <w:rFonts w:ascii="Arial" w:cs="Arial" w:eastAsia="Arial" w:hAnsi="Arial"/>
                <w:sz w:val="17"/>
                <w:szCs w:val="17"/>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Steven B. Crockett</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Pr>
          <w:p>
            <w:pPr>
              <w:jc w:val="center"/>
              <w:spacing w:after="0" w:line="191" w:lineRule="exact"/>
              <w:rPr>
                <w:sz w:val="20"/>
                <w:szCs w:val="20"/>
                <w:color w:val="auto"/>
              </w:rPr>
            </w:pPr>
            <w:r>
              <w:rPr>
                <w:rFonts w:ascii="Arial" w:cs="Arial" w:eastAsia="Arial" w:hAnsi="Arial"/>
                <w:sz w:val="17"/>
                <w:szCs w:val="17"/>
                <w:color w:val="auto"/>
                <w:w w:val="91"/>
              </w:rPr>
              <w:t>Steven B. Crockett</w:t>
            </w:r>
          </w:p>
        </w:tc>
      </w:tr>
      <w:tr>
        <w:trPr>
          <w:trHeight w:val="215"/>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7"/>
                <w:szCs w:val="17"/>
                <w:color w:val="auto"/>
                <w:w w:val="94"/>
              </w:rPr>
              <w:t>Chief Financial Officer</w:t>
            </w:r>
          </w:p>
        </w:tc>
      </w:tr>
      <w:tr>
        <w:trPr>
          <w:trHeight w:val="567"/>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upperLetter"/>
      <w:start w:val="6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lowerRoman"/>
      <w:start w:val="2"/>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Roman"/>
      <w:start w:val="2"/>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lowerRoman"/>
      <w:start w:val="4"/>
    </w:lvl>
  </w:abstractNum>
  <w:abstractNum w:abstractNumId="20">
    <w:nsid w:val="54E49EB4"/>
    <w:multiLevelType w:val="hybridMultilevel"/>
    <w:lvl w:ilvl="0">
      <w:lvlJc w:val="left"/>
      <w:lvlText w:val="%1."/>
      <w:numFmt w:val="decimal"/>
      <w:start w:val="6"/>
    </w:lvl>
  </w:abstractNum>
  <w:abstractNum w:abstractNumId="21">
    <w:nsid w:val="71F32454"/>
    <w:multiLevelType w:val="hybridMultilevel"/>
    <w:lvl w:ilvl="0">
      <w:lvlJc w:val="left"/>
      <w:lvlText w:val="%1."/>
      <w:numFmt w:val="decimal"/>
      <w:start w:val="7"/>
    </w:lvl>
  </w:abstractNum>
  <w:abstractNum w:abstractNumId="22">
    <w:nsid w:val="2CA88611"/>
    <w:multiLevelType w:val="hybridMultilevel"/>
    <w:lvl w:ilvl="0">
      <w:lvlJc w:val="left"/>
      <w:lvlText w:val="%1."/>
      <w:numFmt w:val="decimal"/>
      <w:start w:val="8"/>
    </w:lvl>
  </w:abstractNum>
  <w:abstractNum w:abstractNumId="23">
    <w:nsid w:val="836C40E"/>
    <w:multiLevelType w:val="hybridMultilevel"/>
    <w:lvl w:ilvl="0">
      <w:lvlJc w:val="left"/>
      <w:lvlText w:val="%1."/>
      <w:numFmt w:val="decimal"/>
      <w:start w:val="9"/>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17" Type="http://schemas.openxmlformats.org/officeDocument/2006/relationships/hyperlink" Target="https://www.sec.gov/Archives/edgar/data/1163668/000114036119013399/ex2_1.htm" TargetMode="External"/><Relationship Id="rId118" Type="http://schemas.openxmlformats.org/officeDocument/2006/relationships/hyperlink" Target="https://www.sec.gov/Archives/edgar/data/1163668/000114036119007042/s002614x4_ex3-1.htm" TargetMode="External"/><Relationship Id="rId119" Type="http://schemas.openxmlformats.org/officeDocument/2006/relationships/hyperlink" Target="https://www.sec.gov/Archives/edgar/data/0001163668/000114036121036078/brhc10030259_ex3-1.htm" TargetMode="External"/><Relationship Id="rId120" Type="http://schemas.openxmlformats.org/officeDocument/2006/relationships/hyperlink" Target="https://www.sec.gov/Archives/edgar/data/1163668/000114036119007758/s002614x6_ex4-1.htm" TargetMode="External"/><Relationship Id="rId121" Type="http://schemas.openxmlformats.org/officeDocument/2006/relationships/hyperlink" Target="https://www.sec.gov/Archives/edgar/data/1163668/000114036120021876/brhc10015606_ex4-1.htm" TargetMode="External"/><Relationship Id="rId122" Type="http://schemas.openxmlformats.org/officeDocument/2006/relationships/hyperlink" Target="https://www.sec.gov/Archives/edgar/data/1163668/000114036119013399/ex10_1.htm" TargetMode="External"/><Relationship Id="rId123" Type="http://schemas.openxmlformats.org/officeDocument/2006/relationships/hyperlink" Target="https://www.sec.gov/Archives/edgar/data/1163668/000114036119013399/ex10_2.htm" TargetMode="External"/><Relationship Id="rId124" Type="http://schemas.openxmlformats.org/officeDocument/2006/relationships/hyperlink" Target="https://www.sec.gov/Archives/edgar/data/1163668/000114036119022915/ex10_1.htm" TargetMode="External"/><Relationship Id="rId125" Type="http://schemas.openxmlformats.org/officeDocument/2006/relationships/hyperlink" Target="https://www.sec.gov/Archives/edgar/data/1163668/000114036119007758/s002614x6_ex10-4.htm" TargetMode="External"/><Relationship Id="rId126" Type="http://schemas.openxmlformats.org/officeDocument/2006/relationships/hyperlink" Target="https://www.sec.gov/Archives/edgar/data/0001163668/000114036121042617/brhc10032142_ex10-1.htm" TargetMode="External"/><Relationship Id="rId127" Type="http://schemas.openxmlformats.org/officeDocument/2006/relationships/hyperlink" Target="https://www.sec.gov/Archives/edgar/data/0001163668/000114036121042617/brhc10032142_ex10-2.htm" TargetMode="External"/><Relationship Id="rId128" Type="http://schemas.openxmlformats.org/officeDocument/2006/relationships/hyperlink" Target="https://www.sec.gov/Archives/edgar/data/1163668/000114036119007758/s002614x6_ex10-1.htm" TargetMode="External"/><Relationship Id="rId129" Type="http://schemas.openxmlformats.org/officeDocument/2006/relationships/hyperlink" Target="https://www.sec.gov/Archives/edgar/data/1163668/000114036119007758/s002614x6_ex10-2.htm" TargetMode="External"/><Relationship Id="rId130" Type="http://schemas.openxmlformats.org/officeDocument/2006/relationships/hyperlink" Target="https://www.sec.gov/Archives/edgar/data/1163668/000114036119007758/s002614x6_ex10-3.htm" TargetMode="External"/><Relationship Id="rId131" Type="http://schemas.openxmlformats.org/officeDocument/2006/relationships/hyperlink" Target="https://www.sec.gov/Archives/edgar/data/1163668/000114036119007758/s002614x6_ex10-9.htm" TargetMode="External"/><Relationship Id="rId132" Type="http://schemas.openxmlformats.org/officeDocument/2006/relationships/hyperlink" Target="https://www.sec.gov/Archives/edgar/data/1163668/000114036119007758/s002614x6_ex10-5.htm" TargetMode="External"/><Relationship Id="rId133" Type="http://schemas.openxmlformats.org/officeDocument/2006/relationships/hyperlink" Target="https://www.sec.gov/Archives/edgar/data/1163668/000114036119007758/s002614x6_ex10-6.htm" TargetMode="External"/><Relationship Id="rId134" Type="http://schemas.openxmlformats.org/officeDocument/2006/relationships/hyperlink" Target="https://www.sec.gov/Archives/edgar/data/1163668/000114036119007758/s002614x6_ex10-7.htm" TargetMode="External"/><Relationship Id="rId135" Type="http://schemas.openxmlformats.org/officeDocument/2006/relationships/hyperlink" Target="https://www.sec.gov/Archives/edgar/data/1163668/000114036119007758/s002614x6_ex10-8.htm" TargetMode="External"/><Relationship Id="rId136" Type="http://schemas.openxmlformats.org/officeDocument/2006/relationships/hyperlink" Target="https://www.sec.gov/Archives/edgar/data/1163668/000114036120021876/brhc10015606_ex10-1.htm" TargetMode="External"/><Relationship Id="rId137" Type="http://schemas.openxmlformats.org/officeDocument/2006/relationships/hyperlink" Target="https://www.sec.gov/Archives/edgar/data/1163668/000114036120021876/bhrc10015606_ex10-2.htm" TargetMode="External"/><Relationship Id="rId138" Type="http://schemas.openxmlformats.org/officeDocument/2006/relationships/hyperlink" Target="https://www.sec.gov/Archives/edgar/data/0001163668/000114036121035472/brhc10030069_ex16-1.htm" TargetMode="External"/><Relationship Id="rId139" Type="http://schemas.openxmlformats.org/officeDocument/2006/relationships/hyperlink" Target="https://www.sec.gov/Archives/edgar/data/1163668/000114036122009010/brhc10035098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2023-03-13T18:22:04Z</dcterms:created>
  <dcterms:modified xsi:type="dcterms:W3CDTF">2023-03-13T18:22:04Z</dcterms:modified>
</cp:coreProperties>
</file>