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132715</wp:posOffset>
            </wp:positionV>
            <wp:extent cx="8572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57250" cy="1714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165100</wp:posOffset>
            </wp:positionV>
            <wp:extent cx="8572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57250" cy="1714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4"/>
          <w:szCs w:val="24"/>
          <w:color w:val="auto"/>
        </w:rPr>
      </w:pPr>
    </w:p>
    <w:p>
      <w:pPr>
        <w:ind w:left="3880" w:right="1440" w:hanging="3872"/>
        <w:spacing w:after="0" w:line="500" w:lineRule="auto"/>
        <w:tabs>
          <w:tab w:leader="none" w:pos="65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2025</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3780" w:right="1580" w:hanging="3772"/>
        <w:spacing w:after="0" w:line="500" w:lineRule="auto"/>
        <w:tabs>
          <w:tab w:leader="none" w:pos="495"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 to ______</w:t>
      </w:r>
    </w:p>
    <w:p>
      <w:pPr>
        <w:spacing w:after="0" w:line="1" w:lineRule="exact"/>
        <w:rPr>
          <w:rFonts w:ascii="MS PGothic" w:cs="MS PGothic" w:eastAsia="MS PGothic" w:hAnsi="MS PGothic"/>
          <w:sz w:val="18"/>
          <w:szCs w:val="18"/>
          <w:color w:val="auto"/>
        </w:rPr>
      </w:pPr>
    </w:p>
    <w:p>
      <w:pPr>
        <w:ind w:left="42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001-38895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156845</wp:posOffset>
            </wp:positionV>
            <wp:extent cx="8572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57250" cy="1714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South Plains Financial,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620" w:type="dxa"/>
        <w:tblCellMar>
          <w:top w:w="0" w:type="dxa"/>
          <w:left w:w="0" w:type="dxa"/>
          <w:bottom w:w="0" w:type="dxa"/>
          <w:right w:w="0" w:type="dxa"/>
        </w:tblCellMar>
      </w:tblPr>
      <w:tr>
        <w:trPr>
          <w:trHeight w:val="220"/>
        </w:trPr>
        <w:tc>
          <w:tcPr>
            <w:tcW w:w="542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w w:val="97"/>
              </w:rPr>
              <w:t>Texas</w:t>
            </w:r>
          </w:p>
        </w:tc>
        <w:tc>
          <w:tcPr>
            <w:tcW w:w="376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75-2453320</w:t>
            </w:r>
          </w:p>
        </w:tc>
      </w:tr>
      <w:tr>
        <w:trPr>
          <w:trHeight w:val="234"/>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76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10"/>
        </w:trPr>
        <w:tc>
          <w:tcPr>
            <w:tcW w:w="542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9"/>
              </w:rPr>
              <w:t>5219 City Bank Parkway</w:t>
            </w:r>
          </w:p>
        </w:tc>
        <w:tc>
          <w:tcPr>
            <w:tcW w:w="3760" w:type="dxa"/>
            <w:vAlign w:val="bottom"/>
          </w:tcPr>
          <w:p>
            <w:pPr>
              <w:spacing w:after="0"/>
              <w:rPr>
                <w:sz w:val="24"/>
                <w:szCs w:val="24"/>
                <w:color w:val="auto"/>
              </w:rPr>
            </w:pPr>
          </w:p>
        </w:tc>
      </w:tr>
      <w:tr>
        <w:trPr>
          <w:trHeight w:val="220"/>
        </w:trPr>
        <w:tc>
          <w:tcPr>
            <w:tcW w:w="542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7"/>
              </w:rPr>
              <w:t>Lubbock, Texas</w:t>
            </w:r>
          </w:p>
        </w:tc>
        <w:tc>
          <w:tcPr>
            <w:tcW w:w="376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79407</w:t>
            </w:r>
          </w:p>
        </w:tc>
      </w:tr>
      <w:tr>
        <w:trPr>
          <w:trHeight w:val="234"/>
        </w:trPr>
        <w:tc>
          <w:tcPr>
            <w:tcW w:w="542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76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(806) 792-7101</w:t>
      </w:r>
    </w:p>
    <w:p>
      <w:pPr>
        <w:spacing w:after="0" w:line="22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2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6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2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$1.00 par value per share</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SPFI</w:t>
            </w:r>
          </w:p>
        </w:tc>
        <w:tc>
          <w:tcPr>
            <w:tcW w:w="4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80" w:type="dxa"/>
            <w:vAlign w:val="bottom"/>
          </w:tcPr>
          <w:p>
            <w:pPr>
              <w:ind w:left="900"/>
              <w:spacing w:after="0" w:line="181" w:lineRule="exact"/>
              <w:rPr>
                <w:sz w:val="20"/>
                <w:szCs w:val="20"/>
                <w:color w:val="auto"/>
              </w:rPr>
            </w:pPr>
            <w:r>
              <w:rPr>
                <w:rFonts w:ascii="MS PGothic" w:cs="MS PGothic" w:eastAsia="MS PGothic" w:hAnsi="MS PGothic"/>
                <w:sz w:val="18"/>
                <w:szCs w:val="18"/>
                <w:color w:val="auto"/>
              </w:rPr>
              <w:t>☐</w:t>
            </w:r>
          </w:p>
        </w:tc>
        <w:tc>
          <w:tcPr>
            <w:tcW w:w="46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Accelerated filer</w:t>
            </w:r>
          </w:p>
        </w:tc>
        <w:tc>
          <w:tcPr>
            <w:tcW w:w="9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80" w:type="dxa"/>
            <w:vAlign w:val="bottom"/>
          </w:tcPr>
          <w:p>
            <w:pPr>
              <w:ind w:left="900"/>
              <w:spacing w:after="0" w:line="181" w:lineRule="exact"/>
              <w:rPr>
                <w:sz w:val="20"/>
                <w:szCs w:val="20"/>
                <w:color w:val="auto"/>
              </w:rPr>
            </w:pPr>
            <w:r>
              <w:rPr>
                <w:rFonts w:ascii="MS PGothic" w:cs="MS PGothic" w:eastAsia="MS PGothic" w:hAnsi="MS PGothic"/>
                <w:sz w:val="18"/>
                <w:szCs w:val="18"/>
                <w:color w:val="auto"/>
              </w:rPr>
              <w:t>☐</w:t>
            </w:r>
          </w:p>
        </w:tc>
        <w:tc>
          <w:tcPr>
            <w:tcW w:w="46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9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25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6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Emerging growth company</w:t>
            </w:r>
          </w:p>
        </w:tc>
        <w:tc>
          <w:tcPr>
            <w:tcW w:w="92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August 1, 2025, the registrant had 16,236,701 shares of common stock, par value $1.00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100" w:type="dxa"/>
            <w:vAlign w:val="bottom"/>
            <w:gridSpan w:val="7"/>
          </w:tcPr>
          <w:p>
            <w:pPr>
              <w:ind w:left="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00" w:type="dxa"/>
            <w:vAlign w:val="bottom"/>
          </w:tcPr>
          <w:p>
            <w:pPr>
              <w:spacing w:after="0"/>
              <w:rPr>
                <w:sz w:val="20"/>
                <w:szCs w:val="20"/>
                <w:color w:val="auto"/>
              </w:rPr>
            </w:pPr>
          </w:p>
        </w:tc>
      </w:tr>
      <w:tr>
        <w:trPr>
          <w:trHeight w:val="439"/>
        </w:trPr>
        <w:tc>
          <w:tcPr>
            <w:tcW w:w="7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2920" w:type="dxa"/>
            <w:vAlign w:val="bottom"/>
            <w:tcBorders>
              <w:bottom w:val="single" w:sz="8" w:color="CCEEFF"/>
            </w:tcBorders>
          </w:tcPr>
          <w:p>
            <w:pPr>
              <w:spacing w:after="0"/>
              <w:rPr>
                <w:sz w:val="24"/>
                <w:szCs w:val="24"/>
                <w:color w:val="auto"/>
              </w:rPr>
            </w:pPr>
          </w:p>
        </w:tc>
        <w:tc>
          <w:tcPr>
            <w:tcW w:w="7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62"/>
        </w:trPr>
        <w:tc>
          <w:tcPr>
            <w:tcW w:w="96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PART I.</w:t>
            </w:r>
          </w:p>
        </w:tc>
        <w:tc>
          <w:tcPr>
            <w:tcW w:w="9580" w:type="dxa"/>
            <w:vAlign w:val="bottom"/>
            <w:gridSpan w:val="19"/>
            <w:shd w:val="clear" w:color="auto" w:fill="CCEEFF"/>
          </w:tcPr>
          <w:p>
            <w:pPr>
              <w:ind w:left="200"/>
              <w:spacing w:after="0" w:line="142" w:lineRule="exact"/>
              <w:rPr>
                <w:sz w:val="20"/>
                <w:szCs w:val="20"/>
                <w:color w:val="auto"/>
              </w:rPr>
            </w:pPr>
            <w:r>
              <w:rPr>
                <w:rFonts w:ascii="Times New Roman" w:cs="Times New Roman" w:eastAsia="Times New Roman" w:hAnsi="Times New Roman"/>
                <w:sz w:val="16"/>
                <w:szCs w:val="16"/>
                <w:color w:val="0000EE"/>
              </w:rPr>
              <w:t>FINANCIAL INFORMATION</w:t>
            </w:r>
          </w:p>
        </w:tc>
        <w:tc>
          <w:tcPr>
            <w:tcW w:w="7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3</w:t>
            </w:r>
          </w:p>
        </w:tc>
      </w:tr>
      <w:tr>
        <w:trPr>
          <w:trHeight w:val="34"/>
        </w:trPr>
        <w:tc>
          <w:tcPr>
            <w:tcW w:w="7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29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r>
      <w:tr>
        <w:trPr>
          <w:trHeight w:val="175"/>
        </w:trPr>
        <w:tc>
          <w:tcPr>
            <w:tcW w:w="9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580" w:type="dxa"/>
            <w:vAlign w:val="bottom"/>
            <w:gridSpan w:val="19"/>
          </w:tcPr>
          <w:p>
            <w:pPr>
              <w:ind w:left="200"/>
              <w:spacing w:after="0" w:line="176" w:lineRule="exact"/>
              <w:rPr>
                <w:sz w:val="20"/>
                <w:szCs w:val="20"/>
                <w:color w:val="auto"/>
              </w:rPr>
            </w:pPr>
            <w:r>
              <w:rPr>
                <w:rFonts w:ascii="Times New Roman" w:cs="Times New Roman" w:eastAsia="Times New Roman" w:hAnsi="Times New Roman"/>
                <w:sz w:val="18"/>
                <w:szCs w:val="18"/>
                <w:color w:val="0000EE"/>
              </w:rPr>
              <w:t>Consolidated Financial Statements</w:t>
            </w:r>
          </w:p>
        </w:tc>
        <w:tc>
          <w:tcPr>
            <w:tcW w:w="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1"/>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5"/>
        </w:trPr>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1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(Unaudited)</w:t>
            </w:r>
          </w:p>
        </w:tc>
        <w:tc>
          <w:tcPr>
            <w:tcW w:w="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10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Comprehensive Income (Unaudited)</w:t>
            </w:r>
          </w:p>
        </w:tc>
        <w:tc>
          <w:tcPr>
            <w:tcW w:w="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21"/>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1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Stockholders’ Equity (Unaudited)</w:t>
            </w:r>
          </w:p>
        </w:tc>
        <w:tc>
          <w:tcPr>
            <w:tcW w:w="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176"/>
        </w:trPr>
        <w:tc>
          <w:tcPr>
            <w:tcW w:w="76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5300" w:type="dxa"/>
            <w:vAlign w:val="bottom"/>
            <w:tcBorders>
              <w:top w:val="single" w:sz="8" w:color="0000EE"/>
            </w:tcBorders>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(Unaudited)</w:t>
            </w:r>
          </w:p>
        </w:tc>
        <w:tc>
          <w:tcPr>
            <w:tcW w:w="3800" w:type="dxa"/>
            <w:vAlign w:val="bottom"/>
            <w:tcBorders>
              <w:top w:val="single" w:sz="8" w:color="CCEEFF"/>
            </w:tcBorders>
            <w:gridSpan w:val="2"/>
          </w:tcPr>
          <w:p>
            <w:pPr>
              <w:spacing w:after="0"/>
              <w:rPr>
                <w:sz w:val="15"/>
                <w:szCs w:val="15"/>
                <w:color w:val="auto"/>
              </w:rPr>
            </w:pPr>
          </w:p>
        </w:tc>
        <w:tc>
          <w:tcPr>
            <w:tcW w:w="7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6"/>
        </w:trPr>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1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 (Unaudited)</w:t>
            </w:r>
          </w:p>
        </w:tc>
        <w:tc>
          <w:tcPr>
            <w:tcW w:w="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7</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580" w:type="dxa"/>
            <w:vAlign w:val="bottom"/>
            <w:gridSpan w:val="19"/>
          </w:tcPr>
          <w:p>
            <w:pPr>
              <w:ind w:left="20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1"/>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5"/>
        </w:trPr>
        <w:tc>
          <w:tcPr>
            <w:tcW w:w="9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580" w:type="dxa"/>
            <w:vAlign w:val="bottom"/>
            <w:gridSpan w:val="19"/>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580" w:type="dxa"/>
            <w:vAlign w:val="bottom"/>
            <w:gridSpan w:val="19"/>
          </w:tcPr>
          <w:p>
            <w:pPr>
              <w:ind w:left="20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48</w:t>
            </w: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6"/>
        </w:trPr>
        <w:tc>
          <w:tcPr>
            <w:tcW w:w="9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II.</w:t>
            </w:r>
          </w:p>
        </w:tc>
        <w:tc>
          <w:tcPr>
            <w:tcW w:w="9580" w:type="dxa"/>
            <w:vAlign w:val="bottom"/>
            <w:gridSpan w:val="19"/>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580" w:type="dxa"/>
            <w:vAlign w:val="bottom"/>
            <w:gridSpan w:val="19"/>
          </w:tcPr>
          <w:p>
            <w:pPr>
              <w:ind w:left="200"/>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6"/>
        </w:trPr>
        <w:tc>
          <w:tcPr>
            <w:tcW w:w="9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580" w:type="dxa"/>
            <w:vAlign w:val="bottom"/>
            <w:gridSpan w:val="19"/>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580" w:type="dxa"/>
            <w:vAlign w:val="bottom"/>
            <w:gridSpan w:val="19"/>
          </w:tcPr>
          <w:p>
            <w:pPr>
              <w:ind w:left="200"/>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21"/>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5"/>
        </w:trPr>
        <w:tc>
          <w:tcPr>
            <w:tcW w:w="9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580" w:type="dxa"/>
            <w:vAlign w:val="bottom"/>
            <w:gridSpan w:val="19"/>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580" w:type="dxa"/>
            <w:vAlign w:val="bottom"/>
            <w:gridSpan w:val="19"/>
          </w:tcPr>
          <w:p>
            <w:pPr>
              <w:ind w:left="200"/>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6"/>
        </w:trPr>
        <w:tc>
          <w:tcPr>
            <w:tcW w:w="9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580" w:type="dxa"/>
            <w:vAlign w:val="bottom"/>
            <w:gridSpan w:val="19"/>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580" w:type="dxa"/>
            <w:vAlign w:val="bottom"/>
            <w:gridSpan w:val="19"/>
          </w:tcPr>
          <w:p>
            <w:pPr>
              <w:ind w:left="20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50</w:t>
            </w:r>
          </w:p>
        </w:tc>
      </w:tr>
      <w:tr>
        <w:trPr>
          <w:trHeight w:val="21"/>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9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51</w:t>
            </w:r>
          </w:p>
        </w:tc>
      </w:tr>
      <w:tr>
        <w:trPr>
          <w:trHeight w:val="331"/>
        </w:trPr>
        <w:tc>
          <w:tcPr>
            <w:tcW w:w="76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880" w:type="dxa"/>
            <w:vAlign w:val="bottom"/>
            <w:tcBorders>
              <w:top w:val="single" w:sz="8" w:color="CCEEFF"/>
              <w:bottom w:val="single" w:sz="8" w:color="auto"/>
            </w:tcBorders>
          </w:tcPr>
          <w:p>
            <w:pPr>
              <w:spacing w:after="0"/>
              <w:rPr>
                <w:sz w:val="24"/>
                <w:szCs w:val="24"/>
                <w:color w:val="auto"/>
              </w:rPr>
            </w:pPr>
          </w:p>
        </w:tc>
        <w:tc>
          <w:tcPr>
            <w:tcW w:w="2920" w:type="dxa"/>
            <w:vAlign w:val="bottom"/>
            <w:tcBorders>
              <w:top w:val="single" w:sz="8" w:color="CCEEFF"/>
              <w:bottom w:val="single" w:sz="8" w:color="auto"/>
            </w:tcBorders>
          </w:tcPr>
          <w:p>
            <w:pPr>
              <w:spacing w:after="0"/>
              <w:rPr>
                <w:sz w:val="24"/>
                <w:szCs w:val="24"/>
                <w:color w:val="auto"/>
              </w:rPr>
            </w:pPr>
          </w:p>
        </w:tc>
        <w:tc>
          <w:tcPr>
            <w:tcW w:w="7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6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60" w:type="dxa"/>
            <w:vAlign w:val="bottom"/>
            <w:gridSpan w:val="2"/>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rPr>
              <w:t>SOUTH PLAINS FINANCIAL, INC. AND SUBSIDIARIES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98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98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134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6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(Unaudited)</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8680" w:type="dxa"/>
            <w:vAlign w:val="bottom"/>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66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due from banks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60,400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54,114</w:t>
            </w:r>
          </w:p>
        </w:tc>
        <w:tc>
          <w:tcPr>
            <w:tcW w:w="0" w:type="dxa"/>
            <w:vAlign w:val="bottom"/>
          </w:tcPr>
          <w:p>
            <w:pPr>
              <w:spacing w:after="0"/>
              <w:rPr>
                <w:sz w:val="1"/>
                <w:szCs w:val="1"/>
                <w:color w:val="auto"/>
              </w:rPr>
            </w:pPr>
          </w:p>
        </w:tc>
      </w:tr>
      <w:tr>
        <w:trPr>
          <w:trHeight w:val="223"/>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Interest-bearing deposits in banks</w:t>
            </w: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410,096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304,968</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470,496</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570,000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577,240</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 ($15,020 and $13,791 at fair value at June 30, 2025 and December 31, 2024, respectively)</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17,182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20,542</w:t>
            </w: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Loans held for investment</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3,098,978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3,055,054</w:t>
            </w:r>
          </w:p>
        </w:tc>
        <w:tc>
          <w:tcPr>
            <w:tcW w:w="0" w:type="dxa"/>
            <w:vAlign w:val="bottom"/>
          </w:tcPr>
          <w:p>
            <w:pPr>
              <w:spacing w:after="0"/>
              <w:rPr>
                <w:sz w:val="1"/>
                <w:szCs w:val="1"/>
                <w:color w:val="auto"/>
              </w:rPr>
            </w:pPr>
          </w:p>
        </w:tc>
      </w:tr>
      <w:tr>
        <w:trPr>
          <w:trHeight w:val="223"/>
        </w:trPr>
        <w:tc>
          <w:tcPr>
            <w:tcW w:w="86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Allowance for credit losses on loans</w:t>
            </w: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(45,010)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(43,237)</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gridSpan w:val="4"/>
          </w:tcPr>
          <w:p>
            <w:pPr>
              <w:ind w:left="180"/>
              <w:spacing w:after="0"/>
              <w:rPr>
                <w:sz w:val="20"/>
                <w:szCs w:val="20"/>
                <w:color w:val="auto"/>
              </w:rPr>
            </w:pPr>
            <w:r>
              <w:rPr>
                <w:rFonts w:ascii="Times New Roman" w:cs="Times New Roman" w:eastAsia="Times New Roman" w:hAnsi="Times New Roman"/>
                <w:sz w:val="18"/>
                <w:szCs w:val="18"/>
                <w:color w:val="auto"/>
              </w:rPr>
              <w:t>Loans held for investment, net</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3,053,968</w:t>
            </w: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3,011,817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17,996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21,687</w:t>
            </w: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51,329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52,951</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Bank-owned life insurance</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76,859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76,054</w:t>
            </w: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19,315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19,315</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1,720</w:t>
            </w: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Mortgage servicing rights</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25,134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26,292</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 net</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23,469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22,840</w:t>
            </w:r>
          </w:p>
        </w:tc>
        <w:tc>
          <w:tcPr>
            <w:tcW w:w="0" w:type="dxa"/>
            <w:vAlign w:val="bottom"/>
          </w:tcPr>
          <w:p>
            <w:pPr>
              <w:spacing w:after="0"/>
              <w:rPr>
                <w:sz w:val="1"/>
                <w:szCs w:val="1"/>
                <w:color w:val="auto"/>
              </w:rPr>
            </w:pPr>
          </w:p>
        </w:tc>
      </w:tr>
      <w:tr>
        <w:trPr>
          <w:trHeight w:val="223"/>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9"/>
                <w:szCs w:val="19"/>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36,509</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42,699</w:t>
            </w:r>
          </w:p>
        </w:tc>
        <w:tc>
          <w:tcPr>
            <w:tcW w:w="0" w:type="dxa"/>
            <w:vAlign w:val="bottom"/>
          </w:tcPr>
          <w:p>
            <w:pPr>
              <w:spacing w:after="0"/>
              <w:rPr>
                <w:sz w:val="1"/>
                <w:szCs w:val="1"/>
                <w:color w:val="auto"/>
              </w:rPr>
            </w:pPr>
          </w:p>
        </w:tc>
      </w:tr>
      <w:tr>
        <w:trPr>
          <w:trHeight w:val="256"/>
        </w:trPr>
        <w:tc>
          <w:tcPr>
            <w:tcW w:w="868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4,363,674</w:t>
            </w:r>
          </w:p>
        </w:tc>
        <w:tc>
          <w:tcPr>
            <w:tcW w:w="20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4,232,239</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49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6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680" w:type="dxa"/>
            <w:vAlign w:val="bottom"/>
            <w:tcBorders>
              <w:top w:val="single" w:sz="8" w:color="auto"/>
            </w:tcBorders>
          </w:tcPr>
          <w:p>
            <w:pPr>
              <w:spacing w:after="0"/>
              <w:rPr>
                <w:sz w:val="18"/>
                <w:szCs w:val="18"/>
                <w:color w:val="auto"/>
              </w:rPr>
            </w:pPr>
          </w:p>
        </w:tc>
        <w:tc>
          <w:tcPr>
            <w:tcW w:w="4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Noninterest-bearing</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998,759</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935,510</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Interest-bearing</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2,740,179</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2,685,366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Total deposits</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3,738,938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3,620,876</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58,863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62,060</w:t>
            </w: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debt</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64,054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63,961</w:t>
            </w:r>
          </w:p>
        </w:tc>
        <w:tc>
          <w:tcPr>
            <w:tcW w:w="0" w:type="dxa"/>
            <w:vAlign w:val="bottom"/>
          </w:tcPr>
          <w:p>
            <w:pPr>
              <w:spacing w:after="0"/>
              <w:rPr>
                <w:sz w:val="1"/>
                <w:szCs w:val="1"/>
                <w:color w:val="auto"/>
              </w:rPr>
            </w:pPr>
          </w:p>
        </w:tc>
      </w:tr>
      <w:tr>
        <w:trPr>
          <w:trHeight w:val="223"/>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Junior subordinated deferrable interest debentures</w:t>
            </w:r>
          </w:p>
        </w:tc>
        <w:tc>
          <w:tcPr>
            <w:tcW w:w="100" w:type="dxa"/>
            <w:vAlign w:val="bottom"/>
          </w:tcPr>
          <w:p>
            <w:pPr>
              <w:spacing w:after="0"/>
              <w:rPr>
                <w:sz w:val="19"/>
                <w:szCs w:val="19"/>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46,393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46,393</w:t>
            </w:r>
          </w:p>
        </w:tc>
        <w:tc>
          <w:tcPr>
            <w:tcW w:w="0" w:type="dxa"/>
            <w:vAlign w:val="bottom"/>
          </w:tcPr>
          <w:p>
            <w:pPr>
              <w:spacing w:after="0"/>
              <w:rPr>
                <w:sz w:val="1"/>
                <w:szCs w:val="1"/>
                <w:color w:val="auto"/>
              </w:rPr>
            </w:pPr>
          </w:p>
        </w:tc>
      </w:tr>
      <w:tr>
        <w:trPr>
          <w:trHeight w:val="223"/>
        </w:trPr>
        <w:tc>
          <w:tcPr>
            <w:tcW w:w="868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3,909,600</w:t>
            </w:r>
          </w:p>
        </w:tc>
        <w:tc>
          <w:tcPr>
            <w:tcW w:w="20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3,793,290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49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gridSpan w:val="4"/>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$1.00 par value per share, 30,000,000 shares authorized; 16,230,475 and 16,455,826 issued and</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outstanding at June 30, 2025 and December 31, 2024, respectively</w:t>
            </w:r>
          </w:p>
        </w:tc>
        <w:tc>
          <w:tcPr>
            <w:tcW w:w="100" w:type="dxa"/>
            <w:vAlign w:val="bottom"/>
          </w:tcPr>
          <w:p>
            <w:pPr>
              <w:spacing w:after="0"/>
              <w:rPr>
                <w:sz w:val="20"/>
                <w:szCs w:val="20"/>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16,230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16,456</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90,268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97,287</w:t>
            </w:r>
          </w:p>
        </w:tc>
        <w:tc>
          <w:tcPr>
            <w:tcW w:w="0" w:type="dxa"/>
            <w:vAlign w:val="bottom"/>
          </w:tcPr>
          <w:p>
            <w:pPr>
              <w:spacing w:after="0"/>
              <w:rPr>
                <w:sz w:val="1"/>
                <w:szCs w:val="1"/>
                <w:color w:val="auto"/>
              </w:rPr>
            </w:pPr>
          </w:p>
        </w:tc>
      </w:tr>
      <w:tr>
        <w:trPr>
          <w:trHeight w:val="216"/>
        </w:trPr>
        <w:tc>
          <w:tcPr>
            <w:tcW w:w="86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407,822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385,827</w:t>
            </w:r>
          </w:p>
        </w:tc>
        <w:tc>
          <w:tcPr>
            <w:tcW w:w="0" w:type="dxa"/>
            <w:vAlign w:val="bottom"/>
          </w:tcPr>
          <w:p>
            <w:pPr>
              <w:spacing w:after="0"/>
              <w:rPr>
                <w:sz w:val="1"/>
                <w:szCs w:val="1"/>
                <w:color w:val="auto"/>
              </w:rPr>
            </w:pPr>
          </w:p>
        </w:tc>
      </w:tr>
      <w:tr>
        <w:trPr>
          <w:trHeight w:val="223"/>
        </w:trPr>
        <w:tc>
          <w:tcPr>
            <w:tcW w:w="86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(60,246)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(60,621)</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tcBorders>
            <w:gridSpan w:val="4"/>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454,074</w:t>
            </w:r>
          </w:p>
        </w:tc>
        <w:tc>
          <w:tcPr>
            <w:tcW w:w="20" w:type="dxa"/>
            <w:vAlign w:val="bottom"/>
            <w:tcBorders>
              <w:top w:val="single" w:sz="8" w:color="CCEEFF"/>
              <w:bottom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438,949</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680" w:type="dxa"/>
            <w:vAlign w:val="bottom"/>
            <w:tcBorders>
              <w:bottom w:val="single" w:sz="8" w:color="CCEEFF"/>
            </w:tcBorders>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4,363,674</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4,232,239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PLAINS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including fees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53,886</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50,571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104,456</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99,503</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Taxable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5,285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9,392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10,796</w:t>
            </w: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Non-taxable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1,603</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 funds sold and interest-bearing deposits in banks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8,606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6,020</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interest income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64,135</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59,208</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124,057</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117,935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21,629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39,889</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43,292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Subordinated debt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1,670</w:t>
            </w:r>
          </w:p>
        </w:tc>
        <w:tc>
          <w:tcPr>
            <w:tcW w:w="0" w:type="dxa"/>
            <w:vAlign w:val="bottom"/>
          </w:tcPr>
          <w:p>
            <w:pPr>
              <w:spacing w:after="0"/>
              <w:rPr>
                <w:sz w:val="1"/>
                <w:szCs w:val="1"/>
                <w:color w:val="auto"/>
              </w:rPr>
            </w:pPr>
          </w:p>
        </w:tc>
      </w:tr>
      <w:tr>
        <w:trPr>
          <w:trHeight w:val="22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Junior subordinated deferrable interest debentures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856</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1,468</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1,717</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interest expense</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21,632</w:t>
            </w:r>
          </w:p>
        </w:tc>
        <w:tc>
          <w:tcPr>
            <w:tcW w:w="2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43,027</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46,679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35,888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81,030</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71,256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2,920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2,605</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interest income, after provision for credit losses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34,113</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78,110</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68,651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 income:</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4,239</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3,762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gain on sales of loans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2,788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5,246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5,442</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Bank card services and interchange fees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4,052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7,150</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7,113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mortgage banking income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1,900</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commissions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860</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Fiduciary fees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1,474</w:t>
            </w:r>
          </w:p>
        </w:tc>
        <w:tc>
          <w:tcPr>
            <w:tcW w:w="0" w:type="dxa"/>
            <w:vAlign w:val="bottom"/>
          </w:tcPr>
          <w:p>
            <w:pPr>
              <w:spacing w:after="0"/>
              <w:rPr>
                <w:sz w:val="1"/>
                <w:szCs w:val="1"/>
                <w:color w:val="auto"/>
              </w:rPr>
            </w:pPr>
          </w:p>
        </w:tc>
      </w:tr>
      <w:tr>
        <w:trPr>
          <w:trHeight w:val="22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2,141</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3,390</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3,543</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noninterest income</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12,165</w:t>
            </w:r>
          </w:p>
        </w:tc>
        <w:tc>
          <w:tcPr>
            <w:tcW w:w="2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22,790</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Noninterest expense: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19,708</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19,199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39,149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38,187</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Occupancy and equipment,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4,029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7,999</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7,949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Professional services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3,604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3,221</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Marketing and development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1,824</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 and data services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2,345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2,076</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Bank card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3,033</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Appraisal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2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3,915</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8,191</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8,086</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33,543</w:t>
            </w:r>
          </w:p>
        </w:tc>
        <w:tc>
          <w:tcPr>
            <w:tcW w:w="2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66,573</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64,502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14,250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34,327</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28,267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7,428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6,259</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14,605</w:t>
            </w:r>
          </w:p>
        </w:tc>
        <w:tc>
          <w:tcPr>
            <w:tcW w:w="26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11,134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26,899</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22,008</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59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26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14,605</w:t>
            </w:r>
          </w:p>
        </w:tc>
        <w:tc>
          <w:tcPr>
            <w:tcW w:w="26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11,134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26,899</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22,008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gains (losses) on securities available for sale</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(1,341)</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4,299</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(10,269)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Change in fair value on hedged state and municipal securities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(1,573)</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(3,825)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920</w:t>
            </w:r>
          </w:p>
        </w:tc>
        <w:tc>
          <w:tcPr>
            <w:tcW w:w="0" w:type="dxa"/>
            <w:vAlign w:val="bottom"/>
          </w:tcPr>
          <w:p>
            <w:pPr>
              <w:spacing w:after="0"/>
              <w:rPr>
                <w:sz w:val="1"/>
                <w:szCs w:val="1"/>
                <w:color w:val="auto"/>
              </w:rPr>
            </w:pPr>
          </w:p>
        </w:tc>
      </w:tr>
      <w:tr>
        <w:trPr>
          <w:trHeight w:val="223"/>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effect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1,963</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2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Comprehensive income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12,303</w:t>
            </w:r>
          </w:p>
        </w:tc>
        <w:tc>
          <w:tcPr>
            <w:tcW w:w="26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11,211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27,274</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14,622</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PLAINS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700" w:type="dxa"/>
            <w:vAlign w:val="bottom"/>
            <w:gridSpan w:val="5"/>
            <w:vMerge w:val="restart"/>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280" w:type="dxa"/>
            <w:vAlign w:val="bottom"/>
          </w:tcPr>
          <w:p>
            <w:pPr>
              <w:spacing w:after="0"/>
              <w:rPr>
                <w:sz w:val="18"/>
                <w:szCs w:val="18"/>
                <w:color w:val="auto"/>
              </w:rPr>
            </w:pPr>
          </w:p>
        </w:tc>
        <w:tc>
          <w:tcPr>
            <w:tcW w:w="270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tcPr>
          <w:p>
            <w:pPr>
              <w:spacing w:after="0"/>
              <w:rPr>
                <w:sz w:val="19"/>
                <w:szCs w:val="19"/>
                <w:color w:val="auto"/>
              </w:rPr>
            </w:pPr>
          </w:p>
        </w:tc>
        <w:tc>
          <w:tcPr>
            <w:tcW w:w="1380" w:type="dxa"/>
            <w:vAlign w:val="bottom"/>
            <w:tcBorders>
              <w:top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220" w:type="dxa"/>
            <w:vAlign w:val="bottom"/>
          </w:tcPr>
          <w:p>
            <w:pPr>
              <w:spacing w:after="0"/>
              <w:rPr>
                <w:sz w:val="19"/>
                <w:szCs w:val="19"/>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16,417,099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16,417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97,107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345,264</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(51,674)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407,114</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22,008</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22,008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declared - $0.27 per share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(4,417)</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(4,417)</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(7,386)</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(7,386)</w:t>
            </w: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issuance of stock related to stock-</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based awards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20,721</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(13,799)</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(326)</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1,138</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16,424,021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16,424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97,766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362,855</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(59,060)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417,985</w:t>
            </w: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2025</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16,455,826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16,456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97,287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385,827</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(60,621)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438,949</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26,899</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26,899</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declared - $0.30 per share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(4,904)</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(4,904)</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issuance of stock related to stock-</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based awards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24,981</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(301)</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 issued under employee stock</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purchase plan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8,714</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(259,046)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(8,267)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(8,526)</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1,323</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1,323</w:t>
            </w:r>
          </w:p>
        </w:tc>
        <w:tc>
          <w:tcPr>
            <w:tcW w:w="0" w:type="dxa"/>
            <w:vAlign w:val="bottom"/>
          </w:tcPr>
          <w:p>
            <w:pPr>
              <w:spacing w:after="0"/>
              <w:rPr>
                <w:sz w:val="1"/>
                <w:szCs w:val="1"/>
                <w:color w:val="auto"/>
              </w:rPr>
            </w:pPr>
          </w:p>
        </w:tc>
      </w:tr>
      <w:tr>
        <w:trPr>
          <w:trHeight w:val="256"/>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16,230,475</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16,230</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90,268</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407,822</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(60,246)</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454,074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16,431,755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16,432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97,406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354,011</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(59,137)</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408,712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11,134</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11,134</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declared - $0.14 per share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(2,290)</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(2,290)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issuance of stock related to stock-</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based awards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4,659</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(12,393)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657</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256"/>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16,424,021</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16,424</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97,766</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362,855</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(59,060)</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417,985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2025</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16,235,647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16,236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89,799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395,652</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(57,944)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443,743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14,605</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14,605</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declared - $0.15 per share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(2,435)</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(2,435)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(2,302)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(2,302)</w:t>
            </w:r>
          </w:p>
        </w:tc>
        <w:tc>
          <w:tcPr>
            <w:tcW w:w="0" w:type="dxa"/>
            <w:vAlign w:val="bottom"/>
          </w:tcPr>
          <w:p>
            <w:pPr>
              <w:spacing w:after="0"/>
              <w:rPr>
                <w:sz w:val="1"/>
                <w:szCs w:val="1"/>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issuance of stock related to stock-</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based awards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(9,046)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754</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754</w:t>
            </w: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16,230,475</w:t>
            </w:r>
          </w:p>
        </w:tc>
        <w:tc>
          <w:tcPr>
            <w:tcW w:w="260" w:type="dxa"/>
            <w:vAlign w:val="bottom"/>
            <w:tcBorders>
              <w:bottom w:val="single" w:sz="8" w:color="auto"/>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16,230</w:t>
            </w:r>
          </w:p>
        </w:tc>
        <w:tc>
          <w:tcPr>
            <w:tcW w:w="2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90,268</w:t>
            </w:r>
          </w:p>
        </w:tc>
        <w:tc>
          <w:tcPr>
            <w:tcW w:w="2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407,822</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(60,246)</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454,074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rPr>
              <w:t>SOUTH PLAINS FINANCIAL, INC. AND SUBSIDIARIES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020" w:type="dxa"/>
            <w:vAlign w:val="bottom"/>
          </w:tcPr>
          <w:p>
            <w:pPr>
              <w:spacing w:after="0"/>
              <w:rPr>
                <w:sz w:val="20"/>
                <w:szCs w:val="20"/>
                <w:color w:val="auto"/>
              </w:rPr>
            </w:pPr>
          </w:p>
        </w:tc>
        <w:tc>
          <w:tcPr>
            <w:tcW w:w="766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22,008</w:t>
            </w:r>
          </w:p>
        </w:tc>
      </w:tr>
      <w:tr>
        <w:trPr>
          <w:trHeight w:val="216"/>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2,605</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3,257</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Accretion and amortization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1,346</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gains, net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(266)</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gain on sales of loans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(5,246)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(5,442)</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Proceeds from sales of loans held for sale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145,512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154,753</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Loans originated for sale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(137,489)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(151,879)</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(728)</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(944)</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Earnings on bank-owned life insurance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(750)</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1,138</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valuation of mortgage servicing rights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625</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change in: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Accrued interest receivable and other 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3,916</w:t>
            </w:r>
          </w:p>
        </w:tc>
      </w:tr>
      <w:tr>
        <w:trPr>
          <w:trHeight w:val="223"/>
        </w:trPr>
        <w:tc>
          <w:tcPr>
            <w:tcW w:w="8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(3,367)</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6,754</w:t>
            </w:r>
          </w:p>
        </w:tc>
      </w:tr>
      <w:tr>
        <w:trPr>
          <w:trHeight w:val="223"/>
        </w:trPr>
        <w:tc>
          <w:tcPr>
            <w:tcW w:w="868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40,841</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Activity in securities available for sale: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(9,374)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(299,849)</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Maturities, prepayments, and calls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320,058</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 originations and principal collections,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(45,880)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(82,575)</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Purchases of premises and equipment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(2,862)</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(1,552)</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sales of premises and equipment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w:t>
            </w:r>
          </w:p>
        </w:tc>
      </w:tr>
      <w:tr>
        <w:trPr>
          <w:trHeight w:val="22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sales of foreclosed assets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889</w:t>
            </w:r>
          </w:p>
        </w:tc>
      </w:tr>
      <w:tr>
        <w:trPr>
          <w:trHeight w:val="223"/>
        </w:trPr>
        <w:tc>
          <w:tcPr>
            <w:tcW w:w="868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(35,369)</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(62,960)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change in deposits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118,062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(1,640)</w:t>
            </w:r>
          </w:p>
        </w:tc>
      </w:tr>
      <w:tr>
        <w:trPr>
          <w:trHeight w:val="216"/>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change in short-term borrowings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Proceeds from common stock issuance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to tax authorities for stock-based compensation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Cash dividends paid on common stock</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(4,904)</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(4,417)</w:t>
            </w:r>
          </w:p>
        </w:tc>
      </w:tr>
      <w:tr>
        <w:trPr>
          <w:trHeight w:val="216"/>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to repurchase common stock</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(8,526)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(340)</w:t>
            </w:r>
          </w:p>
        </w:tc>
      </w:tr>
      <w:tr>
        <w:trPr>
          <w:trHeight w:val="27"/>
        </w:trPr>
        <w:tc>
          <w:tcPr>
            <w:tcW w:w="1020" w:type="dxa"/>
            <w:vAlign w:val="bottom"/>
            <w:shd w:val="clear" w:color="auto" w:fill="CCEEFF"/>
          </w:tcPr>
          <w:p>
            <w:pPr>
              <w:spacing w:after="0"/>
              <w:rPr>
                <w:sz w:val="2"/>
                <w:szCs w:val="2"/>
                <w:color w:val="auto"/>
              </w:rPr>
            </w:pPr>
          </w:p>
        </w:tc>
        <w:tc>
          <w:tcPr>
            <w:tcW w:w="76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105,942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(6,529)</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111,414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(32,152)</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cash and cash equivalents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359,082</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330,158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Ending cash and cash equivalents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470,496</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298,006</w:t>
            </w:r>
          </w:p>
        </w:tc>
      </w:tr>
      <w:tr>
        <w:trPr>
          <w:trHeight w:val="20"/>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paid on deposits and borrowed funds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45,667</w:t>
            </w:r>
          </w:p>
        </w:tc>
      </w:tr>
      <w:tr>
        <w:trPr>
          <w:trHeight w:val="216"/>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 taxes paid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3,625</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schedule of noncash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Loans transferred to foreclosed assets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732</w:t>
            </w:r>
          </w:p>
        </w:tc>
      </w:tr>
      <w:tr>
        <w:trPr>
          <w:trHeight w:val="216"/>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Additions to mortgage servicing rights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PLAINS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227" w:lineRule="exact"/>
        <w:rPr>
          <w:sz w:val="20"/>
          <w:szCs w:val="20"/>
          <w:color w:val="auto"/>
        </w:rPr>
      </w:pPr>
    </w:p>
    <w:p>
      <w:pPr>
        <w:jc w:val="both"/>
        <w:ind w:firstLine="1"/>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Nature of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South Plains Financial, Inc. (“SPFI”) is a Texas corporation and registered bank holding company that conducts its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through its subsidiaries from offices located throughout Texas and Eastern New Mexico. Principal activities include commercial and retail banking, along with investment, trust, and mortgage services. The following were subsidiaries of SPFI as of June 30, 2025:</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Wholly-Owned, Consolidated Subsidiaries:</w:t>
            </w:r>
          </w:p>
        </w:tc>
        <w:tc>
          <w:tcPr>
            <w:tcW w:w="6380" w:type="dxa"/>
            <w:vAlign w:val="bottom"/>
          </w:tcPr>
          <w:p>
            <w:pPr>
              <w:spacing w:after="0"/>
              <w:rPr>
                <w:sz w:val="20"/>
                <w:szCs w:val="20"/>
                <w:color w:val="auto"/>
              </w:rPr>
            </w:pPr>
          </w:p>
        </w:tc>
      </w:tr>
      <w:tr>
        <w:trPr>
          <w:trHeight w:val="216"/>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City Bank</w:t>
            </w:r>
          </w:p>
        </w:tc>
        <w:tc>
          <w:tcPr>
            <w:tcW w:w="63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Bank subsidiary</w:t>
            </w:r>
          </w:p>
        </w:tc>
      </w:tr>
      <w:tr>
        <w:trPr>
          <w:trHeight w:val="216"/>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Ruidoso Retail, Inc.</w:t>
            </w:r>
          </w:p>
        </w:tc>
        <w:tc>
          <w:tcPr>
            <w:tcW w:w="63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Non-bank subsidiary</w:t>
            </w:r>
          </w:p>
        </w:tc>
      </w:tr>
      <w:tr>
        <w:trPr>
          <w:trHeight w:val="216"/>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CB Provence, LLC</w:t>
            </w:r>
          </w:p>
        </w:tc>
        <w:tc>
          <w:tcPr>
            <w:tcW w:w="63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Non-bank subsidiary</w:t>
            </w:r>
          </w:p>
        </w:tc>
      </w:tr>
      <w:tr>
        <w:trPr>
          <w:trHeight w:val="216"/>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CBT Brushy Creek, LLC</w:t>
            </w:r>
          </w:p>
        </w:tc>
        <w:tc>
          <w:tcPr>
            <w:tcW w:w="63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Non-bank subsidiary</w:t>
            </w:r>
          </w:p>
        </w:tc>
      </w:tr>
      <w:tr>
        <w:trPr>
          <w:trHeight w:val="216"/>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CBT Properties, LLC</w:t>
            </w:r>
          </w:p>
        </w:tc>
        <w:tc>
          <w:tcPr>
            <w:tcW w:w="63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Non-bank subsidiary</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Wholly-Owned, Equity Method Subsidiaries:</w:t>
            </w:r>
          </w:p>
        </w:tc>
        <w:tc>
          <w:tcPr>
            <w:tcW w:w="6380" w:type="dxa"/>
            <w:vAlign w:val="bottom"/>
          </w:tcPr>
          <w:p>
            <w:pPr>
              <w:spacing w:after="0"/>
              <w:rPr>
                <w:sz w:val="18"/>
                <w:szCs w:val="18"/>
                <w:color w:val="auto"/>
              </w:rPr>
            </w:pPr>
          </w:p>
        </w:tc>
      </w:tr>
      <w:tr>
        <w:trPr>
          <w:trHeight w:val="216"/>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South Plains Financial Capital Trusts (“SPFCT”) III-V</w:t>
            </w:r>
          </w:p>
        </w:tc>
        <w:tc>
          <w:tcPr>
            <w:tcW w:w="63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Non-bank subsidiaries</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Basis of Presentation and Consolidation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in this Quarterly Report on Form 10-Q for the three and six months ended June 30, 2025 (this “Form 10-Q”) include the accounts of SPFI and its wholly-owned consolidated subsidiaries (collectively referred to as the “Company”) identified above. All significant intercompany balances and transactions have been eliminated in consolidation.</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interim consolidated financial statements in this Form 10-Q have not been audited by an independent registered public accounting firm, but in the opinion of management, reflect all adjustments necessary for a fair presentation of the Company’s financial position, results of operations, and cash flows. All such adjustments were of a normal and recurring nature. The consolidated financial statements have been prepared in accordance with accounting principles generally accepted in the United States of America (“GAAP”) for interim financial information and with the instructions to Form 10-Q adopted by the U.S. Securities and Exchange Commission (“SEC”). Accordingly, the financial statements do not include all of the information and notes required by GAAP for complete financial statements and should be read in conjunction with the Company’s audited consolidated financial statements, and notes thereto in the Company’s Annual Report on Form 10-K for the year ended December 31, 2024 as filed with the SEC on March 7, 2025 (the “2024 Annual Report on Form 10-K”). Operating results for the interim periods disclosed herein are not necessarily indicative of the results that may be expected for a full year or any future period.</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Use of Estimates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preparation of financial statements in conformity with GAAP requires management to make estimates and assumptions that affect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reported amounts of assets and liabilities and disclosure of contingent assets and liabilities at the date of the financial statements and the reported amounts of revenues and expenses during the reporting period. Actual results could differ from those estimates. Determination of the adequacy of the allowance for credit losses (“ACL”) is a material estimate that is particularly susceptible to significant change in the near term; the assumptions used in stock-based compensation, derivatives, mortgage servicing rights, and fair values of financial instruments can also involve significant management estimates.</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Recent Accounting Pronouncements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Updates to the Financial Accounting Standards Board (“FASB”) Accounting Standards Codification (“ASC”)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prescribed in Accounting Standards Updates (“ASUs”), which are not authoritative until incorporated into the ASC.</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ASU 2023-06, Disclosure Improvements: Codification Amendments in Response to the SEC’s Disclosure Update and Simplification Initiative.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amendments in this ASU modify the disclosure or presentation requirements of a variety of Topics in the Codification. Certain of the amendments represent clarifications to, or technical corrections of the current requirements. Each amendment in the ASU will only become effective if the SEC removes the related disclosure or presentation requirement from its existing regulations by June 30, 2027. The amendments in this ASU are not expected to have a material impact on the Company’s financial statements.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ASU 2023-09, Income Taxes (Topic 740): Improvements to Income Tax Disclosures. </w:t>
      </w:r>
      <w:r>
        <w:rPr>
          <w:rFonts w:ascii="Times New Roman" w:cs="Times New Roman" w:eastAsia="Times New Roman" w:hAnsi="Times New Roman"/>
          <w:sz w:val="18"/>
          <w:szCs w:val="18"/>
          <w:color w:val="auto"/>
        </w:rPr>
        <w:t>The amendments in this ASU are intended to improve the transparency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income tax disclosures by requiring consistent categories and greater disaggregation of information in the rate reconciliation and income taxes paid disaggregated by jurisdiction. It also includes certain other amendments intended to improve the effectiveness of income tax disclosures. This ASU is effective for annual periods beginning after December 15, 2024. The adoption of this ASU is not expected to have a material effect on the Company’s financial statements.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ASU 2024-03, Income Statement—Reporting Comprehensive Income—Expense Disaggregation Disclosures (Subtopic 220-40)</w:t>
      </w:r>
      <w:r>
        <w:rPr>
          <w:rFonts w:ascii="Times New Roman" w:cs="Times New Roman" w:eastAsia="Times New Roman" w:hAnsi="Times New Roman"/>
          <w:sz w:val="18"/>
          <w:szCs w:val="18"/>
          <w:color w:val="auto"/>
        </w:rPr>
        <w:t>: Disaggregation of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Expenses. This ASU requires public companies to disclose in a tabular format, in the notes to the financial statements, specific disaggregated information about certain prescribed categories of expenses at each interim and annual reporting period. The prescribed categories include, among other things, employee compensation, depreciation, and intangible asset amortization. This ASU is effective for public business entities for annual reporting periods beginning after December 15, 2026, and interim reporting periods beginning after December 15, 2027. Implementation of this ASU may be applied prospectively or retrospectively. The Company does not expect the adoption of this ASU to have a material impact on the Company’s financial statements.</w:t>
      </w:r>
    </w:p>
    <w:p>
      <w:pPr>
        <w:spacing w:after="0" w:line="18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Subsequent Events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Company has evaluated subsequent events and transactions from June 30, 2025 through the date this Form 10-Q was filed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 for potential recognition or disclosure as required by GAAP.</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amortized cost, related gross unrealized gains and losses, allowance for credit losses, and estimated fair value of securities available for sale at the dates indicated is presented below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for Credit</w:t>
            </w: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Fair</w:t>
            </w:r>
          </w:p>
        </w:tc>
      </w:tr>
      <w:tr>
        <w:trPr>
          <w:trHeight w:val="245"/>
        </w:trPr>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20" w:type="dxa"/>
            <w:vAlign w:val="bottom"/>
          </w:tcPr>
          <w:p>
            <w:pPr>
              <w:spacing w:after="0"/>
              <w:rPr>
                <w:sz w:val="21"/>
                <w:szCs w:val="21"/>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1"/>
                <w:szCs w:val="21"/>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176"/>
        </w:trPr>
        <w:tc>
          <w:tcPr>
            <w:tcW w:w="1020" w:type="dxa"/>
            <w:vAlign w:val="bottom"/>
            <w:tcBorders>
              <w:bottom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9"/>
              </w:rPr>
              <w:t>June 30, 2025</w:t>
            </w:r>
          </w:p>
        </w:tc>
        <w:tc>
          <w:tcPr>
            <w:tcW w:w="3600" w:type="dxa"/>
            <w:vAlign w:val="bottom"/>
            <w:gridSpan w:val="2"/>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Available for sale:</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and municipal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197,553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(31,965)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165,591</w:t>
            </w:r>
          </w:p>
        </w:tc>
      </w:tr>
      <w:tr>
        <w:trPr>
          <w:trHeight w:val="216"/>
        </w:trPr>
        <w:tc>
          <w:tcPr>
            <w:tcW w:w="4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316,141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(49,332)</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266,874</w:t>
            </w:r>
          </w:p>
        </w:tc>
      </w:tr>
      <w:tr>
        <w:trPr>
          <w:trHeight w:val="216"/>
        </w:trPr>
        <w:tc>
          <w:tcPr>
            <w:tcW w:w="4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45,934</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(4,714)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41,220</w:t>
            </w:r>
          </w:p>
        </w:tc>
      </w:tr>
      <w:tr>
        <w:trPr>
          <w:trHeight w:val="216"/>
        </w:trPr>
        <w:tc>
          <w:tcPr>
            <w:tcW w:w="4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Commercial collateralized mortgage obligations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70,805</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70,651</w:t>
            </w:r>
          </w:p>
        </w:tc>
      </w:tr>
      <w:tr>
        <w:trPr>
          <w:trHeight w:val="216"/>
        </w:trPr>
        <w:tc>
          <w:tcPr>
            <w:tcW w:w="4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and other amortizing securities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15,042</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14,016</w:t>
            </w:r>
          </w:p>
        </w:tc>
      </w:tr>
      <w:tr>
        <w:trPr>
          <w:trHeight w:val="223"/>
        </w:trPr>
        <w:tc>
          <w:tcPr>
            <w:tcW w:w="4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securities</w:t>
            </w:r>
          </w:p>
        </w:tc>
        <w:tc>
          <w:tcPr>
            <w:tcW w:w="1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12,000</w:t>
            </w:r>
          </w:p>
        </w:tc>
        <w:tc>
          <w:tcPr>
            <w:tcW w:w="1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tcPr>
          <w:p>
            <w:pPr>
              <w:spacing w:after="0"/>
              <w:rPr>
                <w:sz w:val="19"/>
                <w:szCs w:val="19"/>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11,648</w:t>
            </w:r>
          </w:p>
        </w:tc>
      </w:tr>
      <w:tr>
        <w:trPr>
          <w:trHeight w:val="257"/>
        </w:trPr>
        <w:tc>
          <w:tcPr>
            <w:tcW w:w="10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3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657,475</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(87,602)</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570,000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385"/>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1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Available for sale:</w:t>
            </w:r>
          </w:p>
        </w:tc>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and municipal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199,588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(26,292)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173,297</w:t>
            </w:r>
          </w:p>
        </w:tc>
      </w:tr>
      <w:tr>
        <w:trPr>
          <w:trHeight w:val="216"/>
        </w:trPr>
        <w:tc>
          <w:tcPr>
            <w:tcW w:w="4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321,021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(56,925)</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264,096</w:t>
            </w:r>
          </w:p>
        </w:tc>
      </w:tr>
      <w:tr>
        <w:trPr>
          <w:trHeight w:val="216"/>
        </w:trPr>
        <w:tc>
          <w:tcPr>
            <w:tcW w:w="4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46,601</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(6,241)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40,360</w:t>
            </w:r>
          </w:p>
        </w:tc>
      </w:tr>
      <w:tr>
        <w:trPr>
          <w:trHeight w:val="216"/>
        </w:trPr>
        <w:tc>
          <w:tcPr>
            <w:tcW w:w="4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Commercial collateralized mortgage obligations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73,697</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73,483</w:t>
            </w:r>
          </w:p>
        </w:tc>
      </w:tr>
      <w:tr>
        <w:trPr>
          <w:trHeight w:val="216"/>
        </w:trPr>
        <w:tc>
          <w:tcPr>
            <w:tcW w:w="4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and other amortizing securities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16,107</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(1,526)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14,581</w:t>
            </w:r>
          </w:p>
        </w:tc>
      </w:tr>
      <w:tr>
        <w:trPr>
          <w:trHeight w:val="223"/>
        </w:trPr>
        <w:tc>
          <w:tcPr>
            <w:tcW w:w="4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securities</w:t>
            </w:r>
          </w:p>
        </w:tc>
        <w:tc>
          <w:tcPr>
            <w:tcW w:w="1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12,000</w:t>
            </w:r>
          </w:p>
        </w:tc>
        <w:tc>
          <w:tcPr>
            <w:tcW w:w="1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(577)</w:t>
            </w:r>
          </w:p>
        </w:tc>
        <w:tc>
          <w:tcPr>
            <w:tcW w:w="120" w:type="dxa"/>
            <w:vAlign w:val="bottom"/>
          </w:tcPr>
          <w:p>
            <w:pPr>
              <w:spacing w:after="0"/>
              <w:rPr>
                <w:sz w:val="19"/>
                <w:szCs w:val="19"/>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11,423</w:t>
            </w:r>
          </w:p>
        </w:tc>
      </w:tr>
      <w:tr>
        <w:trPr>
          <w:trHeight w:val="256"/>
        </w:trPr>
        <w:tc>
          <w:tcPr>
            <w:tcW w:w="10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3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669,014</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(91,775)</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577,240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amortized cost and estimated fair value of securities at June 30, 2025 are presented below by contractual maturity (dollars in thousands). Expected maturities may differ from contractual maturities because issuers may have the right to call or prepay obligations. Declining-balance securities are shown separately since they are not due at a single maturity date.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Available for Sale</w:t>
            </w:r>
          </w:p>
        </w:tc>
      </w:tr>
      <w:tr>
        <w:trPr>
          <w:trHeight w:val="194"/>
        </w:trPr>
        <w:tc>
          <w:tcPr>
            <w:tcW w:w="86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360"/>
              <w:spacing w:after="0" w:line="194" w:lineRule="exact"/>
              <w:rPr>
                <w:sz w:val="20"/>
                <w:szCs w:val="20"/>
                <w:color w:val="auto"/>
              </w:rPr>
            </w:pPr>
            <w:r>
              <w:rPr>
                <w:rFonts w:ascii="Times New Roman" w:cs="Times New Roman" w:eastAsia="Times New Roman" w:hAnsi="Times New Roman"/>
                <w:sz w:val="18"/>
                <w:szCs w:val="18"/>
                <w:b w:val="1"/>
                <w:bCs w:val="1"/>
                <w:color w:val="auto"/>
              </w:rPr>
              <w:t>Amortized</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8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1"/>
                <w:szCs w:val="21"/>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1 year</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After 1 year through 5 years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4,903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 5 years through 10 years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21,160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20,075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After 10 years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181,115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149,971</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Declining-balance securities</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447,922</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392,761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657,475</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570,000</w:t>
            </w: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both June 30, 2025 and December 31, 2024, there were no holdings of securities of any one issuer, other than the U.S. government, its agencies, or its sponsored enterprises, in an amount greater than 10% of stockholders’ equity.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Securities with a carrying value of approximately $382.3 million and $309.0 million at June 30, 2025 and December 31, 2024, respectively, were pledged to collateralize public deposits and for other purposes as required or permitted by law.</w:t>
      </w:r>
    </w:p>
    <w:p>
      <w:pPr>
        <w:sectPr>
          <w:pgSz w:w="11900" w:h="16838" w:orient="portrait"/>
          <w:cols w:equalWidth="0" w:num="1">
            <w:col w:w="11240"/>
          </w:cols>
          <w:pgMar w:left="320" w:top="115" w:right="339" w:bottom="1440" w:gutter="0" w:footer="0" w:header="0"/>
        </w:sect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segregates securities with unrealized losses at the periods indicated, by the duration they have been in a loss position for which an allowance for credit losses has not been recorded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2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220" w:type="dxa"/>
            <w:vAlign w:val="bottom"/>
          </w:tcPr>
          <w:p>
            <w:pPr>
              <w:spacing w:after="0"/>
              <w:rPr>
                <w:sz w:val="21"/>
                <w:szCs w:val="21"/>
                <w:color w:val="auto"/>
              </w:rPr>
            </w:pPr>
          </w:p>
        </w:tc>
        <w:tc>
          <w:tcPr>
            <w:tcW w:w="246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22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180"/>
              <w:spacing w:after="0" w:line="194" w:lineRule="exact"/>
              <w:rPr>
                <w:sz w:val="20"/>
                <w:szCs w:val="20"/>
                <w:color w:val="auto"/>
              </w:rPr>
            </w:pPr>
            <w:r>
              <w:rPr>
                <w:rFonts w:ascii="Times New Roman" w:cs="Times New Roman" w:eastAsia="Times New Roman" w:hAnsi="Times New Roman"/>
                <w:sz w:val="18"/>
                <w:szCs w:val="18"/>
                <w:b w:val="1"/>
                <w:bCs w:val="1"/>
                <w:color w:val="auto"/>
              </w:rPr>
              <w:t>Fair</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right"/>
              <w:ind w:right="620"/>
              <w:spacing w:after="0" w:line="194" w:lineRule="exact"/>
              <w:rPr>
                <w:sz w:val="20"/>
                <w:szCs w:val="20"/>
                <w:color w:val="auto"/>
              </w:rPr>
            </w:pPr>
            <w:r>
              <w:rPr>
                <w:rFonts w:ascii="Times New Roman" w:cs="Times New Roman" w:eastAsia="Times New Roman" w:hAnsi="Times New Roman"/>
                <w:sz w:val="18"/>
                <w:szCs w:val="18"/>
                <w:b w:val="1"/>
                <w:bCs w:val="1"/>
                <w:color w:val="auto"/>
              </w:rPr>
              <w:t>Fair</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right"/>
              <w:ind w:right="600"/>
              <w:spacing w:after="0" w:line="194" w:lineRule="exact"/>
              <w:rPr>
                <w:sz w:val="20"/>
                <w:szCs w:val="20"/>
                <w:color w:val="auto"/>
              </w:rPr>
            </w:pPr>
            <w:r>
              <w:rPr>
                <w:rFonts w:ascii="Times New Roman" w:cs="Times New Roman" w:eastAsia="Times New Roman" w:hAnsi="Times New Roman"/>
                <w:sz w:val="18"/>
                <w:szCs w:val="18"/>
                <w:b w:val="1"/>
                <w:bCs w:val="1"/>
                <w:color w:val="auto"/>
              </w:rPr>
              <w:t>Fair</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21"/>
                <w:szCs w:val="21"/>
                <w:color w:val="auto"/>
              </w:rPr>
            </w:pPr>
          </w:p>
        </w:tc>
        <w:tc>
          <w:tcPr>
            <w:tcW w:w="12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20" w:type="dxa"/>
            <w:vAlign w:val="bottom"/>
          </w:tcPr>
          <w:p>
            <w:pPr>
              <w:spacing w:after="0"/>
              <w:rPr>
                <w:sz w:val="21"/>
                <w:szCs w:val="21"/>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21"/>
                <w:szCs w:val="21"/>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20" w:type="dxa"/>
            <w:vAlign w:val="bottom"/>
          </w:tcPr>
          <w:p>
            <w:pPr>
              <w:spacing w:after="0"/>
              <w:rPr>
                <w:sz w:val="21"/>
                <w:szCs w:val="21"/>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Loss</w:t>
            </w:r>
          </w:p>
        </w:tc>
      </w:tr>
      <w:tr>
        <w:trPr>
          <w:trHeight w:val="175"/>
        </w:trPr>
        <w:tc>
          <w:tcPr>
            <w:tcW w:w="32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June 30, 2025</w:t>
            </w: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0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and municipal</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160,849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31,957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161,887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31,965</w:t>
            </w:r>
          </w:p>
        </w:tc>
      </w:tr>
      <w:tr>
        <w:trPr>
          <w:trHeight w:val="216"/>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257,788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49,332</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257,796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49,332</w:t>
            </w:r>
          </w:p>
        </w:tc>
      </w:tr>
      <w:tr>
        <w:trPr>
          <w:trHeight w:val="216"/>
        </w:trPr>
        <w:tc>
          <w:tcPr>
            <w:tcW w:w="3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41,220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4,714</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41,220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4,714</w:t>
            </w:r>
          </w:p>
        </w:tc>
      </w:tr>
      <w:tr>
        <w:trPr>
          <w:trHeight w:val="198"/>
        </w:trPr>
        <w:tc>
          <w:tcPr>
            <w:tcW w:w="32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Commercial collateralized mortgage</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obligations</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65,856</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213</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65,856</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w:t>
            </w:r>
          </w:p>
        </w:tc>
      </w:tr>
      <w:tr>
        <w:trPr>
          <w:trHeight w:val="198"/>
        </w:trPr>
        <w:tc>
          <w:tcPr>
            <w:tcW w:w="32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Asset-backed and other amortizing</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14,016</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1,026</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14,016</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1,026</w:t>
            </w:r>
          </w:p>
        </w:tc>
      </w:tr>
      <w:tr>
        <w:trPr>
          <w:trHeight w:val="223"/>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securities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8,183</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11,648</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352</w:t>
            </w:r>
          </w:p>
        </w:tc>
      </w:tr>
      <w:tr>
        <w:trPr>
          <w:trHeight w:val="257"/>
        </w:trPr>
        <w:tc>
          <w:tcPr>
            <w:tcW w:w="10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70,367</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482,056</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87,346</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552,423</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87,602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5"/>
        </w:trPr>
        <w:tc>
          <w:tcPr>
            <w:tcW w:w="32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December 31, 2024</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
        </w:trPr>
        <w:tc>
          <w:tcPr>
            <w:tcW w:w="102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State and municipal</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171,306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26,291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171,511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26,292</w:t>
            </w:r>
          </w:p>
        </w:tc>
      </w:tr>
      <w:tr>
        <w:trPr>
          <w:trHeight w:val="216"/>
        </w:trPr>
        <w:tc>
          <w:tcPr>
            <w:tcW w:w="3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264,088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56,925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264,096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56,925</w:t>
            </w:r>
          </w:p>
        </w:tc>
      </w:tr>
      <w:tr>
        <w:trPr>
          <w:trHeight w:val="216"/>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20" w:type="dxa"/>
            <w:vAlign w:val="bottom"/>
          </w:tcPr>
          <w:p>
            <w:pPr>
              <w:spacing w:after="0"/>
              <w:rPr>
                <w:sz w:val="18"/>
                <w:szCs w:val="18"/>
                <w:color w:val="auto"/>
              </w:rPr>
            </w:pPr>
          </w:p>
        </w:tc>
        <w:tc>
          <w:tcPr>
            <w:tcW w:w="11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40,360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6,241</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40,360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6,241</w:t>
            </w:r>
          </w:p>
        </w:tc>
      </w:tr>
      <w:tr>
        <w:trPr>
          <w:trHeight w:val="198"/>
        </w:trPr>
        <w:tc>
          <w:tcPr>
            <w:tcW w:w="32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Commercial collateralized mortgage</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73,483</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214</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73,483</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w:t>
            </w:r>
          </w:p>
        </w:tc>
      </w:tr>
      <w:tr>
        <w:trPr>
          <w:trHeight w:val="198"/>
        </w:trPr>
        <w:tc>
          <w:tcPr>
            <w:tcW w:w="32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Asset-backed and other amortizing</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220" w:type="dxa"/>
            <w:vAlign w:val="bottom"/>
          </w:tcPr>
          <w:p>
            <w:pPr>
              <w:spacing w:after="0"/>
              <w:rPr>
                <w:sz w:val="20"/>
                <w:szCs w:val="20"/>
                <w:color w:val="auto"/>
              </w:rPr>
            </w:pPr>
          </w:p>
        </w:tc>
        <w:tc>
          <w:tcPr>
            <w:tcW w:w="11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14,581</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1,526</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14,581</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1,526</w:t>
            </w:r>
          </w:p>
        </w:tc>
      </w:tr>
      <w:tr>
        <w:trPr>
          <w:trHeight w:val="216"/>
        </w:trPr>
        <w:tc>
          <w:tcPr>
            <w:tcW w:w="3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securities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11,423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11,423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577</w:t>
            </w:r>
          </w:p>
        </w:tc>
      </w:tr>
      <w:tr>
        <w:trPr>
          <w:trHeight w:val="27"/>
        </w:trPr>
        <w:tc>
          <w:tcPr>
            <w:tcW w:w="10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73,696</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501,758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91,560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575,454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91,775</w:t>
            </w:r>
          </w:p>
        </w:tc>
      </w:tr>
      <w:tr>
        <w:trPr>
          <w:trHeight w:val="20"/>
        </w:trPr>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were 137 securities with an unrealized loss at June 30, 2025, generally due to a continuation of the elevated market interest rate environment. Management evaluates securities available for sale (“AFS”) in unrealized loss positions to determine whether the impairment is due to credit-related factors or non-credit related factors. Consideration is given to the extent to which the fair value is less than cost, the financial condition and near-term prospects of the issuer, and the intent and ability of the Company to retain its investment in the security for a period of time sufficient to allow for the anticipated recovery in fair value. Management does not have the intent to sell any of the securities in an unrealized loss position and believes that it is not likely that the securities will have to be sold before a recovery of cost. The fair value of these securities is expected to recover as the securities approach their maturity date or repricing date or if market yields for such investments decline. Accordingly, as of June 30, 2025, management believes the unrealized loss positions detailed in the previous table are due to non-credit related factors, including changes in interest rates and other market conditions, and therefore no ACL for AFS securities or losses have been recognized or realized in the consolidated financial statements.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 LOANS HELD FOR INVESTMENT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Loans held for investment are summarized by category as of the dates presented below (dollars in thousands):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1,085,309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1,119,063</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379,068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388,955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620,934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557,371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 family residential</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589,935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566,400</w:t>
            </w: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Auto loans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258,193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254,474</w:t>
            </w: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63,589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64,936</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101,950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103,855</w:t>
            </w:r>
          </w:p>
        </w:tc>
      </w:tr>
      <w:tr>
        <w:trPr>
          <w:trHeight w:val="216"/>
        </w:trPr>
        <w:tc>
          <w:tcPr>
            <w:tcW w:w="86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3,098,978</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3,055,054</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 on loans</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(45,010)</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(43,237)</w:t>
            </w: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net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3,053,968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3,011,817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certain lending policies, underwriting standards, and procedures in place that are designed to maximize loan income with an acceptable level of risk. Management reviews and approves these policies, underwriting standards, and procedures on a regular basis and makes changes as appropriate. Management receives frequent reports related to loan originations, quality, concentrations, delinquencies, non-performing, and potential problem loans. Diversification in the loan portfolio is a means of managing risk associated with fluctuations in economic conditions, both by type of loan and geography.</w:t>
      </w:r>
    </w:p>
    <w:p>
      <w:pPr>
        <w:sectPr>
          <w:pgSz w:w="11900" w:h="16838" w:orient="portrait"/>
          <w:cols w:equalWidth="0" w:num="1">
            <w:col w:w="11240"/>
          </w:cols>
          <w:pgMar w:left="320" w:top="115" w:right="339" w:bottom="1440" w:gutter="0" w:footer="0" w:header="0"/>
        </w:sect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Commercial Real Estate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Underwriting standards have been designed to determine whether the borrower possesses sound business ethics and practices,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 current and projected cash flows to determine the ability of the borrower to repay their obligations as agreed and ensure appropriate collateral is obtained to secure the loan. Commercial real estate loans are 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the Company’s real estate portfolio are diversified by type and geographic location. This diversity helps reduce the exposure to adverse economic events that affect any single market or industry.</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u w:val="single" w:color="auto"/>
          <w:color w:val="auto"/>
        </w:rPr>
        <w:t>Commercial – General and Specialized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Commercial loans are underwritten after evaluating and understanding the borrower’s ability to operate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profitably. Underwriting standards have been designed to determine whether the borrower possesses sound business ethics and practices, evaluate current and projected cash flows to determine the ability of the borrower to repay their obligations, as agreed and ensure appropriate collateral is obtained to secure the loan. Commercial loans are primarily made based on the identified cash flows of the borrower and, secondarily, on the underlying collateral provided by the borrower. Most commercial loans are secured by the assets being financed or other business assets, such as real estate, accounts receivable, or inventory, and typically include personal guarantees. Owner-occupied real estate is included in commercial loans, as the repayment of these loans is generally dependent on the operations of the commercial borrower’s business rather than on income-producing properties or the sale of the properties. Commercial loans are grouped into two distinct sub-categories: specialized and general. Commercial related segments that are considered “specialized” include agricultural production and real estate loans, energy loans, and finance, investment, and insurance loans. Commercial related segments that contain a broader diversity of borrowers, sub-industries, or serviced industries are grouped into the “general category.” These include goods, services, restaurant &amp; retail, construction, and other industries. Performance of these loans is subject to operating and cash flow results of the borrower, with risk in the volatility of operating results for particular industries.</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Consumer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Loans to consumers include 1-4 family residential loans, auto loans, and other loans for recreational vehicles or other purposes.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utilizes a computer-based credit scoring analysis to supplement its policies and procedures in underwriting consumer loans. The Company’s loan policy addresses types of consumer loans that may be originated and the collateral, if secured, which must be perfected. The relatively smaller individual dollar amounts of consumer loans that are spread over numerous individual borrowers also minimizes the Company’s risk. The Company generally requires mortgage title insurance and hazard insurance on 1-4 family residential loans. All consumer loans are generally dependent on the risk characteristics of the borrower’s ability to repay the loan, a consideration of the debt to income ratio, employment and income stability, the loan-to-value ratio, and the age, condition and marketability of the collateral.</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Construction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Loans for residential construction are for single-family properties to developers, builders, or end-users. These loans are underwritten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estimates of costs and completed value of the project. Funds are advanced based on estimated percentage of completion for the project. Performance of these loans is affected by economic conditions as well as the ability to control costs of the projects.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commercial real estate and construction categories comprise the Company’s nonowner-occupied real estate loans. Total nonowner-occupied real estate loans were $1.19 billion at June 30, 2025, and $1.22 billion at December 31,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ACL for loans was $45.0 million at June 30, 2025, compared to $43.2 million at December 31, 2024. The ratio of ACL for loans to loans held for investment was 1.45% at June 30, 2025 and 1.42% at December 31, 2024.</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 w:name="page11"/>
    <w:bookmarkEnd w:id="10"/>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detail the activity in the ACL for loans for the periods indicated (dollars in thousands). Allocation of a portion of the ACL to one category of loans does not preclude its availability to absorb losses in other categories.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Beginning</w:t>
            </w:r>
          </w:p>
        </w:tc>
        <w:tc>
          <w:tcPr>
            <w:tcW w:w="13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Provision for</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Ending</w:t>
            </w:r>
          </w:p>
        </w:tc>
        <w:tc>
          <w:tcPr>
            <w:tcW w:w="0" w:type="dxa"/>
            <w:vAlign w:val="bottom"/>
          </w:tcPr>
          <w:p>
            <w:pPr>
              <w:spacing w:after="0"/>
              <w:rPr>
                <w:sz w:val="1"/>
                <w:szCs w:val="1"/>
                <w:color w:val="auto"/>
              </w:rPr>
            </w:pPr>
          </w:p>
        </w:tc>
      </w:tr>
      <w:tr>
        <w:trPr>
          <w:trHeight w:val="245"/>
        </w:trPr>
        <w:tc>
          <w:tcPr>
            <w:tcW w:w="2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3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100" w:type="dxa"/>
            <w:vAlign w:val="bottom"/>
          </w:tcPr>
          <w:p>
            <w:pPr>
              <w:spacing w:after="0"/>
              <w:rPr>
                <w:sz w:val="21"/>
                <w:szCs w:val="21"/>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6"/>
              </w:rPr>
              <w:t>Charge-offs</w:t>
            </w:r>
          </w:p>
        </w:tc>
        <w:tc>
          <w:tcPr>
            <w:tcW w:w="120" w:type="dxa"/>
            <w:vAlign w:val="bottom"/>
          </w:tcPr>
          <w:p>
            <w:pPr>
              <w:spacing w:after="0"/>
              <w:rPr>
                <w:sz w:val="21"/>
                <w:szCs w:val="21"/>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Recoveries</w:t>
            </w:r>
          </w:p>
        </w:tc>
        <w:tc>
          <w:tcPr>
            <w:tcW w:w="180" w:type="dxa"/>
            <w:vAlign w:val="bottom"/>
          </w:tcPr>
          <w:p>
            <w:pPr>
              <w:spacing w:after="0"/>
              <w:rPr>
                <w:sz w:val="21"/>
                <w:szCs w:val="21"/>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0" w:type="dxa"/>
            <w:vAlign w:val="bottom"/>
          </w:tcPr>
          <w:p>
            <w:pPr>
              <w:spacing w:after="0"/>
              <w:rPr>
                <w:sz w:val="1"/>
                <w:szCs w:val="1"/>
                <w:color w:val="auto"/>
              </w:rPr>
            </w:pPr>
          </w:p>
        </w:tc>
      </w:tr>
      <w:tr>
        <w:trPr>
          <w:trHeight w:val="175"/>
        </w:trPr>
        <w:tc>
          <w:tcPr>
            <w:tcW w:w="46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For the three months ended June 30, 2025</w:t>
            </w: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8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15,787</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15,706</w:t>
            </w:r>
          </w:p>
        </w:tc>
        <w:tc>
          <w:tcPr>
            <w:tcW w:w="0" w:type="dxa"/>
            <w:vAlign w:val="bottom"/>
          </w:tcPr>
          <w:p>
            <w:pPr>
              <w:spacing w:after="0"/>
              <w:rPr>
                <w:sz w:val="1"/>
                <w:szCs w:val="1"/>
                <w:color w:val="auto"/>
              </w:rPr>
            </w:pP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4,523</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4,881</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6,403</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7,228</w:t>
            </w:r>
          </w:p>
        </w:tc>
        <w:tc>
          <w:tcPr>
            <w:tcW w:w="0" w:type="dxa"/>
            <w:vAlign w:val="bottom"/>
          </w:tcPr>
          <w:p>
            <w:pPr>
              <w:spacing w:after="0"/>
              <w:rPr>
                <w:sz w:val="1"/>
                <w:szCs w:val="1"/>
                <w:color w:val="auto"/>
              </w:rPr>
            </w:pP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 family residential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10,079</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11,150</w:t>
            </w:r>
          </w:p>
        </w:tc>
        <w:tc>
          <w:tcPr>
            <w:tcW w:w="0" w:type="dxa"/>
            <w:vAlign w:val="bottom"/>
          </w:tcPr>
          <w:p>
            <w:pPr>
              <w:spacing w:after="0"/>
              <w:rPr>
                <w:sz w:val="1"/>
                <w:szCs w:val="1"/>
                <w:color w:val="auto"/>
              </w:rPr>
            </w:pPr>
          </w:p>
        </w:tc>
      </w:tr>
      <w:tr>
        <w:trPr>
          <w:trHeight w:val="216"/>
        </w:trPr>
        <w:tc>
          <w:tcPr>
            <w:tcW w:w="4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Auto loans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3,096</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2,995</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1,102</w:t>
            </w:r>
          </w:p>
        </w:tc>
        <w:tc>
          <w:tcPr>
            <w:tcW w:w="0" w:type="dxa"/>
            <w:vAlign w:val="bottom"/>
          </w:tcPr>
          <w:p>
            <w:pPr>
              <w:spacing w:after="0"/>
              <w:rPr>
                <w:sz w:val="1"/>
                <w:szCs w:val="1"/>
                <w:color w:val="auto"/>
              </w:rPr>
            </w:pPr>
          </w:p>
        </w:tc>
      </w:tr>
      <w:tr>
        <w:trPr>
          <w:trHeight w:val="223"/>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1,948</w:t>
            </w:r>
          </w:p>
        </w:tc>
        <w:tc>
          <w:tcPr>
            <w:tcW w:w="0" w:type="dxa"/>
            <w:vAlign w:val="bottom"/>
          </w:tcPr>
          <w:p>
            <w:pPr>
              <w:spacing w:after="0"/>
              <w:rPr>
                <w:sz w:val="1"/>
                <w:szCs w:val="1"/>
                <w:color w:val="auto"/>
              </w:rPr>
            </w:pPr>
          </w:p>
        </w:tc>
      </w:tr>
      <w:tr>
        <w:trPr>
          <w:trHeight w:val="257"/>
        </w:trPr>
        <w:tc>
          <w:tcPr>
            <w:tcW w:w="2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42,968</w:t>
            </w:r>
          </w:p>
        </w:tc>
        <w:tc>
          <w:tcPr>
            <w:tcW w:w="2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6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For the three months ended June 30, 2024</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6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15,784</w:t>
            </w:r>
          </w:p>
        </w:tc>
        <w:tc>
          <w:tcPr>
            <w:tcW w:w="2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15,593</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3,848</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4,736</w:t>
            </w:r>
          </w:p>
        </w:tc>
        <w:tc>
          <w:tcPr>
            <w:tcW w:w="0" w:type="dxa"/>
            <w:vAlign w:val="bottom"/>
          </w:tcPr>
          <w:p>
            <w:pPr>
              <w:spacing w:after="0"/>
              <w:rPr>
                <w:sz w:val="1"/>
                <w:szCs w:val="1"/>
                <w:color w:val="auto"/>
              </w:rPr>
            </w:pP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6,708</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6,841</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1-4 family residential</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9,280</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9,702</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Auto loans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3,287</w:t>
            </w:r>
          </w:p>
        </w:tc>
        <w:tc>
          <w:tcPr>
            <w:tcW w:w="0" w:type="dxa"/>
            <w:vAlign w:val="bottom"/>
          </w:tcPr>
          <w:p>
            <w:pPr>
              <w:spacing w:after="0"/>
              <w:rPr>
                <w:sz w:val="1"/>
                <w:szCs w:val="1"/>
                <w:color w:val="auto"/>
              </w:rPr>
            </w:pPr>
          </w:p>
        </w:tc>
      </w:tr>
      <w:tr>
        <w:trPr>
          <w:trHeight w:val="216"/>
        </w:trPr>
        <w:tc>
          <w:tcPr>
            <w:tcW w:w="4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974</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2,040</w:t>
            </w:r>
          </w:p>
        </w:tc>
        <w:tc>
          <w:tcPr>
            <w:tcW w:w="0" w:type="dxa"/>
            <w:vAlign w:val="bottom"/>
          </w:tcPr>
          <w:p>
            <w:pPr>
              <w:spacing w:after="0"/>
              <w:rPr>
                <w:sz w:val="1"/>
                <w:szCs w:val="1"/>
                <w:color w:val="auto"/>
              </w:rPr>
            </w:pPr>
          </w:p>
        </w:tc>
      </w:tr>
      <w:tr>
        <w:trPr>
          <w:trHeight w:val="27"/>
        </w:trPr>
        <w:tc>
          <w:tcPr>
            <w:tcW w:w="28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42,174</w:t>
            </w:r>
          </w:p>
        </w:tc>
        <w:tc>
          <w:tcPr>
            <w:tcW w:w="24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43,173</w:t>
            </w:r>
          </w:p>
        </w:tc>
        <w:tc>
          <w:tcPr>
            <w:tcW w:w="0" w:type="dxa"/>
            <w:vAlign w:val="bottom"/>
          </w:tcPr>
          <w:p>
            <w:pPr>
              <w:spacing w:after="0"/>
              <w:rPr>
                <w:sz w:val="1"/>
                <w:szCs w:val="1"/>
                <w:color w:val="auto"/>
              </w:rPr>
            </w:pPr>
          </w:p>
        </w:tc>
      </w:tr>
      <w:tr>
        <w:trPr>
          <w:trHeight w:val="20"/>
        </w:trPr>
        <w:tc>
          <w:tcPr>
            <w:tcW w:w="46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For the six months ended June 30, 2025</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462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15,973</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15,706</w:t>
            </w:r>
          </w:p>
        </w:tc>
        <w:tc>
          <w:tcPr>
            <w:tcW w:w="0" w:type="dxa"/>
            <w:vAlign w:val="bottom"/>
          </w:tcPr>
          <w:p>
            <w:pPr>
              <w:spacing w:after="0"/>
              <w:rPr>
                <w:sz w:val="1"/>
                <w:szCs w:val="1"/>
                <w:color w:val="auto"/>
              </w:rPr>
            </w:pP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4,881</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6,874</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7,228</w:t>
            </w:r>
          </w:p>
        </w:tc>
        <w:tc>
          <w:tcPr>
            <w:tcW w:w="0" w:type="dxa"/>
            <w:vAlign w:val="bottom"/>
          </w:tcPr>
          <w:p>
            <w:pPr>
              <w:spacing w:after="0"/>
              <w:rPr>
                <w:sz w:val="1"/>
                <w:szCs w:val="1"/>
                <w:color w:val="auto"/>
              </w:rPr>
            </w:pP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 family residential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9,677</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11,150</w:t>
            </w:r>
          </w:p>
        </w:tc>
        <w:tc>
          <w:tcPr>
            <w:tcW w:w="0" w:type="dxa"/>
            <w:vAlign w:val="bottom"/>
          </w:tcPr>
          <w:p>
            <w:pPr>
              <w:spacing w:after="0"/>
              <w:rPr>
                <w:sz w:val="1"/>
                <w:szCs w:val="1"/>
                <w:color w:val="auto"/>
              </w:rPr>
            </w:pPr>
          </w:p>
        </w:tc>
      </w:tr>
      <w:tr>
        <w:trPr>
          <w:trHeight w:val="216"/>
        </w:trPr>
        <w:tc>
          <w:tcPr>
            <w:tcW w:w="4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Auto loans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2,995</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1,102</w:t>
            </w:r>
          </w:p>
        </w:tc>
        <w:tc>
          <w:tcPr>
            <w:tcW w:w="0" w:type="dxa"/>
            <w:vAlign w:val="bottom"/>
          </w:tcPr>
          <w:p>
            <w:pPr>
              <w:spacing w:after="0"/>
              <w:rPr>
                <w:sz w:val="1"/>
                <w:szCs w:val="1"/>
                <w:color w:val="auto"/>
              </w:rPr>
            </w:pPr>
          </w:p>
        </w:tc>
      </w:tr>
      <w:tr>
        <w:trPr>
          <w:trHeight w:val="223"/>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1,948</w:t>
            </w:r>
          </w:p>
        </w:tc>
        <w:tc>
          <w:tcPr>
            <w:tcW w:w="0" w:type="dxa"/>
            <w:vAlign w:val="bottom"/>
          </w:tcPr>
          <w:p>
            <w:pPr>
              <w:spacing w:after="0"/>
              <w:rPr>
                <w:sz w:val="1"/>
                <w:szCs w:val="1"/>
                <w:color w:val="auto"/>
              </w:rPr>
            </w:pPr>
          </w:p>
        </w:tc>
      </w:tr>
      <w:tr>
        <w:trPr>
          <w:trHeight w:val="256"/>
        </w:trPr>
        <w:tc>
          <w:tcPr>
            <w:tcW w:w="2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43,237</w:t>
            </w:r>
          </w:p>
        </w:tc>
        <w:tc>
          <w:tcPr>
            <w:tcW w:w="2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88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For the six months ended June 30, 2024</w:t>
            </w:r>
          </w:p>
        </w:tc>
        <w:tc>
          <w:tcPr>
            <w:tcW w:w="1740" w:type="dxa"/>
            <w:vAlign w:val="bottom"/>
            <w:tcBorders>
              <w:bottom w:val="single" w:sz="8" w:color="CCEEFF"/>
            </w:tcBorders>
            <w:gridSpan w:val="2"/>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15,808</w:t>
            </w:r>
          </w:p>
        </w:tc>
        <w:tc>
          <w:tcPr>
            <w:tcW w:w="24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15,593</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4,736</w:t>
            </w:r>
          </w:p>
        </w:tc>
        <w:tc>
          <w:tcPr>
            <w:tcW w:w="0" w:type="dxa"/>
            <w:vAlign w:val="bottom"/>
          </w:tcPr>
          <w:p>
            <w:pPr>
              <w:spacing w:after="0"/>
              <w:rPr>
                <w:sz w:val="1"/>
                <w:szCs w:val="1"/>
                <w:color w:val="auto"/>
              </w:rPr>
            </w:pP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6,391</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6,841</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1-4 family residential</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9,177</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9,702</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Auto loans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3,287</w:t>
            </w:r>
          </w:p>
        </w:tc>
        <w:tc>
          <w:tcPr>
            <w:tcW w:w="0" w:type="dxa"/>
            <w:vAlign w:val="bottom"/>
          </w:tcPr>
          <w:p>
            <w:pPr>
              <w:spacing w:after="0"/>
              <w:rPr>
                <w:sz w:val="1"/>
                <w:szCs w:val="1"/>
                <w:color w:val="auto"/>
              </w:rPr>
            </w:pPr>
          </w:p>
        </w:tc>
      </w:tr>
      <w:tr>
        <w:trPr>
          <w:trHeight w:val="216"/>
        </w:trPr>
        <w:tc>
          <w:tcPr>
            <w:tcW w:w="4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consumer</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974</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2,040</w:t>
            </w:r>
          </w:p>
        </w:tc>
        <w:tc>
          <w:tcPr>
            <w:tcW w:w="0" w:type="dxa"/>
            <w:vAlign w:val="bottom"/>
          </w:tcPr>
          <w:p>
            <w:pPr>
              <w:spacing w:after="0"/>
              <w:rPr>
                <w:sz w:val="1"/>
                <w:szCs w:val="1"/>
                <w:color w:val="auto"/>
              </w:rPr>
            </w:pPr>
          </w:p>
        </w:tc>
      </w:tr>
      <w:tr>
        <w:trPr>
          <w:trHeight w:val="27"/>
        </w:trPr>
        <w:tc>
          <w:tcPr>
            <w:tcW w:w="28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42,356</w:t>
            </w:r>
          </w:p>
        </w:tc>
        <w:tc>
          <w:tcPr>
            <w:tcW w:w="24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(1,999)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43,173</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and six months ended June 30, 2025 the Company recorded a provision for credit loss of $2.5 million and $2.9 million, respectively, which was comprised of a provision for credit losses on loans of $2.5 million and $2.8 million, respectively, and a provision for off-balance sheet credit exposures of $— and $170 thousand, respectively. During the three and six months June 30, 2024, the Company recorded a provision for credit loss of $1.8 million and $2.6 million, respectively, which was comprised of a provision for credit losses on loans of $1.8 million and $2.5 million, respectively, and a provision for off-balance sheet credit exposures of $— and $65 thousand, respectively.</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show the Company’s amortized cost and related ACL for individually evaluated collateral dependent loans by class using the fair value of collateral loss estimation methodology of evaluating expected credit losses at the dates indicated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Total ACL</w:t>
            </w:r>
          </w:p>
        </w:tc>
      </w:tr>
      <w:tr>
        <w:trPr>
          <w:trHeight w:val="216"/>
        </w:trPr>
        <w:tc>
          <w:tcPr>
            <w:tcW w:w="10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for</w:t>
            </w:r>
          </w:p>
        </w:tc>
      </w:tr>
      <w:tr>
        <w:trPr>
          <w:trHeight w:val="216"/>
        </w:trPr>
        <w:tc>
          <w:tcPr>
            <w:tcW w:w="10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Total Loans</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Individually</w:t>
            </w:r>
          </w:p>
        </w:tc>
      </w:tr>
      <w:tr>
        <w:trPr>
          <w:trHeight w:val="216"/>
        </w:trPr>
        <w:tc>
          <w:tcPr>
            <w:tcW w:w="10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Individually</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Evaluated</w:t>
            </w:r>
          </w:p>
        </w:tc>
      </w:tr>
      <w:tr>
        <w:trPr>
          <w:trHeight w:val="245"/>
        </w:trPr>
        <w:tc>
          <w:tcPr>
            <w:tcW w:w="102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120" w:type="dxa"/>
            <w:vAlign w:val="bottom"/>
          </w:tcPr>
          <w:p>
            <w:pPr>
              <w:spacing w:after="0"/>
              <w:rPr>
                <w:sz w:val="21"/>
                <w:szCs w:val="21"/>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Real Estate</w:t>
            </w:r>
          </w:p>
        </w:tc>
        <w:tc>
          <w:tcPr>
            <w:tcW w:w="200" w:type="dxa"/>
            <w:vAlign w:val="bottom"/>
          </w:tcPr>
          <w:p>
            <w:pPr>
              <w:spacing w:after="0"/>
              <w:rPr>
                <w:sz w:val="21"/>
                <w:szCs w:val="21"/>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00" w:type="dxa"/>
            <w:vAlign w:val="bottom"/>
          </w:tcPr>
          <w:p>
            <w:pPr>
              <w:spacing w:after="0"/>
              <w:rPr>
                <w:sz w:val="21"/>
                <w:szCs w:val="21"/>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Evaluated</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Loans</w:t>
            </w:r>
          </w:p>
        </w:tc>
      </w:tr>
      <w:tr>
        <w:trPr>
          <w:trHeight w:val="176"/>
        </w:trPr>
        <w:tc>
          <w:tcPr>
            <w:tcW w:w="46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June 30, 2025</w:t>
            </w: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020" w:type="dxa"/>
            <w:vAlign w:val="bottom"/>
            <w:tcBorders>
              <w:top w:val="single" w:sz="8" w:color="auto"/>
            </w:tcBorders>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961</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3,135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4,206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 family residential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1,482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520</w:t>
            </w: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Auto loans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consumer</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141</w:t>
            </w:r>
          </w:p>
        </w:tc>
        <w:tc>
          <w:tcPr>
            <w:tcW w:w="200" w:type="dxa"/>
            <w:vAlign w:val="bottom"/>
          </w:tcPr>
          <w:p>
            <w:pPr>
              <w:spacing w:after="0"/>
              <w:rPr>
                <w:sz w:val="19"/>
                <w:szCs w:val="19"/>
                <w:color w:val="auto"/>
              </w:rPr>
            </w:pP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1020" w:type="dxa"/>
            <w:vAlign w:val="bottom"/>
            <w:tcBorders>
              <w:bottom w:val="single" w:sz="8" w:color="CCEEFF"/>
            </w:tcBorders>
            <w:shd w:val="clear" w:color="auto" w:fill="CCEEFF"/>
          </w:tcPr>
          <w:p>
            <w:pPr>
              <w:spacing w:after="0"/>
              <w:rPr>
                <w:sz w:val="22"/>
                <w:szCs w:val="22"/>
                <w:color w:val="auto"/>
              </w:rPr>
            </w:pPr>
          </w:p>
        </w:tc>
        <w:tc>
          <w:tcPr>
            <w:tcW w:w="3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5,719</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6,790</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tcBorders>
              <w:bottom w:val="single" w:sz="8" w:color="CCEEFF"/>
            </w:tcBorders>
            <w:shd w:val="clear" w:color="auto" w:fill="CCEEFF"/>
          </w:tcPr>
          <w:p>
            <w:pPr>
              <w:spacing w:after="0"/>
              <w:rPr>
                <w:sz w:val="22"/>
                <w:szCs w:val="22"/>
                <w:color w:val="auto"/>
              </w:rPr>
            </w:pPr>
          </w:p>
        </w:tc>
      </w:tr>
    </w:tbl>
    <w:p>
      <w:pPr>
        <w:sectPr>
          <w:pgSz w:w="11900" w:h="16891" w:orient="portrait"/>
          <w:cols w:equalWidth="0" w:num="1">
            <w:col w:w="11240"/>
          </w:cols>
          <w:pgMar w:left="320" w:top="116" w:right="33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
        </w:trPr>
        <w:tc>
          <w:tcPr>
            <w:tcW w:w="1420" w:type="dxa"/>
            <w:vAlign w:val="bottom"/>
            <w:tcBorders>
              <w:top w:val="single" w:sz="8" w:color="auto"/>
            </w:tcBorders>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19,543</w:t>
            </w: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19,543</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552</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520" w:type="dxa"/>
            <w:vAlign w:val="bottom"/>
          </w:tcPr>
          <w:p>
            <w:pPr>
              <w:spacing w:after="0"/>
              <w:rPr>
                <w:sz w:val="18"/>
                <w:szCs w:val="18"/>
                <w:color w:val="auto"/>
              </w:rPr>
            </w:pPr>
          </w:p>
        </w:tc>
        <w:tc>
          <w:tcPr>
            <w:tcW w:w="6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w:t>
            </w: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 family residential</w:t>
            </w: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Auto loans</w:t>
            </w:r>
          </w:p>
        </w:tc>
        <w:tc>
          <w:tcPr>
            <w:tcW w:w="520" w:type="dxa"/>
            <w:vAlign w:val="bottom"/>
          </w:tcPr>
          <w:p>
            <w:pPr>
              <w:spacing w:after="0"/>
              <w:rPr>
                <w:sz w:val="18"/>
                <w:szCs w:val="18"/>
                <w:color w:val="auto"/>
              </w:rPr>
            </w:pPr>
          </w:p>
        </w:tc>
        <w:tc>
          <w:tcPr>
            <w:tcW w:w="6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consumer</w:t>
            </w: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520" w:type="dxa"/>
            <w:vAlign w:val="bottom"/>
          </w:tcPr>
          <w:p>
            <w:pPr>
              <w:spacing w:after="0"/>
              <w:rPr>
                <w:sz w:val="19"/>
                <w:szCs w:val="19"/>
                <w:color w:val="auto"/>
              </w:rPr>
            </w:pPr>
          </w:p>
        </w:tc>
        <w:tc>
          <w:tcPr>
            <w:tcW w:w="6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1,575</w:t>
            </w:r>
          </w:p>
        </w:tc>
        <w:tc>
          <w:tcPr>
            <w:tcW w:w="500" w:type="dxa"/>
            <w:vAlign w:val="bottom"/>
          </w:tcPr>
          <w:p>
            <w:pPr>
              <w:spacing w:after="0"/>
              <w:rPr>
                <w:sz w:val="19"/>
                <w:szCs w:val="19"/>
                <w:color w:val="auto"/>
              </w:rPr>
            </w:pPr>
          </w:p>
        </w:tc>
        <w:tc>
          <w:tcPr>
            <w:tcW w:w="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1,575</w:t>
            </w:r>
          </w:p>
        </w:tc>
        <w:tc>
          <w:tcPr>
            <w:tcW w:w="46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1420" w:type="dxa"/>
            <w:vAlign w:val="bottom"/>
            <w:tcBorders>
              <w:bottom w:val="single" w:sz="8" w:color="CCEEFF"/>
            </w:tcBorders>
            <w:shd w:val="clear" w:color="auto" w:fill="CCEEFF"/>
          </w:tcPr>
          <w:p>
            <w:pPr>
              <w:spacing w:after="0"/>
              <w:rPr>
                <w:sz w:val="22"/>
                <w:szCs w:val="22"/>
                <w:color w:val="auto"/>
              </w:rPr>
            </w:pPr>
          </w:p>
        </w:tc>
        <w:tc>
          <w:tcPr>
            <w:tcW w:w="32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21,118</w:t>
            </w:r>
          </w:p>
        </w:tc>
        <w:tc>
          <w:tcPr>
            <w:tcW w:w="2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21,118</w:t>
            </w:r>
          </w:p>
        </w:tc>
        <w:tc>
          <w:tcPr>
            <w:tcW w:w="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335"/>
        </w:trPr>
        <w:tc>
          <w:tcPr>
            <w:tcW w:w="14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11</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1420" w:type="dxa"/>
            <w:vAlign w:val="bottom"/>
            <w:tcBorders>
              <w:bottom w:val="single" w:sz="8" w:color="auto"/>
            </w:tcBorders>
          </w:tcPr>
          <w:p>
            <w:pPr>
              <w:spacing w:after="0"/>
              <w:rPr>
                <w:sz w:val="3"/>
                <w:szCs w:val="3"/>
                <w:color w:val="auto"/>
              </w:rPr>
            </w:pPr>
          </w:p>
        </w:tc>
        <w:tc>
          <w:tcPr>
            <w:tcW w:w="32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32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provide an age analysis on accruing past-due loans and nonaccrual loans at the dates indicated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90 Days or</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Nonaccrual</w:t>
            </w: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30-89 Days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More Past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with no</w:t>
            </w:r>
          </w:p>
        </w:tc>
      </w:tr>
      <w:tr>
        <w:trPr>
          <w:trHeight w:val="245"/>
        </w:trPr>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Past Due</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Due</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0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Nonaccrual</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ACL</w:t>
            </w:r>
          </w:p>
        </w:tc>
      </w:tr>
      <w:tr>
        <w:trPr>
          <w:trHeight w:val="175"/>
        </w:trPr>
        <w:tc>
          <w:tcPr>
            <w:tcW w:w="59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June 30, 2025</w:t>
            </w: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0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2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9"/>
              </w:rPr>
              <w:t>72</w:t>
            </w: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961</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9"/>
              </w:rPr>
              <w:t>46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4,359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 Family residential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2,334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2,126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Auto loans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color w:val="auto"/>
                <w:w w:val="99"/>
              </w:rPr>
              <w:t>34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9"/>
                <w:szCs w:val="19"/>
                <w:color w:val="auto"/>
              </w:rPr>
            </w:pPr>
          </w:p>
        </w:tc>
      </w:tr>
      <w:tr>
        <w:trPr>
          <w:trHeight w:val="256"/>
        </w:trPr>
        <w:tc>
          <w:tcPr>
            <w:tcW w:w="10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45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5,585</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7,797</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r>
      <w:tr>
        <w:trPr>
          <w:trHeight w:val="385"/>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
        </w:trPr>
        <w:tc>
          <w:tcPr>
            <w:tcW w:w="10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594</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c>
          <w:tcPr>
            <w:tcW w:w="48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19,543</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w w:val="96"/>
              </w:rPr>
              <w:t>240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6"/>
              </w:rPr>
              <w:t>244</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 Family residential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1,042</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Auto loans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w w:val="96"/>
              </w:rPr>
              <w:t>114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6"/>
              </w:rPr>
              <w:t>185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1,575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1,575</w:t>
            </w:r>
          </w:p>
        </w:tc>
      </w:tr>
      <w:tr>
        <w:trPr>
          <w:trHeight w:val="257"/>
        </w:trPr>
        <w:tc>
          <w:tcPr>
            <w:tcW w:w="10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45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7,928</w:t>
            </w:r>
          </w:p>
        </w:tc>
        <w:tc>
          <w:tcPr>
            <w:tcW w:w="2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22,102</w:t>
            </w:r>
          </w:p>
        </w:tc>
        <w:tc>
          <w:tcPr>
            <w:tcW w:w="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Quality Indicators</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grades its loans on a thirteen-point grading scale. These grades fit in one of the following categories: (i) pass, (ii) special mention, (iii) substandard, (iv) doubtful, or (v) loss. Loans categorized as loss are charged-off immediately. The grading of loans reflects a judgment by the Company about the risks of default associated with the loan. The Company reviews the grades on loans as part of the Company’s on-going monitoring of the credit quality of the loan portfolio. These risk ratings are assigned based on relevant information about the ability of the borrowers to service their debt such as: current financial information, historical payment experience, credit documentation, public information, and current economic trends, among other factors.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Pass loans have financial factors or nature of collateral that are considered reasonable credit risks in the normal course of lending and encompass several grades that are assigned based on varying levels of risk, ranging from credits that are secured by cash or marketable securities, to watch credits which have all the characteristics of an acceptable credit risk but warrant more than the normal level of monitoring.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Special mention loans have potential weaknesses that deserve management’s close attention. If left uncorrected, these potential weaknesses may result in deterioration of repayment prospects for the loans at some future date.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Substandard loans are inadequately protected by the current net worth and paying capacity of the borrower or by the collateral pledged, if any. These loans have a well-defined weakness or weaknesses that jeopardize collection and present the distinct possibility that some loss will be sustained if the deficiencies are not corrected. A protracted workout on these credits is a distinct possibility. Prompt corrective action is therefore required to strengthen the Company’s position, and/or to reduce exposure and to assure that adequate remedial measures are taken by the borrower. Credit exposure becomes more likely in such credits and a serious evaluation of the secondary support to the credit is performed. Substandard loans can be accruing or can be nonaccrual depending on the circumstances of the individual loans.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Doubtful loans have all the weaknesses inherent in substandard loans with the added characteristics that the weaknesses make collection or liquidation in full on the basis of currently existing facts, conditions, and values highly questionable and improbable. All doubtful loans are on nonaccrual.</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review of the Company’s loan portfolio, management considers risk elements attributable to particular loan type or categories in assessing the quality of individual loans. The list of loans to be analyzed for individual evaluation consists of non-accrual loans over $250 thousand with direct exposure. Interest income recognized using a cash-basis method on non-accrual loans for the three and six months ended June 30, 2025 and 2024 was not significant. In addition, the Company closely monitors substandard accruing loans over $1 million with direct exposure, and past due accruing loans over $100 thousand for possible individual evaluation. All other loans will be evaluated collectively in designated pools unless a loss exposure has been identified. Additional funds committed to be advanced on individually analyzed loans are not significant.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reflect the amortized cost basis in loans held for investment by credit quality indicator and origination year at the dates indicated, and related year-to-date gross charge-offs. Loans acquired are shown in the table by origination year. The Company had an immaterial amount of revolving loans converted to term loans at June 30, 2025 and December 31, 2024.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Term Loans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60" w:type="dxa"/>
            <w:vAlign w:val="bottom"/>
            <w:gridSpan w:val="11"/>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Amortized Cost Basis by Origination Year</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3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Revolving</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Prior</w:t>
            </w:r>
          </w:p>
        </w:tc>
        <w:tc>
          <w:tcPr>
            <w:tcW w:w="140" w:type="dxa"/>
            <w:vAlign w:val="bottom"/>
          </w:tcPr>
          <w:p>
            <w:pPr>
              <w:spacing w:after="0"/>
              <w:rPr>
                <w:sz w:val="21"/>
                <w:szCs w:val="21"/>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40" w:type="dxa"/>
            <w:vAlign w:val="bottom"/>
          </w:tcPr>
          <w:p>
            <w:pPr>
              <w:spacing w:after="0"/>
              <w:rPr>
                <w:sz w:val="21"/>
                <w:szCs w:val="21"/>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432"/>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Commercial real estate</w:t>
            </w:r>
          </w:p>
        </w:tc>
        <w:tc>
          <w:tcPr>
            <w:tcW w:w="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97,841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149,557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219,608</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266,639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112,562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174,646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8,051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1,028,904</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3,317</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2,854</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179</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389</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6,739</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1,043</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4,550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34,912</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8,288</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48,855</w:t>
            </w:r>
          </w:p>
        </w:tc>
        <w:tc>
          <w:tcPr>
            <w:tcW w:w="0" w:type="dxa"/>
            <w:vAlign w:val="bottom"/>
          </w:tcPr>
          <w:p>
            <w:pPr>
              <w:spacing w:after="0"/>
              <w:rPr>
                <w:sz w:val="1"/>
                <w:szCs w:val="1"/>
                <w:color w:val="auto"/>
              </w:rPr>
            </w:pPr>
          </w:p>
        </w:tc>
      </w:tr>
      <w:tr>
        <w:trPr>
          <w:trHeight w:val="223"/>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Doubtful</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811</w:t>
            </w: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811</w:t>
            </w:r>
          </w:p>
        </w:tc>
        <w:tc>
          <w:tcPr>
            <w:tcW w:w="0" w:type="dxa"/>
            <w:vAlign w:val="bottom"/>
          </w:tcPr>
          <w:p>
            <w:pPr>
              <w:spacing w:after="0"/>
              <w:rPr>
                <w:sz w:val="1"/>
                <w:szCs w:val="1"/>
                <w:color w:val="auto"/>
              </w:rPr>
            </w:pPr>
          </w:p>
        </w:tc>
      </w:tr>
      <w:tr>
        <w:trPr>
          <w:trHeight w:val="198"/>
        </w:trPr>
        <w:tc>
          <w:tcPr>
            <w:tcW w:w="2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Total commercial real estate</w:t>
            </w: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97,841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149,619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224,779</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274,043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147,653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183,323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8,051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1,085,309</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Year-to-date gross charge-offs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Commercial - specialized</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73,666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49,175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49,849</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28,356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36,894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33,382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89,198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360,520</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4,322</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890</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1,393</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1,759</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999</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1,300</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18,077</w:t>
            </w:r>
          </w:p>
        </w:tc>
        <w:tc>
          <w:tcPr>
            <w:tcW w:w="0" w:type="dxa"/>
            <w:vAlign w:val="bottom"/>
          </w:tcPr>
          <w:p>
            <w:pPr>
              <w:spacing w:after="0"/>
              <w:rPr>
                <w:sz w:val="1"/>
                <w:szCs w:val="1"/>
                <w:color w:val="auto"/>
              </w:rPr>
            </w:pPr>
          </w:p>
        </w:tc>
      </w:tr>
      <w:tr>
        <w:trPr>
          <w:trHeight w:val="223"/>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303</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198"/>
        </w:trPr>
        <w:tc>
          <w:tcPr>
            <w:tcW w:w="2380" w:type="dxa"/>
            <w:vAlign w:val="bottom"/>
            <w:tcBorders>
              <w:top w:val="single" w:sz="8" w:color="CCEEFF"/>
            </w:tcBorders>
          </w:tcPr>
          <w:p>
            <w:pPr>
              <w:spacing w:after="0" w:line="198" w:lineRule="exact"/>
              <w:rPr>
                <w:sz w:val="20"/>
                <w:szCs w:val="20"/>
                <w:color w:val="auto"/>
              </w:rPr>
            </w:pPr>
            <w:r>
              <w:rPr>
                <w:rFonts w:ascii="Times New Roman" w:cs="Times New Roman" w:eastAsia="Times New Roman" w:hAnsi="Times New Roman"/>
                <w:sz w:val="18"/>
                <w:szCs w:val="18"/>
                <w:color w:val="auto"/>
              </w:rPr>
              <w:t>Total commercial - specialized</w:t>
            </w: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loans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81,080</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53,497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50,739</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30,052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38,761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34,441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90,498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379,068</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Year-to-date gross charge-offs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Commercial - general</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Pass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95,821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108,375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55,597</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105,051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52,781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95,507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83,847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596,979</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581</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12,206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1,580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485</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15,802</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140</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2,332</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4,162</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962</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8,103</w:t>
            </w:r>
          </w:p>
        </w:tc>
        <w:tc>
          <w:tcPr>
            <w:tcW w:w="0" w:type="dxa"/>
            <w:vAlign w:val="bottom"/>
          </w:tcPr>
          <w:p>
            <w:pPr>
              <w:spacing w:after="0"/>
              <w:rPr>
                <w:sz w:val="1"/>
                <w:szCs w:val="1"/>
                <w:color w:val="auto"/>
              </w:rPr>
            </w:pPr>
          </w:p>
        </w:tc>
      </w:tr>
      <w:tr>
        <w:trPr>
          <w:trHeight w:val="223"/>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Doubtful</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98"/>
        </w:trPr>
        <w:tc>
          <w:tcPr>
            <w:tcW w:w="2380" w:type="dxa"/>
            <w:vAlign w:val="bottom"/>
            <w:tcBorders>
              <w:top w:val="single" w:sz="8" w:color="CCEEFF"/>
            </w:tcBorders>
          </w:tcPr>
          <w:p>
            <w:pPr>
              <w:spacing w:after="0" w:line="198" w:lineRule="exact"/>
              <w:rPr>
                <w:sz w:val="20"/>
                <w:szCs w:val="20"/>
                <w:color w:val="auto"/>
              </w:rPr>
            </w:pPr>
            <w:r>
              <w:rPr>
                <w:rFonts w:ascii="Times New Roman" w:cs="Times New Roman" w:eastAsia="Times New Roman" w:hAnsi="Times New Roman"/>
                <w:sz w:val="18"/>
                <w:szCs w:val="18"/>
                <w:color w:val="auto"/>
              </w:rPr>
              <w:t>Total commercial - general</w:t>
            </w: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loans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95,821</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109,096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70,135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106,158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58,573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96,954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84,197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620,934</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Year-to-date gross charge-offs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3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Consumer 1-4 family</w:t>
            </w:r>
          </w:p>
        </w:tc>
        <w:tc>
          <w:tcPr>
            <w:tcW w:w="18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residential</w:t>
            </w:r>
          </w:p>
        </w:tc>
        <w:tc>
          <w:tcPr>
            <w:tcW w:w="18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Pass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59,549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78,191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96,542</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146,475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82,673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107,543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5,746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576,719</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5,115</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5,605</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1,510</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1,223</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3,781</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6,944</w:t>
            </w:r>
          </w:p>
        </w:tc>
        <w:tc>
          <w:tcPr>
            <w:tcW w:w="0" w:type="dxa"/>
            <w:vAlign w:val="bottom"/>
          </w:tcPr>
          <w:p>
            <w:pPr>
              <w:spacing w:after="0"/>
              <w:rPr>
                <w:sz w:val="1"/>
                <w:szCs w:val="1"/>
                <w:color w:val="auto"/>
              </w:rPr>
            </w:pPr>
          </w:p>
        </w:tc>
      </w:tr>
      <w:tr>
        <w:trPr>
          <w:trHeight w:val="223"/>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Doubtful</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276</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198"/>
        </w:trPr>
        <w:tc>
          <w:tcPr>
            <w:tcW w:w="2380" w:type="dxa"/>
            <w:vAlign w:val="bottom"/>
            <w:tcBorders>
              <w:top w:val="single" w:sz="8" w:color="CCEEFF"/>
            </w:tcBorders>
          </w:tcPr>
          <w:p>
            <w:pPr>
              <w:spacing w:after="0" w:line="198" w:lineRule="exact"/>
              <w:rPr>
                <w:sz w:val="20"/>
                <w:szCs w:val="20"/>
                <w:color w:val="auto"/>
              </w:rPr>
            </w:pPr>
            <w:r>
              <w:rPr>
                <w:rFonts w:ascii="Times New Roman" w:cs="Times New Roman" w:eastAsia="Times New Roman" w:hAnsi="Times New Roman"/>
                <w:sz w:val="18"/>
                <w:szCs w:val="18"/>
                <w:color w:val="auto"/>
              </w:rPr>
              <w:t>Total consumer 1-4 family</w:t>
            </w: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residential loans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59,549</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78,341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98,842</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146,846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89,011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111,600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5,746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589,935</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Year-to-date gross charge-offs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Consumer auto loans</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Pass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63,069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60,727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55,674</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56,294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17,438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4,767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257,969</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w:t>
            </w: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57"/>
        </w:trPr>
        <w:tc>
          <w:tcPr>
            <w:tcW w:w="2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consumer auto loans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63,069</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60,727</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55,674</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56,430</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17,499</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258,193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Year-to-date gross charge-offs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Consumer other consumer</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16,607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17,001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9,420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10,463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3,442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5,205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63,484</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198"/>
        </w:trPr>
        <w:tc>
          <w:tcPr>
            <w:tcW w:w="2380" w:type="dxa"/>
            <w:vAlign w:val="bottom"/>
            <w:tcBorders>
              <w:top w:val="single" w:sz="8" w:color="CCEEFF"/>
            </w:tcBorders>
          </w:tcPr>
          <w:p>
            <w:pPr>
              <w:spacing w:after="0" w:line="198" w:lineRule="exact"/>
              <w:rPr>
                <w:sz w:val="20"/>
                <w:szCs w:val="20"/>
                <w:color w:val="auto"/>
              </w:rPr>
            </w:pPr>
            <w:r>
              <w:rPr>
                <w:rFonts w:ascii="Times New Roman" w:cs="Times New Roman" w:eastAsia="Times New Roman" w:hAnsi="Times New Roman"/>
                <w:sz w:val="18"/>
                <w:szCs w:val="18"/>
                <w:color w:val="auto"/>
              </w:rPr>
              <w:t>Total consumer other</w:t>
            </w: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consumer loans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16,607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17,021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10,480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3,459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5,246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63,589</w:t>
            </w:r>
          </w:p>
        </w:tc>
        <w:tc>
          <w:tcPr>
            <w:tcW w:w="0" w:type="dxa"/>
            <w:vAlign w:val="bottom"/>
          </w:tcPr>
          <w:p>
            <w:pPr>
              <w:spacing w:after="0"/>
              <w:rPr>
                <w:sz w:val="1"/>
                <w:szCs w:val="1"/>
                <w:color w:val="auto"/>
              </w:rPr>
            </w:pPr>
          </w:p>
        </w:tc>
      </w:tr>
      <w:tr>
        <w:trPr>
          <w:trHeight w:val="21"/>
        </w:trPr>
        <w:tc>
          <w:tcPr>
            <w:tcW w:w="2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3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Year-to-date gross charge-offs</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4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2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(1)</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760" w:type="dxa"/>
            <w:vAlign w:val="bottom"/>
            <w:tcBorders>
              <w:bottom w:val="single" w:sz="8" w:color="auto"/>
              <w:right w:val="single" w:sz="8" w:color="CCEEFF"/>
            </w:tcBorders>
            <w:vMerge w:val="continue"/>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b w:val="1"/>
          <w:bCs w:val="1"/>
          <w:color w:val="auto"/>
        </w:rPr>
        <w:t>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168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16840"/>
                    </a:xfrm>
                    <a:prstGeom prst="rect">
                      <a:avLst/>
                    </a:prstGeom>
                    <a:noFill/>
                  </pic:spPr>
                </pic:pic>
              </a:graphicData>
            </a:graphic>
          </wp:anchor>
        </w:drawing>
      </w:r>
    </w:p>
    <w:p>
      <w:pPr>
        <w:sectPr>
          <w:pgSz w:w="11900" w:h="16838" w:orient="portrait"/>
          <w:cols w:equalWidth="0" w:num="1">
            <w:col w:w="11240"/>
          </w:cols>
          <w:pgMar w:left="320" w:top="116" w:right="339" w:bottom="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Pass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41,841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51,289</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6,001</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1,043</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1,106</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101,280</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2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7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7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Substandard</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670</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670</w:t>
            </w:r>
          </w:p>
        </w:tc>
      </w:tr>
      <w:tr>
        <w:trPr>
          <w:trHeight w:val="27"/>
        </w:trPr>
        <w:tc>
          <w:tcPr>
            <w:tcW w:w="23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8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Total construction loans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41,841</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51,289</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6,671</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1,043</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1,106</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101,950</w:t>
            </w:r>
          </w:p>
        </w:tc>
      </w:tr>
      <w:tr>
        <w:trPr>
          <w:trHeight w:val="20"/>
        </w:trPr>
        <w:tc>
          <w:tcPr>
            <w:tcW w:w="2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2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Year-to-date gross charge-offs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87"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$180 thousand in charged-off demand deposit overdrafts reported as 2025 originations.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Term Loans</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60" w:type="dxa"/>
            <w:vAlign w:val="bottom"/>
            <w:gridSpan w:val="11"/>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Amortized Cost Basis by Origination Year</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Revolving</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Prior</w:t>
            </w:r>
          </w:p>
        </w:tc>
        <w:tc>
          <w:tcPr>
            <w:tcW w:w="140" w:type="dxa"/>
            <w:vAlign w:val="bottom"/>
          </w:tcPr>
          <w:p>
            <w:pPr>
              <w:spacing w:after="0"/>
              <w:rPr>
                <w:sz w:val="21"/>
                <w:szCs w:val="21"/>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40" w:type="dxa"/>
            <w:vAlign w:val="bottom"/>
          </w:tcPr>
          <w:p>
            <w:pPr>
              <w:spacing w:after="0"/>
              <w:rPr>
                <w:sz w:val="21"/>
                <w:szCs w:val="21"/>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432"/>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Commercial real estate</w:t>
            </w:r>
          </w:p>
        </w:tc>
        <w:tc>
          <w:tcPr>
            <w:tcW w:w="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164,205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233,047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300,828</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126,548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43,628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175,319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6,417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1,049,992</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32,243</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441</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5,464</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483</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38,631</w:t>
            </w:r>
          </w:p>
        </w:tc>
        <w:tc>
          <w:tcPr>
            <w:tcW w:w="0" w:type="dxa"/>
            <w:vAlign w:val="bottom"/>
          </w:tcPr>
          <w:p>
            <w:pPr>
              <w:spacing w:after="0"/>
              <w:rPr>
                <w:sz w:val="1"/>
                <w:szCs w:val="1"/>
                <w:color w:val="auto"/>
              </w:rPr>
            </w:pPr>
          </w:p>
        </w:tc>
      </w:tr>
      <w:tr>
        <w:trPr>
          <w:trHeight w:val="223"/>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25,164</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3,125</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2,004</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30,440</w:t>
            </w:r>
          </w:p>
        </w:tc>
        <w:tc>
          <w:tcPr>
            <w:tcW w:w="0" w:type="dxa"/>
            <w:vAlign w:val="bottom"/>
          </w:tcPr>
          <w:p>
            <w:pPr>
              <w:spacing w:after="0"/>
              <w:rPr>
                <w:sz w:val="1"/>
                <w:szCs w:val="1"/>
                <w:color w:val="auto"/>
              </w:rPr>
            </w:pPr>
          </w:p>
        </w:tc>
      </w:tr>
      <w:tr>
        <w:trPr>
          <w:trHeight w:val="198"/>
        </w:trPr>
        <w:tc>
          <w:tcPr>
            <w:tcW w:w="2380" w:type="dxa"/>
            <w:vAlign w:val="bottom"/>
            <w:tcBorders>
              <w:top w:val="single" w:sz="8" w:color="CCEEFF"/>
            </w:tcBorders>
            <w:gridSpan w:val="2"/>
          </w:tcPr>
          <w:p>
            <w:pPr>
              <w:spacing w:after="0" w:line="198" w:lineRule="exact"/>
              <w:rPr>
                <w:sz w:val="20"/>
                <w:szCs w:val="20"/>
                <w:color w:val="auto"/>
              </w:rPr>
            </w:pPr>
            <w:r>
              <w:rPr>
                <w:rFonts w:ascii="Times New Roman" w:cs="Times New Roman" w:eastAsia="Times New Roman" w:hAnsi="Times New Roman"/>
                <w:sz w:val="18"/>
                <w:szCs w:val="18"/>
                <w:color w:val="auto"/>
              </w:rPr>
              <w:t>Total commercial real estate</w:t>
            </w: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164,205</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233,047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300,975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183,955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47,194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182,787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1,119,063</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Year-to-date gross charge-offs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Commercial - specialized</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103,288</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60,881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37,940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41,721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15,678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28,488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98,092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386,088</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214</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1,814</w:t>
            </w:r>
          </w:p>
        </w:tc>
        <w:tc>
          <w:tcPr>
            <w:tcW w:w="0" w:type="dxa"/>
            <w:vAlign w:val="bottom"/>
          </w:tcPr>
          <w:p>
            <w:pPr>
              <w:spacing w:after="0"/>
              <w:rPr>
                <w:sz w:val="1"/>
                <w:szCs w:val="1"/>
                <w:color w:val="auto"/>
              </w:rPr>
            </w:pPr>
          </w:p>
        </w:tc>
      </w:tr>
      <w:tr>
        <w:trPr>
          <w:trHeight w:val="223"/>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510</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297</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1,053</w:t>
            </w:r>
          </w:p>
        </w:tc>
        <w:tc>
          <w:tcPr>
            <w:tcW w:w="0" w:type="dxa"/>
            <w:vAlign w:val="bottom"/>
          </w:tcPr>
          <w:p>
            <w:pPr>
              <w:spacing w:after="0"/>
              <w:rPr>
                <w:sz w:val="1"/>
                <w:szCs w:val="1"/>
                <w:color w:val="auto"/>
              </w:rPr>
            </w:pPr>
          </w:p>
        </w:tc>
      </w:tr>
      <w:tr>
        <w:trPr>
          <w:trHeight w:val="198"/>
        </w:trPr>
        <w:tc>
          <w:tcPr>
            <w:tcW w:w="2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Total commercial - specialized</w:t>
            </w: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104,012</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60,881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39,625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41,805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15,975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28,565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98,092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388,955</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Year-to-date gross charge-offs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Commercial - general</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107,947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72,500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109,808</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65,564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29,808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82,909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78,321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546,857</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960</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554</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499</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2,213</w:t>
            </w:r>
          </w:p>
        </w:tc>
        <w:tc>
          <w:tcPr>
            <w:tcW w:w="0" w:type="dxa"/>
            <w:vAlign w:val="bottom"/>
          </w:tcPr>
          <w:p>
            <w:pPr>
              <w:spacing w:after="0"/>
              <w:rPr>
                <w:sz w:val="1"/>
                <w:szCs w:val="1"/>
                <w:color w:val="auto"/>
              </w:rPr>
            </w:pPr>
          </w:p>
        </w:tc>
      </w:tr>
      <w:tr>
        <w:trPr>
          <w:trHeight w:val="223"/>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8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463</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2,405</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4,427</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805</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8,301</w:t>
            </w:r>
          </w:p>
        </w:tc>
        <w:tc>
          <w:tcPr>
            <w:tcW w:w="0" w:type="dxa"/>
            <w:vAlign w:val="bottom"/>
          </w:tcPr>
          <w:p>
            <w:pPr>
              <w:spacing w:after="0"/>
              <w:rPr>
                <w:sz w:val="1"/>
                <w:szCs w:val="1"/>
                <w:color w:val="auto"/>
              </w:rPr>
            </w:pPr>
          </w:p>
        </w:tc>
      </w:tr>
      <w:tr>
        <w:trPr>
          <w:trHeight w:val="198"/>
        </w:trPr>
        <w:tc>
          <w:tcPr>
            <w:tcW w:w="2380" w:type="dxa"/>
            <w:vAlign w:val="bottom"/>
            <w:tcBorders>
              <w:top w:val="single" w:sz="8" w:color="CCEEFF"/>
            </w:tcBorders>
            <w:gridSpan w:val="2"/>
          </w:tcPr>
          <w:p>
            <w:pPr>
              <w:spacing w:after="0" w:line="198" w:lineRule="exact"/>
              <w:rPr>
                <w:sz w:val="20"/>
                <w:szCs w:val="20"/>
                <w:color w:val="auto"/>
              </w:rPr>
            </w:pPr>
            <w:r>
              <w:rPr>
                <w:rFonts w:ascii="Times New Roman" w:cs="Times New Roman" w:eastAsia="Times New Roman" w:hAnsi="Times New Roman"/>
                <w:sz w:val="18"/>
                <w:szCs w:val="18"/>
                <w:color w:val="auto"/>
              </w:rPr>
              <w:t>Total commercial - general</w:t>
            </w: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108,045</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72,963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113,173</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70,545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29,827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84,213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78,605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557,371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Year-to-date gross charge-offs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38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Consumer 1-4 family</w:t>
            </w:r>
          </w:p>
        </w:tc>
        <w:tc>
          <w:tcPr>
            <w:tcW w:w="18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residential</w:t>
            </w:r>
          </w:p>
        </w:tc>
        <w:tc>
          <w:tcPr>
            <w:tcW w:w="18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87,266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101,022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150,358</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91,929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49,057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73,730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559,162</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810</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w:t>
            </w: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1,057</w:t>
            </w: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225</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4,812</w:t>
            </w:r>
          </w:p>
        </w:tc>
        <w:tc>
          <w:tcPr>
            <w:tcW w:w="1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7,238</w:t>
            </w:r>
          </w:p>
        </w:tc>
        <w:tc>
          <w:tcPr>
            <w:tcW w:w="0" w:type="dxa"/>
            <w:vAlign w:val="bottom"/>
          </w:tcPr>
          <w:p>
            <w:pPr>
              <w:spacing w:after="0"/>
              <w:rPr>
                <w:sz w:val="1"/>
                <w:szCs w:val="1"/>
                <w:color w:val="auto"/>
              </w:rPr>
            </w:pPr>
          </w:p>
        </w:tc>
      </w:tr>
      <w:tr>
        <w:trPr>
          <w:trHeight w:val="198"/>
        </w:trPr>
        <w:tc>
          <w:tcPr>
            <w:tcW w:w="2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Total consumer 1-4 family</w:t>
            </w: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loans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87,266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101,832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150,642</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92,986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49,282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78,542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5,850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566,400</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Year-to-date gross charge-offs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Consumer auto loans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70,621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72,009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76,412</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25,869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7,293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254,135</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consumer auto loans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70,642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72,037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76,494</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26,048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7,297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254,474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Year-to-date gross charge-offs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Consumer other consumer</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23,665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12,969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14,790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5,477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1,232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5,382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64,839</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198"/>
        </w:trPr>
        <w:tc>
          <w:tcPr>
            <w:tcW w:w="2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Total consumer other</w:t>
            </w: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loans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23,665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12,969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14,798</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1,232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64,936</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38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Year-to-date gross charge-offs</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469</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308</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245</w:t>
            </w:r>
          </w:p>
        </w:tc>
        <w:tc>
          <w:tcPr>
            <w:tcW w:w="18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1,257</w:t>
            </w:r>
          </w:p>
        </w:tc>
        <w:tc>
          <w:tcPr>
            <w:tcW w:w="0" w:type="dxa"/>
            <w:vAlign w:val="bottom"/>
          </w:tcPr>
          <w:p>
            <w:pPr>
              <w:spacing w:after="0"/>
              <w:rPr>
                <w:sz w:val="1"/>
                <w:szCs w:val="1"/>
                <w:color w:val="auto"/>
              </w:rPr>
            </w:pPr>
          </w:p>
        </w:tc>
      </w:tr>
      <w:tr>
        <w:trPr>
          <w:trHeight w:val="224"/>
        </w:trPr>
        <w:tc>
          <w:tcPr>
            <w:tcW w:w="10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(1)</w:t>
            </w:r>
          </w:p>
        </w:tc>
        <w:tc>
          <w:tcPr>
            <w:tcW w:w="136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Construction</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65,920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30,572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2,172</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2,630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102,185</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mention</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Substandard</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1,190</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480</w:t>
            </w: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1,670</w:t>
            </w:r>
          </w:p>
        </w:tc>
        <w:tc>
          <w:tcPr>
            <w:tcW w:w="0" w:type="dxa"/>
            <w:vAlign w:val="bottom"/>
          </w:tcPr>
          <w:p>
            <w:pPr>
              <w:spacing w:after="0"/>
              <w:rPr>
                <w:sz w:val="1"/>
                <w:szCs w:val="1"/>
                <w:color w:val="auto"/>
              </w:rPr>
            </w:pPr>
          </w:p>
        </w:tc>
      </w:tr>
      <w:tr>
        <w:trPr>
          <w:trHeight w:val="256"/>
        </w:trPr>
        <w:tc>
          <w:tcPr>
            <w:tcW w:w="2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construction loans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65,920</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31,762</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103,855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Year-to-date gross charge-offs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$457 thousand in charged-off demand deposit overdrafts reported as 2024 originations.</w:t>
      </w:r>
    </w:p>
    <w:p>
      <w:pPr>
        <w:sectPr>
          <w:pgSz w:w="11900" w:h="16838" w:orient="portrait"/>
          <w:cols w:equalWidth="0" w:num="1">
            <w:col w:w="11240"/>
          </w:cols>
          <w:pgMar w:left="320" w:top="114" w:right="339" w:bottom="457"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457"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Occasionally, the Company modifies loans to borrowers in financial distress by providing principal forgiveness, term extensions, an other than insignificant payment delay, or interest rate reduction. When principal forgiveness is provided, the amount of forgiveness is charged-off against the allowance for credit losses. Typically, one type of concession, such as term extension, is granted initially. If the borrower continues to experience financial difficulty, another concession, such as principal forgiveness, may be granted. In some cases, the Company provides multiple types of concessions on one loan. For the loans included in the “combination” columns below, multiple types of modifications have been made on the same loan within the current reporting period.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present the amortized cost basis of loans at June 30, 2025 and 2024 that were both experiencing financial difficulty and modified during the periods indicated, by class and by type of modification. The percentage of the amortized cost basis of loans that were modified to borrowers in financial distress as compared to the amortized cost basis of each class of financing receivable is also presented below (dollars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0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5"/>
              </w:rPr>
              <w:t>Delay, Term</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Extension</w:t>
            </w:r>
          </w:p>
        </w:tc>
        <w:tc>
          <w:tcPr>
            <w:tcW w:w="10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Extension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Delay and</w:t>
            </w:r>
          </w:p>
        </w:tc>
        <w:tc>
          <w:tcPr>
            <w:tcW w:w="12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Extension,</w:t>
            </w: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 of Total</w:t>
            </w:r>
          </w:p>
        </w:tc>
      </w:tr>
      <w:tr>
        <w:trPr>
          <w:trHeight w:val="216"/>
        </w:trPr>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and</w:t>
            </w: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and Interest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Interest</w:t>
            </w: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and Interest</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Class of</w:t>
            </w:r>
          </w:p>
        </w:tc>
      </w:tr>
      <w:tr>
        <w:trPr>
          <w:trHeight w:val="216"/>
        </w:trPr>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Payment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2"/>
              </w:rPr>
              <w:t>Term</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2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10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2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Financing</w:t>
            </w:r>
          </w:p>
        </w:tc>
      </w:tr>
      <w:tr>
        <w:trPr>
          <w:trHeight w:val="245"/>
        </w:trPr>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Delay</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Extension</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Reduction</w:t>
            </w:r>
          </w:p>
        </w:tc>
        <w:tc>
          <w:tcPr>
            <w:tcW w:w="120" w:type="dxa"/>
            <w:vAlign w:val="bottom"/>
          </w:tcPr>
          <w:p>
            <w:pPr>
              <w:spacing w:after="0"/>
              <w:rPr>
                <w:sz w:val="21"/>
                <w:szCs w:val="21"/>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Delay</w:t>
            </w:r>
          </w:p>
        </w:tc>
        <w:tc>
          <w:tcPr>
            <w:tcW w:w="100" w:type="dxa"/>
            <w:vAlign w:val="bottom"/>
          </w:tcPr>
          <w:p>
            <w:pPr>
              <w:spacing w:after="0"/>
              <w:rPr>
                <w:sz w:val="21"/>
                <w:szCs w:val="21"/>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Reduction</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Reduction</w:t>
            </w:r>
          </w:p>
        </w:tc>
        <w:tc>
          <w:tcPr>
            <w:tcW w:w="120" w:type="dxa"/>
            <w:vAlign w:val="bottom"/>
          </w:tcPr>
          <w:p>
            <w:pPr>
              <w:spacing w:after="0"/>
              <w:rPr>
                <w:sz w:val="21"/>
                <w:szCs w:val="21"/>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Reduction</w:t>
            </w: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Receivable</w:t>
            </w:r>
          </w:p>
        </w:tc>
      </w:tr>
      <w:tr>
        <w:trPr>
          <w:trHeight w:val="175"/>
        </w:trPr>
        <w:tc>
          <w:tcPr>
            <w:tcW w:w="164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Three Months Ended</w:t>
            </w: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96"/>
        </w:trPr>
        <w:tc>
          <w:tcPr>
            <w:tcW w:w="1520" w:type="dxa"/>
            <w:vAlign w:val="bottom"/>
            <w:tcBorders>
              <w:top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rPr>
              <w:t>June 30, 2025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
        </w:trPr>
        <w:tc>
          <w:tcPr>
            <w:tcW w:w="10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8"/>
        </w:trPr>
        <w:tc>
          <w:tcPr>
            <w:tcW w:w="1640" w:type="dxa"/>
            <w:vAlign w:val="bottom"/>
            <w:tcBorders>
              <w:right w:val="single" w:sz="8" w:color="CCEEFF"/>
            </w:tcBorders>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Commercial real</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1640" w:type="dxa"/>
            <w:vAlign w:val="bottom"/>
            <w:tcBorders>
              <w:right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estate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198"/>
        </w:trPr>
        <w:tc>
          <w:tcPr>
            <w:tcW w:w="164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Commercial -</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16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specialized</w:t>
            </w:r>
          </w:p>
        </w:tc>
        <w:tc>
          <w:tcPr>
            <w:tcW w:w="120" w:type="dxa"/>
            <w:vAlign w:val="bottom"/>
          </w:tcPr>
          <w:p>
            <w:pPr>
              <w:spacing w:after="0"/>
              <w:rPr>
                <w:sz w:val="20"/>
                <w:szCs w:val="20"/>
                <w:color w:val="auto"/>
              </w:rPr>
            </w:pPr>
          </w:p>
        </w:tc>
        <w:tc>
          <w:tcPr>
            <w:tcW w:w="8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0"/>
                <w:szCs w:val="20"/>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0.01%</w:t>
            </w:r>
          </w:p>
        </w:tc>
      </w:tr>
      <w:tr>
        <w:trPr>
          <w:trHeight w:val="198"/>
        </w:trPr>
        <w:tc>
          <w:tcPr>
            <w:tcW w:w="1640" w:type="dxa"/>
            <w:vAlign w:val="bottom"/>
            <w:tcBorders>
              <w:right w:val="single" w:sz="8" w:color="CCEEFF"/>
            </w:tcBorders>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Commercial -</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1640" w:type="dxa"/>
            <w:vAlign w:val="bottom"/>
            <w:tcBorders>
              <w:right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640" w:type="dxa"/>
            <w:vAlign w:val="bottom"/>
            <w:tcBorders>
              <w:right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 family</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16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Auto loans</w:t>
            </w:r>
          </w:p>
        </w:tc>
        <w:tc>
          <w:tcPr>
            <w:tcW w:w="120" w:type="dxa"/>
            <w:vAlign w:val="bottom"/>
          </w:tcPr>
          <w:p>
            <w:pPr>
              <w:spacing w:after="0"/>
              <w:rPr>
                <w:sz w:val="18"/>
                <w:szCs w:val="18"/>
                <w:color w:val="auto"/>
              </w:rPr>
            </w:pPr>
          </w:p>
        </w:tc>
        <w:tc>
          <w:tcPr>
            <w:tcW w:w="8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88"/>
              </w:rPr>
              <w:t>44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0.02%</w:t>
            </w:r>
          </w:p>
        </w:tc>
      </w:tr>
      <w:tr>
        <w:trPr>
          <w:trHeight w:val="216"/>
        </w:trPr>
        <w:tc>
          <w:tcPr>
            <w:tcW w:w="1640" w:type="dxa"/>
            <w:vAlign w:val="bottom"/>
            <w:tcBorders>
              <w:right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0.03%</w:t>
            </w:r>
          </w:p>
        </w:tc>
      </w:tr>
      <w:tr>
        <w:trPr>
          <w:trHeight w:val="216"/>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20" w:type="dxa"/>
            <w:vAlign w:val="bottom"/>
          </w:tcPr>
          <w:p>
            <w:pPr>
              <w:spacing w:after="0"/>
              <w:rPr>
                <w:sz w:val="18"/>
                <w:szCs w:val="18"/>
                <w:color w:val="auto"/>
              </w:rPr>
            </w:pPr>
          </w:p>
        </w:tc>
        <w:tc>
          <w:tcPr>
            <w:tcW w:w="8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Pr>
          <w:p>
            <w:pPr>
              <w:spacing w:after="0"/>
              <w:rPr>
                <w:sz w:val="18"/>
                <w:szCs w:val="18"/>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0.52%</w:t>
            </w:r>
          </w:p>
        </w:tc>
      </w:tr>
      <w:tr>
        <w:trPr>
          <w:trHeight w:val="27"/>
        </w:trPr>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56"/>
        </w:trPr>
        <w:tc>
          <w:tcPr>
            <w:tcW w:w="10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44</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77"/>
              </w:rPr>
              <w:t>—</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0.02%</w:t>
            </w:r>
          </w:p>
        </w:tc>
      </w:tr>
      <w:tr>
        <w:trPr>
          <w:trHeight w:val="169"/>
        </w:trPr>
        <w:tc>
          <w:tcPr>
            <w:tcW w:w="1640" w:type="dxa"/>
            <w:vAlign w:val="bottom"/>
            <w:tcBorders>
              <w:top w:val="single" w:sz="8" w:color="CCEEFF"/>
            </w:tcBorders>
            <w:gridSpan w:val="4"/>
          </w:tcPr>
          <w:p>
            <w:pPr>
              <w:spacing w:after="0" w:line="169" w:lineRule="exact"/>
              <w:rPr>
                <w:sz w:val="20"/>
                <w:szCs w:val="20"/>
                <w:color w:val="auto"/>
              </w:rPr>
            </w:pPr>
            <w:r>
              <w:rPr>
                <w:rFonts w:ascii="Times New Roman" w:cs="Times New Roman" w:eastAsia="Times New Roman" w:hAnsi="Times New Roman"/>
                <w:sz w:val="18"/>
                <w:szCs w:val="18"/>
                <w:color w:val="auto"/>
              </w:rPr>
              <w:t>Three Months Ended</w:t>
            </w: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r>
      <w:tr>
        <w:trPr>
          <w:trHeight w:val="196"/>
        </w:trPr>
        <w:tc>
          <w:tcPr>
            <w:tcW w:w="1520" w:type="dxa"/>
            <w:vAlign w:val="bottom"/>
            <w:tcBorders>
              <w:top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rPr>
              <w:t>June 30, 2024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10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8"/>
        </w:trPr>
        <w:tc>
          <w:tcPr>
            <w:tcW w:w="1640" w:type="dxa"/>
            <w:vAlign w:val="bottom"/>
            <w:tcBorders>
              <w:right w:val="single" w:sz="8" w:color="CCEEFF"/>
            </w:tcBorders>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Commercial real</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1640" w:type="dxa"/>
            <w:vAlign w:val="bottom"/>
            <w:tcBorders>
              <w:right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estate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0.01%</w:t>
            </w:r>
          </w:p>
        </w:tc>
      </w:tr>
      <w:tr>
        <w:trPr>
          <w:trHeight w:val="198"/>
        </w:trPr>
        <w:tc>
          <w:tcPr>
            <w:tcW w:w="164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Commercial -</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16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specialized</w:t>
            </w:r>
          </w:p>
        </w:tc>
        <w:tc>
          <w:tcPr>
            <w:tcW w:w="120" w:type="dxa"/>
            <w:vAlign w:val="bottom"/>
          </w:tcPr>
          <w:p>
            <w:pPr>
              <w:spacing w:after="0"/>
              <w:rPr>
                <w:sz w:val="20"/>
                <w:szCs w:val="20"/>
                <w:color w:val="auto"/>
              </w:rPr>
            </w:pPr>
          </w:p>
        </w:tc>
        <w:tc>
          <w:tcPr>
            <w:tcW w:w="8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88"/>
              </w:rPr>
              <w:t>15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198"/>
        </w:trPr>
        <w:tc>
          <w:tcPr>
            <w:tcW w:w="1640" w:type="dxa"/>
            <w:vAlign w:val="bottom"/>
            <w:tcBorders>
              <w:right w:val="single" w:sz="8" w:color="CCEEFF"/>
            </w:tcBorders>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Commercial -</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1640" w:type="dxa"/>
            <w:vAlign w:val="bottom"/>
            <w:tcBorders>
              <w:right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0.08%</w:t>
            </w:r>
          </w:p>
        </w:tc>
      </w:tr>
      <w:tr>
        <w:trPr>
          <w:trHeight w:val="216"/>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640" w:type="dxa"/>
            <w:vAlign w:val="bottom"/>
            <w:tcBorders>
              <w:right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 family</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16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Auto loans</w:t>
            </w:r>
          </w:p>
        </w:tc>
        <w:tc>
          <w:tcPr>
            <w:tcW w:w="120" w:type="dxa"/>
            <w:vAlign w:val="bottom"/>
          </w:tcPr>
          <w:p>
            <w:pPr>
              <w:spacing w:after="0"/>
              <w:rPr>
                <w:sz w:val="18"/>
                <w:szCs w:val="18"/>
                <w:color w:val="auto"/>
              </w:rPr>
            </w:pPr>
          </w:p>
        </w:tc>
        <w:tc>
          <w:tcPr>
            <w:tcW w:w="8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1640" w:type="dxa"/>
            <w:vAlign w:val="bottom"/>
            <w:tcBorders>
              <w:right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20" w:type="dxa"/>
            <w:vAlign w:val="bottom"/>
          </w:tcPr>
          <w:p>
            <w:pPr>
              <w:spacing w:after="0"/>
              <w:rPr>
                <w:sz w:val="18"/>
                <w:szCs w:val="18"/>
                <w:color w:val="auto"/>
              </w:rPr>
            </w:pPr>
          </w:p>
        </w:tc>
        <w:tc>
          <w:tcPr>
            <w:tcW w:w="8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7"/>
        </w:trPr>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57"/>
        </w:trPr>
        <w:tc>
          <w:tcPr>
            <w:tcW w:w="10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15</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77"/>
              </w:rPr>
              <w:t>—</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0.02%</w:t>
            </w:r>
          </w:p>
        </w:tc>
      </w:tr>
      <w:tr>
        <w:trPr>
          <w:trHeight w:val="169"/>
        </w:trPr>
        <w:tc>
          <w:tcPr>
            <w:tcW w:w="1640" w:type="dxa"/>
            <w:vAlign w:val="bottom"/>
            <w:tcBorders>
              <w:top w:val="single" w:sz="8" w:color="CCEEFF"/>
            </w:tcBorders>
            <w:gridSpan w:val="4"/>
          </w:tcPr>
          <w:p>
            <w:pPr>
              <w:spacing w:after="0" w:line="169" w:lineRule="exact"/>
              <w:rPr>
                <w:sz w:val="20"/>
                <w:szCs w:val="20"/>
                <w:color w:val="auto"/>
              </w:rPr>
            </w:pPr>
            <w:r>
              <w:rPr>
                <w:rFonts w:ascii="Times New Roman" w:cs="Times New Roman" w:eastAsia="Times New Roman" w:hAnsi="Times New Roman"/>
                <w:sz w:val="18"/>
                <w:szCs w:val="18"/>
                <w:color w:val="auto"/>
              </w:rPr>
              <w:t>Six Months Ended</w:t>
            </w: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r>
      <w:tr>
        <w:trPr>
          <w:trHeight w:val="196"/>
        </w:trPr>
        <w:tc>
          <w:tcPr>
            <w:tcW w:w="1340" w:type="dxa"/>
            <w:vAlign w:val="bottom"/>
            <w:tcBorders>
              <w:top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June 30, 2025</w:t>
            </w:r>
          </w:p>
        </w:tc>
        <w:tc>
          <w:tcPr>
            <w:tcW w:w="3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10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8"/>
        </w:trPr>
        <w:tc>
          <w:tcPr>
            <w:tcW w:w="1640" w:type="dxa"/>
            <w:vAlign w:val="bottom"/>
            <w:tcBorders>
              <w:right w:val="single" w:sz="8" w:color="CCEEFF"/>
            </w:tcBorders>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Commercial real</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1640" w:type="dxa"/>
            <w:vAlign w:val="bottom"/>
            <w:tcBorders>
              <w:right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estate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198"/>
        </w:trPr>
        <w:tc>
          <w:tcPr>
            <w:tcW w:w="164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Commercial -</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16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specialized</w:t>
            </w:r>
          </w:p>
        </w:tc>
        <w:tc>
          <w:tcPr>
            <w:tcW w:w="120" w:type="dxa"/>
            <w:vAlign w:val="bottom"/>
          </w:tcPr>
          <w:p>
            <w:pPr>
              <w:spacing w:after="0"/>
              <w:rPr>
                <w:sz w:val="20"/>
                <w:szCs w:val="20"/>
                <w:color w:val="auto"/>
              </w:rPr>
            </w:pPr>
          </w:p>
        </w:tc>
        <w:tc>
          <w:tcPr>
            <w:tcW w:w="8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0"/>
                <w:szCs w:val="20"/>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0.01%</w:t>
            </w:r>
          </w:p>
        </w:tc>
      </w:tr>
      <w:tr>
        <w:trPr>
          <w:trHeight w:val="198"/>
        </w:trPr>
        <w:tc>
          <w:tcPr>
            <w:tcW w:w="1640" w:type="dxa"/>
            <w:vAlign w:val="bottom"/>
            <w:tcBorders>
              <w:right w:val="single" w:sz="8" w:color="CCEEFF"/>
            </w:tcBorders>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Commercial -</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1640" w:type="dxa"/>
            <w:vAlign w:val="bottom"/>
            <w:tcBorders>
              <w:right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0.06%</w:t>
            </w:r>
          </w:p>
        </w:tc>
      </w:tr>
      <w:tr>
        <w:trPr>
          <w:trHeight w:val="216"/>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640" w:type="dxa"/>
            <w:vAlign w:val="bottom"/>
            <w:tcBorders>
              <w:right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 family</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16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Auto loans</w:t>
            </w:r>
          </w:p>
        </w:tc>
        <w:tc>
          <w:tcPr>
            <w:tcW w:w="120" w:type="dxa"/>
            <w:vAlign w:val="bottom"/>
          </w:tcPr>
          <w:p>
            <w:pPr>
              <w:spacing w:after="0"/>
              <w:rPr>
                <w:sz w:val="18"/>
                <w:szCs w:val="18"/>
                <w:color w:val="auto"/>
              </w:rPr>
            </w:pPr>
          </w:p>
        </w:tc>
        <w:tc>
          <w:tcPr>
            <w:tcW w:w="8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88"/>
              </w:rPr>
              <w:t>44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0.02%</w:t>
            </w:r>
          </w:p>
        </w:tc>
      </w:tr>
      <w:tr>
        <w:trPr>
          <w:trHeight w:val="216"/>
        </w:trPr>
        <w:tc>
          <w:tcPr>
            <w:tcW w:w="1640" w:type="dxa"/>
            <w:vAlign w:val="bottom"/>
            <w:tcBorders>
              <w:right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0.03%</w:t>
            </w:r>
          </w:p>
        </w:tc>
      </w:tr>
      <w:tr>
        <w:trPr>
          <w:trHeight w:val="216"/>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20" w:type="dxa"/>
            <w:vAlign w:val="bottom"/>
          </w:tcPr>
          <w:p>
            <w:pPr>
              <w:spacing w:after="0"/>
              <w:rPr>
                <w:sz w:val="18"/>
                <w:szCs w:val="18"/>
                <w:color w:val="auto"/>
              </w:rPr>
            </w:pPr>
          </w:p>
        </w:tc>
        <w:tc>
          <w:tcPr>
            <w:tcW w:w="8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Pr>
          <w:p>
            <w:pPr>
              <w:spacing w:after="0"/>
              <w:rPr>
                <w:sz w:val="18"/>
                <w:szCs w:val="18"/>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0.52%</w:t>
            </w:r>
          </w:p>
        </w:tc>
      </w:tr>
      <w:tr>
        <w:trPr>
          <w:trHeight w:val="27"/>
        </w:trPr>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56"/>
        </w:trPr>
        <w:tc>
          <w:tcPr>
            <w:tcW w:w="10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44</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77"/>
              </w:rPr>
              <w:t>—</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0.03%</w:t>
            </w:r>
          </w:p>
        </w:tc>
      </w:tr>
      <w:tr>
        <w:trPr>
          <w:trHeight w:val="169"/>
        </w:trPr>
        <w:tc>
          <w:tcPr>
            <w:tcW w:w="1640" w:type="dxa"/>
            <w:vAlign w:val="bottom"/>
            <w:tcBorders>
              <w:top w:val="single" w:sz="8" w:color="CCEEFF"/>
            </w:tcBorders>
            <w:gridSpan w:val="4"/>
          </w:tcPr>
          <w:p>
            <w:pPr>
              <w:spacing w:after="0" w:line="169" w:lineRule="exact"/>
              <w:rPr>
                <w:sz w:val="20"/>
                <w:szCs w:val="20"/>
                <w:color w:val="auto"/>
              </w:rPr>
            </w:pPr>
            <w:r>
              <w:rPr>
                <w:rFonts w:ascii="Times New Roman" w:cs="Times New Roman" w:eastAsia="Times New Roman" w:hAnsi="Times New Roman"/>
                <w:sz w:val="18"/>
                <w:szCs w:val="18"/>
                <w:color w:val="auto"/>
              </w:rPr>
              <w:t>Six Months Ended</w:t>
            </w: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r>
      <w:tr>
        <w:trPr>
          <w:trHeight w:val="196"/>
        </w:trPr>
        <w:tc>
          <w:tcPr>
            <w:tcW w:w="1340" w:type="dxa"/>
            <w:vAlign w:val="bottom"/>
            <w:tcBorders>
              <w:top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June 30, 2024</w:t>
            </w:r>
          </w:p>
        </w:tc>
        <w:tc>
          <w:tcPr>
            <w:tcW w:w="3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10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8"/>
        </w:trPr>
        <w:tc>
          <w:tcPr>
            <w:tcW w:w="1640" w:type="dxa"/>
            <w:vAlign w:val="bottom"/>
            <w:tcBorders>
              <w:right w:val="single" w:sz="8" w:color="CCEEFF"/>
            </w:tcBorders>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Commercial real</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1640" w:type="dxa"/>
            <w:vAlign w:val="bottom"/>
            <w:tcBorders>
              <w:right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estate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0.01%</w:t>
            </w:r>
          </w:p>
        </w:tc>
      </w:tr>
      <w:tr>
        <w:trPr>
          <w:trHeight w:val="198"/>
        </w:trPr>
        <w:tc>
          <w:tcPr>
            <w:tcW w:w="164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Commercial -</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16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specialized</w:t>
            </w:r>
          </w:p>
        </w:tc>
        <w:tc>
          <w:tcPr>
            <w:tcW w:w="120" w:type="dxa"/>
            <w:vAlign w:val="bottom"/>
          </w:tcPr>
          <w:p>
            <w:pPr>
              <w:spacing w:after="0"/>
              <w:rPr>
                <w:sz w:val="20"/>
                <w:szCs w:val="20"/>
                <w:color w:val="auto"/>
              </w:rPr>
            </w:pPr>
          </w:p>
        </w:tc>
        <w:tc>
          <w:tcPr>
            <w:tcW w:w="8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88"/>
              </w:rPr>
              <w:t>15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198"/>
        </w:trPr>
        <w:tc>
          <w:tcPr>
            <w:tcW w:w="1640" w:type="dxa"/>
            <w:vAlign w:val="bottom"/>
            <w:tcBorders>
              <w:right w:val="single" w:sz="8" w:color="CCEEFF"/>
            </w:tcBorders>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Commercial -</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1640" w:type="dxa"/>
            <w:vAlign w:val="bottom"/>
            <w:tcBorders>
              <w:right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0.09%</w:t>
            </w:r>
          </w:p>
        </w:tc>
      </w:tr>
      <w:tr>
        <w:trPr>
          <w:trHeight w:val="216"/>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640" w:type="dxa"/>
            <w:vAlign w:val="bottom"/>
            <w:tcBorders>
              <w:right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 family</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16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Auto loans</w:t>
            </w:r>
          </w:p>
        </w:tc>
        <w:tc>
          <w:tcPr>
            <w:tcW w:w="120" w:type="dxa"/>
            <w:vAlign w:val="bottom"/>
          </w:tcPr>
          <w:p>
            <w:pPr>
              <w:spacing w:after="0"/>
              <w:rPr>
                <w:sz w:val="18"/>
                <w:szCs w:val="18"/>
                <w:color w:val="auto"/>
              </w:rPr>
            </w:pPr>
          </w:p>
        </w:tc>
        <w:tc>
          <w:tcPr>
            <w:tcW w:w="8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1640" w:type="dxa"/>
            <w:vAlign w:val="bottom"/>
            <w:tcBorders>
              <w:right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20" w:type="dxa"/>
            <w:vAlign w:val="bottom"/>
          </w:tcPr>
          <w:p>
            <w:pPr>
              <w:spacing w:after="0"/>
              <w:rPr>
                <w:sz w:val="18"/>
                <w:szCs w:val="18"/>
                <w:color w:val="auto"/>
              </w:rPr>
            </w:pPr>
          </w:p>
        </w:tc>
        <w:tc>
          <w:tcPr>
            <w:tcW w:w="8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7"/>
        </w:trPr>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36"/>
        </w:trPr>
        <w:tc>
          <w:tcPr>
            <w:tcW w:w="10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15</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35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77"/>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0.02%</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ectPr>
          <w:pgSz w:w="11900" w:h="16838" w:orient="portrait"/>
          <w:cols w:equalWidth="0" w:num="1">
            <w:col w:w="11240"/>
          </w:cols>
          <w:pgMar w:left="320" w:top="116" w:right="339" w:bottom="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financial effects of the loan modifications presented above to borrowers experiencing financial difficulty during the periods indicated below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Term</w:t>
            </w:r>
          </w:p>
        </w:tc>
      </w:tr>
      <w:tr>
        <w:trPr>
          <w:trHeight w:val="216"/>
        </w:trPr>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Extension</w:t>
            </w:r>
          </w:p>
        </w:tc>
      </w:tr>
      <w:tr>
        <w:trPr>
          <w:trHeight w:val="245"/>
        </w:trPr>
        <w:tc>
          <w:tcPr>
            <w:tcW w:w="2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Reduction</w:t>
            </w: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(Months)</w:t>
            </w:r>
          </w:p>
        </w:tc>
      </w:tr>
      <w:tr>
        <w:trPr>
          <w:trHeight w:val="176"/>
        </w:trPr>
        <w:tc>
          <w:tcPr>
            <w:tcW w:w="40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Three Months Ended June 30, 2025</w:t>
            </w:r>
          </w:p>
        </w:tc>
        <w:tc>
          <w:tcPr>
            <w:tcW w:w="424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20"/>
        </w:trPr>
        <w:tc>
          <w:tcPr>
            <w:tcW w:w="24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6"/>
        </w:trPr>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5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0.00%</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57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0.00%</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5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w:t>
            </w:r>
          </w:p>
        </w:tc>
        <w:tc>
          <w:tcPr>
            <w:tcW w:w="4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0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 Family residential</w:t>
            </w:r>
          </w:p>
        </w:tc>
        <w:tc>
          <w:tcPr>
            <w:tcW w:w="5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0.00%</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Auto loans</w:t>
            </w:r>
          </w:p>
        </w:tc>
        <w:tc>
          <w:tcPr>
            <w:tcW w:w="57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1.20%</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0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5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0.00%</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57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0.00%</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176"/>
        </w:trPr>
        <w:tc>
          <w:tcPr>
            <w:tcW w:w="40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Three Months Ended June 30, 2024</w:t>
            </w:r>
          </w:p>
        </w:tc>
        <w:tc>
          <w:tcPr>
            <w:tcW w:w="4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0"/>
        </w:trPr>
        <w:tc>
          <w:tcPr>
            <w:tcW w:w="24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6"/>
        </w:trPr>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5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0.00%</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57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0.00%</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5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0.00%</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w:t>
            </w:r>
          </w:p>
        </w:tc>
        <w:tc>
          <w:tcPr>
            <w:tcW w:w="4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0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 Family residential</w:t>
            </w:r>
          </w:p>
        </w:tc>
        <w:tc>
          <w:tcPr>
            <w:tcW w:w="5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0.00%</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Auto loans</w:t>
            </w:r>
          </w:p>
        </w:tc>
        <w:tc>
          <w:tcPr>
            <w:tcW w:w="57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0.00%</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5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0.00%</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57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0.00%</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175"/>
        </w:trPr>
        <w:tc>
          <w:tcPr>
            <w:tcW w:w="40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Six Months Ended June 30, 2025</w:t>
            </w:r>
          </w:p>
        </w:tc>
        <w:tc>
          <w:tcPr>
            <w:tcW w:w="4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0"/>
        </w:trPr>
        <w:tc>
          <w:tcPr>
            <w:tcW w:w="24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6"/>
        </w:trPr>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5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0.00%</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57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0.00%</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5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w:t>
            </w:r>
          </w:p>
        </w:tc>
        <w:tc>
          <w:tcPr>
            <w:tcW w:w="4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0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 Family residential</w:t>
            </w:r>
          </w:p>
        </w:tc>
        <w:tc>
          <w:tcPr>
            <w:tcW w:w="5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0.00%</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Auto loans</w:t>
            </w:r>
          </w:p>
        </w:tc>
        <w:tc>
          <w:tcPr>
            <w:tcW w:w="57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1.20%</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0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5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0.00%</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57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0.00%</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175"/>
        </w:trPr>
        <w:tc>
          <w:tcPr>
            <w:tcW w:w="40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Six Months Ended June 30, 2024</w:t>
            </w:r>
          </w:p>
        </w:tc>
        <w:tc>
          <w:tcPr>
            <w:tcW w:w="4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1"/>
        </w:trPr>
        <w:tc>
          <w:tcPr>
            <w:tcW w:w="24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6"/>
        </w:trPr>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5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0.00%</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57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0.00%</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5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1.75%</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w:t>
            </w:r>
          </w:p>
        </w:tc>
        <w:tc>
          <w:tcPr>
            <w:tcW w:w="4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0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 Family residential</w:t>
            </w:r>
          </w:p>
        </w:tc>
        <w:tc>
          <w:tcPr>
            <w:tcW w:w="5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0.00%</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Auto loans</w:t>
            </w:r>
          </w:p>
        </w:tc>
        <w:tc>
          <w:tcPr>
            <w:tcW w:w="57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0.00%</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5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0.00%</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57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0.00%</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552"/>
        </w:trPr>
        <w:tc>
          <w:tcPr>
            <w:tcW w:w="2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240" w:type="dxa"/>
            <w:vAlign w:val="bottom"/>
          </w:tcPr>
          <w:p>
            <w:pPr>
              <w:jc w:val="right"/>
              <w:ind w:right="2511"/>
              <w:spacing w:after="0"/>
              <w:rPr>
                <w:sz w:val="20"/>
                <w:szCs w:val="20"/>
                <w:color w:val="auto"/>
              </w:rPr>
            </w:pPr>
            <w:r>
              <w:rPr>
                <w:rFonts w:ascii="Times New Roman" w:cs="Times New Roman" w:eastAsia="Times New Roman" w:hAnsi="Times New Roman"/>
                <w:sz w:val="14"/>
                <w:szCs w:val="14"/>
                <w:color w:val="auto"/>
              </w:rPr>
              <w:t>16</w:t>
            </w: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4"/>
        </w:trPr>
        <w:tc>
          <w:tcPr>
            <w:tcW w:w="24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42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19" w:name="page20"/>
    <w:bookmarkEnd w:id="19"/>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closely monitors the performance of loans that are modified to borrowers experiencing financial difficulty to understand the effectiveness of its modification efforts. The following presents the performance of such loans that have been modified in the last twelve months at the dates indicated (dollars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90 Days or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30-89 Days</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More Past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102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00" w:type="dxa"/>
            <w:vAlign w:val="bottom"/>
          </w:tcPr>
          <w:p>
            <w:pPr>
              <w:spacing w:after="0"/>
              <w:rPr>
                <w:sz w:val="21"/>
                <w:szCs w:val="21"/>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Past Due</w:t>
            </w:r>
          </w:p>
        </w:tc>
        <w:tc>
          <w:tcPr>
            <w:tcW w:w="120" w:type="dxa"/>
            <w:vAlign w:val="bottom"/>
          </w:tcPr>
          <w:p>
            <w:pPr>
              <w:spacing w:after="0"/>
              <w:rPr>
                <w:sz w:val="21"/>
                <w:szCs w:val="21"/>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Due</w:t>
            </w:r>
          </w:p>
        </w:tc>
        <w:tc>
          <w:tcPr>
            <w:tcW w:w="100" w:type="dxa"/>
            <w:vAlign w:val="bottom"/>
          </w:tcPr>
          <w:p>
            <w:pPr>
              <w:spacing w:after="0"/>
              <w:rPr>
                <w:sz w:val="21"/>
                <w:szCs w:val="21"/>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Nonaccrual</w:t>
            </w:r>
          </w:p>
        </w:tc>
      </w:tr>
      <w:tr>
        <w:trPr>
          <w:trHeight w:val="176"/>
        </w:trPr>
        <w:tc>
          <w:tcPr>
            <w:tcW w:w="5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June 30, 2025</w:t>
            </w: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020" w:type="dxa"/>
            <w:vAlign w:val="bottom"/>
            <w:tcBorders>
              <w:top w:val="single" w:sz="8" w:color="auto"/>
            </w:tcBorders>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 Family residential</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815</w:t>
            </w: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Auto loans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consumer</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r>
      <w:tr>
        <w:trPr>
          <w:trHeight w:val="257"/>
        </w:trPr>
        <w:tc>
          <w:tcPr>
            <w:tcW w:w="1020" w:type="dxa"/>
            <w:vAlign w:val="bottom"/>
            <w:tcBorders>
              <w:bottom w:val="single" w:sz="8" w:color="CCEEFF"/>
            </w:tcBorders>
            <w:shd w:val="clear" w:color="auto" w:fill="CCEEFF"/>
          </w:tcPr>
          <w:p>
            <w:pPr>
              <w:spacing w:after="0"/>
              <w:rPr>
                <w:sz w:val="22"/>
                <w:szCs w:val="22"/>
                <w:color w:val="auto"/>
              </w:rPr>
            </w:pPr>
          </w:p>
        </w:tc>
        <w:tc>
          <w:tcPr>
            <w:tcW w:w="49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87</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385"/>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30, 2024</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020" w:type="dxa"/>
            <w:vAlign w:val="bottom"/>
            <w:tcBorders>
              <w:top w:val="single" w:sz="8" w:color="auto"/>
            </w:tcBorders>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 Family residential</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Auto loans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020" w:type="dxa"/>
            <w:vAlign w:val="bottom"/>
            <w:tcBorders>
              <w:bottom w:val="single" w:sz="8" w:color="CCEEFF"/>
            </w:tcBorders>
            <w:shd w:val="clear" w:color="auto" w:fill="CCEEFF"/>
          </w:tcPr>
          <w:p>
            <w:pPr>
              <w:spacing w:after="0"/>
              <w:rPr>
                <w:sz w:val="22"/>
                <w:szCs w:val="22"/>
                <w:color w:val="auto"/>
              </w:rPr>
            </w:pPr>
          </w:p>
        </w:tc>
        <w:tc>
          <w:tcPr>
            <w:tcW w:w="49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June 30, 2025, the Company had $865 thousand in loans made to borrowers experiencing financial difficulty that were modified during the last twelve months that subsequently defaulted. During the six months ended June 30, 2025, the Company had $923 thousand in loans made to borrowers experiencing financial difficulty that were modified during the last twelve months that subsequently defaulted. Payment default is defined as movement to nonperforming status, foreclosure, or charge-off.</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2024, the Company had no loans made to borrowers experiencing financial difficulty that were modified during the last twelve months that subsequently defaulted. During the six months ended June 30, 2024, the Company had $31 thousand in loans made to borrowers experiencing financial difficulty that were modified during the last twelve months that subsequently defaulted.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GOODWILL AND INTANGIBLES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goodwill of $19.3 million at June 30, 2025 and December 31,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intangible assets, which consisted of core deposit intangibles at the dates indicated are summarized below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Amortized intangible assets: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Core deposit intangible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8"/>
              </w:rPr>
              <w:t>6,679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6,679</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60" w:type="dxa"/>
            <w:vAlign w:val="bottom"/>
          </w:tcPr>
          <w:p>
            <w:pPr>
              <w:spacing w:after="0"/>
              <w:rPr>
                <w:sz w:val="19"/>
                <w:szCs w:val="19"/>
                <w:color w:val="auto"/>
              </w:rPr>
            </w:pPr>
          </w:p>
        </w:tc>
        <w:tc>
          <w:tcPr>
            <w:tcW w:w="11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8"/>
              </w:rPr>
              <w:t>(5,262)</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(4,959)</w:t>
            </w: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8"/>
              </w:rPr>
              <w:t>1,417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MORTGAGE SERVICING RIGHTS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changes in fair value of the Company’s mortgage servicing rights asset included in the Consolidated Balance Sheets, and other information related to the serviced portfolio, for the periods or dates presented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5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5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24,906</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26,569</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583</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adjustment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(156)</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(1,741)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(625)</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25,134</w:t>
            </w:r>
          </w:p>
        </w:tc>
        <w:tc>
          <w:tcPr>
            <w:tcW w:w="26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26,426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25,134</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26,426</w:t>
            </w:r>
          </w:p>
        </w:tc>
      </w:tr>
      <w:tr>
        <w:trPr>
          <w:trHeight w:val="21"/>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loans serviced for others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1,859,358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1,903,854</w:t>
            </w:r>
          </w:p>
        </w:tc>
        <w:tc>
          <w:tcPr>
            <w:tcW w:w="160" w:type="dxa"/>
            <w:vAlign w:val="bottom"/>
            <w:shd w:val="clear" w:color="auto" w:fill="CCEEFF"/>
          </w:tcPr>
          <w:p>
            <w:pPr>
              <w:spacing w:after="0"/>
              <w:rPr>
                <w:sz w:val="18"/>
                <w:szCs w:val="18"/>
                <w:color w:val="auto"/>
              </w:rPr>
            </w:pP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Mortgage servicing rights assets as a percentage of serviced mortgage loans</w:t>
            </w:r>
          </w:p>
        </w:tc>
        <w:tc>
          <w:tcPr>
            <w:tcW w:w="1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key assumptions used in measuring the fair value of the Company’s mortgage servicing rights as of the dates indicated:</w:t>
      </w:r>
    </w:p>
    <w:p>
      <w:pPr>
        <w:spacing w:after="0" w:line="221" w:lineRule="exact"/>
        <w:rPr>
          <w:sz w:val="20"/>
          <w:szCs w:val="20"/>
          <w:color w:val="auto"/>
        </w:rPr>
      </w:pPr>
    </w:p>
    <w:tbl>
      <w:tblPr>
        <w:tblLayout w:type="fixed"/>
        <w:tblInd w:w="8600" w:type="dxa"/>
        <w:tblCellMar>
          <w:top w:w="0" w:type="dxa"/>
          <w:left w:w="0" w:type="dxa"/>
          <w:bottom w:w="0" w:type="dxa"/>
          <w:right w:w="0" w:type="dxa"/>
        </w:tblCellMar>
      </w:tblPr>
      <w:tr>
        <w:trPr>
          <w:trHeight w:val="216"/>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r>
    </w:tbl>
    <w:p>
      <w:pPr>
        <w:sectPr>
          <w:pgSz w:w="11900" w:h="16900" w:orient="portrait"/>
          <w:cols w:equalWidth="0" w:num="1">
            <w:col w:w="11240"/>
          </w:cols>
          <w:pgMar w:left="320" w:top="115" w:right="339" w:bottom="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86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86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constant prepayment rate</w:t>
            </w:r>
          </w:p>
        </w:tc>
        <w:tc>
          <w:tcPr>
            <w:tcW w:w="1380" w:type="dxa"/>
            <w:vAlign w:val="bottom"/>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7.31%</w:t>
            </w:r>
          </w:p>
        </w:tc>
        <w:tc>
          <w:tcPr>
            <w:tcW w:w="1260" w:type="dxa"/>
            <w:vAlign w:val="bottom"/>
            <w:gridSpan w:val="2"/>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7.16%</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10.17%</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life in years</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7.98</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BORROWING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Subordinated Debt</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December 2018, the Company issued $14.1 million of subordinated notes that have a maturity date of December 2030 and a weighted average fixed rate of 6.41% for the first seven years. After the fixed rate period, these notes will float at the </w:t>
      </w:r>
      <w:r>
        <w:rPr>
          <w:rFonts w:ascii="Times New Roman" w:cs="Times New Roman" w:eastAsia="Times New Roman" w:hAnsi="Times New Roman"/>
          <w:sz w:val="18"/>
          <w:szCs w:val="18"/>
          <w:i w:val="1"/>
          <w:iCs w:val="1"/>
          <w:color w:val="auto"/>
        </w:rPr>
        <w:t>Wall Street Journal</w:t>
      </w:r>
      <w:r>
        <w:rPr>
          <w:rFonts w:ascii="Times New Roman" w:cs="Times New Roman" w:eastAsia="Times New Roman" w:hAnsi="Times New Roman"/>
          <w:sz w:val="18"/>
          <w:szCs w:val="18"/>
          <w:color w:val="auto"/>
        </w:rPr>
        <w:t xml:space="preserve"> prime rate, with a floor of 4.0% and a ceiling of 7.5%. These notes pay interest quarterly, are unsecured, and may be called by the Company at any time after the remaining maturity is five years or less. Additionally, these notes are intended to qualify for Tier 2 capital treatment, subject to regulatory limitations.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29, 2020, the Company issued $50.0 million in subordinated notes. Proceeds were reduced by approximately $926 thousand in debt issuance costs. These notes have a maturity date of September 2030 with a fixed rate of 4.50% for the first five years. After the expiration of the fixed rate period, these notes will reset quarterly at a variable rate equal to the then current three-month Secured Overnight Financing Rate (“SOFR”), as published by the Federal Reserve Bank of New York, plus 438 basis points. These notes pay interest semi-annually, are unsecured, and may be called by the Company at any time after the remaining maturity is five years or less. Additionally, these notes are intended to qualify for Tier 2 capital treatment, subject to regulatory limitations.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2025, the total amount of subordinated notes outstanding was $64.1 million less approximately $46 thousand of remaining debt issuance costs. As of December 31, 2024, the total amount of subordinated notes outstanding was $64.1 million less approximately $139 thousand of remaining debt issuance costs for a total balance of $64.0 million.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 Payable and Other Borrowings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and December 31, 2024, City Bank had no outstanding advances from the Federal Home Loan Bank of Dallas (“FHLB”).</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City Bank had $1.4 million in short-term borrowings. There were no short-term borrowings at December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STOCK-BASED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Equity Incentive Plan</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2019 Equity Incentive Plan (“Plan”) was approved by the Company’s Board of Directors on January 16, 2019 and by its shareholders on March 6, 2019. The purpose of the Plan is to: (i) attract and retain the best available personnel for positions of substantial responsibility, (ii) provide additional incentive to employees, directors and consultants, and (iii) promote the success of the Company’s business. The Plan permits the grant of incentive stock options, non-statutory stock options, stock appreciation rights, restricted stock, restricted stock units, performance units, performance shares, and other stock-based awards. The maximum aggregate number of shares of common stock that may be issued pursuant to all awards under the Plan was 5,413,184 at June 30, 2025. The maximum aggregate number of shares that may be issued under the Plan may be increased annually by up to 3% of the total issued and outstanding common shares of the Company at the beginning of each fiscal year.</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each option award is estimated on the date of grant using the Black-Scholes model that uses the assumptions noted in the table below. Expected volatilities are based on historical volatilities of the Company’s common stock and similar peer company averages. The Company uses historical data to estimate option exercise and post-vesting termination behavior. The expected term of options granted represents the period of time that options granted are expected to be outstanding, which takes in to account that the options are not transferable. The risk-free interest rate for the expected term of the option is based on the U.S. Treasury yield curve in effect at the time of the grant.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activity in the Plan during the period indicated is presented in the table below (dollars 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24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4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Weighted-Average Remaining Contractual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45"/>
        </w:trPr>
        <w:tc>
          <w:tcPr>
            <w:tcW w:w="240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40" w:type="dxa"/>
            <w:vAlign w:val="bottom"/>
          </w:tcPr>
          <w:p>
            <w:pPr>
              <w:spacing w:after="0"/>
              <w:rPr>
                <w:sz w:val="21"/>
                <w:szCs w:val="21"/>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60" w:type="dxa"/>
            <w:vAlign w:val="bottom"/>
          </w:tcPr>
          <w:p>
            <w:pPr>
              <w:spacing w:after="0"/>
              <w:rPr>
                <w:sz w:val="21"/>
                <w:szCs w:val="21"/>
                <w:color w:val="auto"/>
              </w:rPr>
            </w:pPr>
          </w:p>
        </w:tc>
        <w:tc>
          <w:tcPr>
            <w:tcW w:w="17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Life in Years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175"/>
        </w:trPr>
        <w:tc>
          <w:tcPr>
            <w:tcW w:w="52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Six Months Ended June 30, 2025</w:t>
            </w:r>
          </w:p>
        </w:tc>
        <w:tc>
          <w:tcPr>
            <w:tcW w:w="10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400" w:type="dxa"/>
            <w:vAlign w:val="bottom"/>
            <w:tcBorders>
              <w:top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1,175,787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17.83</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21,408</w:t>
            </w:r>
          </w:p>
        </w:tc>
      </w:tr>
      <w:tr>
        <w:trPr>
          <w:trHeight w:val="216"/>
        </w:trPr>
        <w:tc>
          <w:tcPr>
            <w:tcW w:w="5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30,024</w:t>
            </w:r>
          </w:p>
        </w:tc>
        <w:tc>
          <w:tcPr>
            <w:tcW w:w="1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34.01</w:t>
            </w: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5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(32,333)</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18.60</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(564)</w:t>
            </w:r>
          </w:p>
        </w:tc>
      </w:tr>
      <w:tr>
        <w:trPr>
          <w:trHeight w:val="216"/>
        </w:trPr>
        <w:tc>
          <w:tcPr>
            <w:tcW w:w="5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Expired</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4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57"/>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1,173,478</w:t>
            </w:r>
          </w:p>
        </w:tc>
        <w:tc>
          <w:tcPr>
            <w:tcW w:w="20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4.28</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20,905</w:t>
            </w:r>
          </w:p>
        </w:tc>
      </w:tr>
      <w:tr>
        <w:trPr>
          <w:trHeight w:val="210"/>
        </w:trPr>
        <w:tc>
          <w:tcPr>
            <w:tcW w:w="2400" w:type="dxa"/>
            <w:vAlign w:val="bottom"/>
            <w:tcBorders>
              <w:top w:val="single" w:sz="8" w:color="CCEEFF"/>
            </w:tcBorders>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end of period</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1,094,490</w:t>
            </w:r>
          </w:p>
        </w:tc>
        <w:tc>
          <w:tcPr>
            <w:tcW w:w="20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3.98</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20,478</w:t>
            </w:r>
          </w:p>
        </w:tc>
      </w:tr>
      <w:tr>
        <w:trPr>
          <w:trHeight w:val="210"/>
        </w:trPr>
        <w:tc>
          <w:tcPr>
            <w:tcW w:w="2400" w:type="dxa"/>
            <w:vAlign w:val="bottom"/>
            <w:tcBorders>
              <w:top w:val="single" w:sz="8" w:color="CCEEFF"/>
            </w:tcBorders>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at end of period</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1,094,490</w:t>
            </w:r>
          </w:p>
        </w:tc>
        <w:tc>
          <w:tcPr>
            <w:tcW w:w="2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3.98</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20,478</w:t>
            </w:r>
          </w:p>
        </w:tc>
      </w:tr>
      <w:tr>
        <w:trPr>
          <w:trHeight w:val="20"/>
        </w:trPr>
        <w:tc>
          <w:tcPr>
            <w:tcW w:w="240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 summary of assumptions used to calculate the fair values of the awards granted during the periods noted is presented below:</w:t>
            </w: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8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8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45"/>
        </w:trPr>
        <w:tc>
          <w:tcPr>
            <w:tcW w:w="86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23"/>
        </w:trPr>
        <w:tc>
          <w:tcPr>
            <w:tcW w:w="86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9"/>
                <w:szCs w:val="19"/>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41.21%</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40.45%</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1.80%</w:t>
            </w:r>
          </w:p>
        </w:tc>
        <w:tc>
          <w:tcPr>
            <w:tcW w:w="3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6.1</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4.43%</w:t>
            </w:r>
          </w:p>
        </w:tc>
        <w:tc>
          <w:tcPr>
            <w:tcW w:w="3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13.35</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11.10</w:t>
            </w:r>
          </w:p>
        </w:tc>
      </w:tr>
    </w:tbl>
    <w:p>
      <w:pPr>
        <w:spacing w:after="0" w:line="19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The total intrinsic value of options exercised during the six months ended June 30, 2025 and 2024 was $507 thousand and $52 thousand, respectively.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380" w:type="dxa"/>
            <w:vAlign w:val="bottom"/>
            <w:gridSpan w:val="3"/>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560"/>
        </w:trPr>
        <w:tc>
          <w:tcPr>
            <w:tcW w:w="840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Restricted Stock Awards and Units</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24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 summary of activity in the Plan during the period indicated is presented in the table below:</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0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Weighted-Average</w:t>
            </w:r>
          </w:p>
        </w:tc>
      </w:tr>
      <w:tr>
        <w:trPr>
          <w:trHeight w:val="216"/>
        </w:trPr>
        <w:tc>
          <w:tcPr>
            <w:tcW w:w="10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r>
      <w:tr>
        <w:trPr>
          <w:trHeight w:val="245"/>
        </w:trPr>
        <w:tc>
          <w:tcPr>
            <w:tcW w:w="10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900" w:type="dxa"/>
            <w:vAlign w:val="bottom"/>
          </w:tcPr>
          <w:p>
            <w:pPr>
              <w:spacing w:after="0"/>
              <w:rPr>
                <w:sz w:val="21"/>
                <w:szCs w:val="21"/>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80" w:type="dxa"/>
            <w:vAlign w:val="bottom"/>
          </w:tcPr>
          <w:p>
            <w:pPr>
              <w:spacing w:after="0"/>
              <w:rPr>
                <w:sz w:val="21"/>
                <w:szCs w:val="21"/>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176"/>
        </w:trPr>
        <w:tc>
          <w:tcPr>
            <w:tcW w:w="840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Six Months Ended June 30, 2025</w:t>
            </w:r>
          </w:p>
        </w:tc>
        <w:tc>
          <w:tcPr>
            <w:tcW w:w="11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020" w:type="dxa"/>
            <w:vAlign w:val="bottom"/>
            <w:tcBorders>
              <w:top w:val="single" w:sz="8" w:color="auto"/>
            </w:tcBorders>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187,895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26.51</w:t>
            </w:r>
          </w:p>
        </w:tc>
      </w:tr>
      <w:tr>
        <w:trPr>
          <w:trHeight w:val="216"/>
        </w:trPr>
        <w:tc>
          <w:tcPr>
            <w:tcW w:w="84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73,488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34.30</w:t>
            </w:r>
          </w:p>
        </w:tc>
      </w:tr>
      <w:tr>
        <w:trPr>
          <w:trHeight w:val="216"/>
        </w:trPr>
        <w:tc>
          <w:tcPr>
            <w:tcW w:w="840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(18,271)</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29.86</w:t>
            </w:r>
          </w:p>
        </w:tc>
      </w:tr>
      <w:tr>
        <w:trPr>
          <w:trHeight w:val="223"/>
        </w:trPr>
        <w:tc>
          <w:tcPr>
            <w:tcW w:w="84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16"/>
        </w:trPr>
        <w:tc>
          <w:tcPr>
            <w:tcW w:w="10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r>
      <w:tr>
        <w:trPr>
          <w:trHeight w:val="216"/>
        </w:trPr>
        <w:tc>
          <w:tcPr>
            <w:tcW w:w="8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243,112</w:t>
            </w:r>
          </w:p>
        </w:tc>
        <w:tc>
          <w:tcPr>
            <w:tcW w:w="2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28.61</w:t>
            </w:r>
          </w:p>
        </w:tc>
      </w:tr>
      <w:tr>
        <w:trPr>
          <w:trHeight w:val="20"/>
        </w:trPr>
        <w:tc>
          <w:tcPr>
            <w:tcW w:w="10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Restricted stock units granted under the Plan typically vest from one to four years, but vesting periods may vary. Compensation expense for these grants will be recognized over the vesting period of the awards based on the fair value of the stock at the issue date. The total fair value of restricted stock units vested during each of the six months ended June 30, 2025 and 2024 was $546 thousand and $643 thousand,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2025 and 2024 the Company recorded stock-based compensation expense related to the Plan of $722 thousand and $657 thousand, respectively. For the six months ended June 30, 2025 and 2024 the Company recorded stock-based compensation expense related to the Plan of $1.3 million and $1.1 million,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unrecognized compensation cost for the awards outstanding under the Plan at June 30, 2025 was $4.9 million and will be recognized over a weighted average remaining period of 1.74 years.</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u w:val="single" w:color="auto"/>
          <w:color w:val="auto"/>
        </w:rPr>
        <w:t>Employee Stock Purchase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Company maintains the South Plains Financial, Inc. 2023 Employee Stock Purchase Plan (the “ESPP”) offering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eligible employees an opportunity to purchase shares of Company common stock at a 15% discount from the lesser of fair market value on the first or last day of each six-month offering period, beginning August 1, 2024. The ESPP provides for the purchase of up to an aggregate of one million shares of the Company’s common stock by the employees. A maximum of 1,200 shares per employee may be purchased per offering period. The ESPP benefit is treated as compensation to the employee, and the compensation expense will be recognized over the service period based on the grant date fair value of the rights determined at the beginning of the purchase period, adjusted for forfeitures and certain modifications. Stock-based compensation expense related to the ESPP was $32 thousand and $65 thousand for the three and six months ended June 30, 2025, respectively. At June 30, 2025, there was $11 thousand of total unrecognized compensation expense related to estimated ESPP shares. These costs are expected to be recognized over a period of one month. As of June 30, 2025, 8,714 shares were issued under the ESPP.</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2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assumptions used to calculate the grant date fair value of the ESPP rights for the period indicated is presented below:</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9620" w:type="dxa"/>
            <w:vAlign w:val="bottom"/>
          </w:tcPr>
          <w:p>
            <w:pPr>
              <w:spacing w:after="0"/>
              <w:rPr>
                <w:sz w:val="24"/>
                <w:szCs w:val="24"/>
                <w:color w:val="auto"/>
              </w:rPr>
            </w:pPr>
          </w:p>
        </w:tc>
        <w:tc>
          <w:tcPr>
            <w:tcW w:w="16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9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00" w:type="dxa"/>
            <w:vAlign w:val="bottom"/>
          </w:tcPr>
          <w:p>
            <w:pPr>
              <w:spacing w:after="0"/>
              <w:rPr>
                <w:sz w:val="21"/>
                <w:szCs w:val="21"/>
                <w:color w:val="auto"/>
              </w:rPr>
            </w:pPr>
          </w:p>
        </w:tc>
      </w:tr>
      <w:tr>
        <w:trPr>
          <w:trHeight w:val="216"/>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 to 36.08%</w:t>
            </w:r>
          </w:p>
        </w:tc>
        <w:tc>
          <w:tcPr>
            <w:tcW w:w="100" w:type="dxa"/>
            <w:vAlign w:val="bottom"/>
            <w:shd w:val="clear" w:color="auto" w:fill="CCEEFF"/>
          </w:tcPr>
          <w:p>
            <w:pPr>
              <w:spacing w:after="0"/>
              <w:rPr>
                <w:sz w:val="18"/>
                <w:szCs w:val="18"/>
                <w:color w:val="auto"/>
              </w:rPr>
            </w:pPr>
          </w:p>
        </w:tc>
      </w:tr>
      <w:tr>
        <w:trPr>
          <w:trHeight w:val="216"/>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2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 to 1.89%</w:t>
            </w:r>
          </w:p>
        </w:tc>
      </w:tr>
      <w:tr>
        <w:trPr>
          <w:trHeight w:val="216"/>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6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w:t>
            </w:r>
          </w:p>
        </w:tc>
      </w:tr>
      <w:tr>
        <w:trPr>
          <w:trHeight w:val="234"/>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2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4.24% to 5.02%</w:t>
            </w:r>
          </w:p>
        </w:tc>
      </w:tr>
      <w:tr>
        <w:trPr>
          <w:trHeight w:val="414"/>
        </w:trPr>
        <w:tc>
          <w:tcPr>
            <w:tcW w:w="9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OFF-BALANCE-SHEET ACTIVITIES, COMMITMENTS AND CONTINGENCIES</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Financial instruments with off-balance-sheet risk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Company is a party to financial instruments with off-balance-sheet risk in the normal course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to meet the financing needs of its customers. These financial instruments include commitments to extend credit and standby letters of credit. Such commitments involve, to varying degrees, elements of credit and interest rate risk in excess of the amount recognized in the Company’s consolidated financial statements. The Company’s exposure to credit loss is represented by the contractual amount of these commitments. The Company follows the same credit policies in making commitments as it does for recorded instruments.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instruments whose contract amounts represent credit risk outstanding at the dates indicated follow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to grant loans and unfunded commitments under lines of credit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557,466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537,688</w:t>
            </w:r>
          </w:p>
        </w:tc>
        <w:tc>
          <w:tcPr>
            <w:tcW w:w="100" w:type="dxa"/>
            <w:vAlign w:val="bottom"/>
            <w:shd w:val="clear" w:color="auto" w:fill="CCEEFF"/>
          </w:tcPr>
          <w:p>
            <w:pPr>
              <w:spacing w:after="0"/>
              <w:rPr>
                <w:sz w:val="18"/>
                <w:szCs w:val="18"/>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Standby letters of credit</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12,531</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18,696</w:t>
            </w:r>
          </w:p>
        </w:tc>
      </w:tr>
    </w:tbl>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Commitments to grant loans and extend credit are agreements to lend to a customer as long as there is no violation of any condition established in the contract. Commitments generally have fixed expiration dates or other termination clauses and may require payment of a fee. The commitments for lines of credit may expire without being drawn upon. Therefore, the total commitment amounts do not necessarily represent future cash requirements. The amount of collateral obtained, if it is deemed necessary by the Company, is based on management’s credit evaluation of the customer.</w:t>
      </w:r>
    </w:p>
    <w:p>
      <w:pPr>
        <w:sectPr>
          <w:pgSz w:w="11900" w:h="16838" w:orient="portrait"/>
          <w:cols w:equalWidth="0" w:num="1">
            <w:col w:w="11240"/>
          </w:cols>
          <w:pgMar w:left="320" w:top="114" w:right="339" w:bottom="1440" w:gutter="0" w:footer="0" w:header="0"/>
        </w:sect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Standby letters of credit are conditional commitments issued by the Company to guarantee the performance of a customer to a third party. Those letters of credit are primarily issued to support public and private borrowing arrangements. Essentially all letters of credit issued have expiration dates within one year. The credit risk involved in issuing letters of credit is essentially the same as that involved in extending loan facilities to customers. The Company requires collateral supporting those commitments if deemed necessary.</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FHLB Letters of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Company may use FHLB letters of credit to pledge to certain public deposits. At June 30, 2025 there were no FHLB letters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outstanding. At December 31, 2024 there were $75.0 million of FHLB letters or credit outstanding.</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Litigation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Company is a defendant in legal actions arising from time to time in the normal course of business. Management believes that the ultimate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if any, arising from these matters will not materially affect the consolidated financial statements, based on information known as of the date the consolidated financial statements were issued.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CAPITAL AND REGULATORY MATTERS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and its bank subsidiary are subject to various regulatory capital requirements administered by its banking regulators. Failure to meet minimum capital requirements can initiate certain mandatory and possibly additional discretionary actions by regulators that, if undertaken, could have a direct material effect on the Company’s and its bank subsidiary’s financial statements. Under capital guidelines and the regulatory framework for prompt corrective action, the Company and its bank subsidiary must meet specific capital guidelines that involve quantitative measures of their assets, liabilities, and certain off-balance-sheet items as calculated under regulatory accounting practices. The capital amounts and classification are also subject to qualitative judgments by the regulators about components, risk weightings, and other factors. Prompt corrective action provisions are not applicable to bank holding companies.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Quantitative measures established by regulation to ensure capital adequacy require the Company and its bank subsidiary to maintain minimum amounts and ratios (set forth in the following table) of total and Tier 1 capital (as defined in the regulations) to risk-weighted assets (as defined) and of Tier 1 capital (as defined) to average assets (as defined). Management believes, as of June 30, 2025 and December 31, 2024, that the Company and its bank subsidiary met all capital adequacy requirements to which they are subject.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2025 and December 31, 2024, the Company met the definition of “well-capitalized” under the applicable regulations of the Board of Governors of the Federal Reserve System and the bank subsidiary was “well capitalized” under the FDIC’s regulatory framework for prompt corrective action and the Basel III capital guidelines. To be categorized as well capitalized, an institution must maintain minimum total risk-based, Tier 1 risk-based and Tier 1 leverage ratios as set forth in the following tables. There are no conditions or events since June 30, 2025 that management believes have changed the bank subsidiary’s category.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its bank subsidiary’s actual capital amounts and ratios at the dates indicated follows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To Be Well Capitalized</w:t>
            </w: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Minimum Required</w:t>
            </w:r>
          </w:p>
        </w:tc>
        <w:tc>
          <w:tcPr>
            <w:tcW w:w="160" w:type="dxa"/>
            <w:vAlign w:val="bottom"/>
          </w:tcPr>
          <w:p>
            <w:pPr>
              <w:spacing w:after="0"/>
              <w:rPr>
                <w:sz w:val="18"/>
                <w:szCs w:val="18"/>
                <w:color w:val="auto"/>
              </w:rPr>
            </w:pPr>
          </w:p>
        </w:tc>
        <w:tc>
          <w:tcPr>
            <w:tcW w:w="244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Under Prompt Corrective</w:t>
            </w:r>
          </w:p>
        </w:tc>
      </w:tr>
      <w:tr>
        <w:trPr>
          <w:trHeight w:val="245"/>
        </w:trPr>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20" w:type="dxa"/>
            <w:vAlign w:val="bottom"/>
            <w:gridSpan w:val="4"/>
          </w:tcPr>
          <w:p>
            <w:pPr>
              <w:ind w:left="360"/>
              <w:spacing w:after="0"/>
              <w:rPr>
                <w:sz w:val="20"/>
                <w:szCs w:val="20"/>
                <w:color w:val="auto"/>
              </w:rPr>
            </w:pPr>
            <w:r>
              <w:rPr>
                <w:rFonts w:ascii="Times New Roman" w:cs="Times New Roman" w:eastAsia="Times New Roman" w:hAnsi="Times New Roman"/>
                <w:sz w:val="18"/>
                <w:szCs w:val="18"/>
                <w:b w:val="1"/>
                <w:bCs w:val="1"/>
                <w:color w:val="auto"/>
              </w:rPr>
              <w:t>Under BASEL III</w:t>
            </w:r>
          </w:p>
        </w:tc>
        <w:tc>
          <w:tcPr>
            <w:tcW w:w="160" w:type="dxa"/>
            <w:vAlign w:val="bottom"/>
          </w:tcPr>
          <w:p>
            <w:pPr>
              <w:spacing w:after="0"/>
              <w:rPr>
                <w:sz w:val="21"/>
                <w:szCs w:val="21"/>
                <w:color w:val="auto"/>
              </w:rPr>
            </w:pPr>
          </w:p>
        </w:tc>
        <w:tc>
          <w:tcPr>
            <w:tcW w:w="244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Action Provisions</w:t>
            </w:r>
          </w:p>
        </w:tc>
      </w:tr>
      <w:tr>
        <w:trPr>
          <w:trHeight w:val="223"/>
        </w:trPr>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0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0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60" w:type="dxa"/>
            <w:vAlign w:val="bottom"/>
          </w:tcPr>
          <w:p>
            <w:pPr>
              <w:spacing w:after="0"/>
              <w:rPr>
                <w:sz w:val="19"/>
                <w:szCs w:val="19"/>
                <w:color w:val="auto"/>
              </w:rPr>
            </w:pPr>
          </w:p>
        </w:tc>
      </w:tr>
      <w:tr>
        <w:trPr>
          <w:trHeight w:val="175"/>
        </w:trPr>
        <w:tc>
          <w:tcPr>
            <w:tcW w:w="1020" w:type="dxa"/>
            <w:vAlign w:val="bottom"/>
            <w:tcBorders>
              <w:bottom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9"/>
              </w:rPr>
              <w:t>June 30, 2025</w:t>
            </w:r>
          </w:p>
        </w:tc>
        <w:tc>
          <w:tcPr>
            <w:tcW w:w="2220" w:type="dxa"/>
            <w:vAlign w:val="bottom"/>
            <w:gridSpan w:val="2"/>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23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647,191</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18.17%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374,000</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City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527,722</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14.82%</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373,959</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356,151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Tier 1 Capital to Risk Weighted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538,588</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15.12%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302,762</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City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483,178</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13.57%</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302,728</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284,921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8.00%</w:t>
            </w:r>
          </w:p>
        </w:tc>
      </w:tr>
      <w:tr>
        <w:trPr>
          <w:trHeight w:val="216"/>
        </w:trPr>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98"/>
        </w:trPr>
        <w:tc>
          <w:tcPr>
            <w:tcW w:w="324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Common Equity Tier 1 to Risk Weighted</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3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493,588</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249,334</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City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483,178</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13.57%</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249,306</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231,498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6.50%</w:t>
            </w:r>
          </w:p>
        </w:tc>
      </w:tr>
      <w:tr>
        <w:trPr>
          <w:trHeight w:val="216"/>
        </w:trPr>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538,588</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178,599</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City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483,178</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10.88%</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178,520</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222,113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76"/>
        </w:trPr>
        <w:tc>
          <w:tcPr>
            <w:tcW w:w="32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December 31, 2024</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10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631,713</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17.86%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371,426</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City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520,788</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14.73%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371,351</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353,667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Tier 1 Capital to Risk Weighted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523,535</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14.80%</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300,678</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City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476,574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13.48%</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300,617</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282,934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8.00%</w:t>
            </w: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324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Equity Tier 1 to Risk Weighted</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32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478,535</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13.53%</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247,617</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City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476,574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13.48%</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247,567</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229,884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6.50%</w:t>
            </w: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523,535</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12.04%</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174,777</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City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476,574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174,710</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217,336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r>
    </w:tbl>
    <w:p>
      <w:pPr>
        <w:sectPr>
          <w:pgSz w:w="11900" w:h="16838" w:orient="portrait"/>
          <w:cols w:equalWidth="0" w:num="1">
            <w:col w:w="11240"/>
          </w:cols>
          <w:pgMar w:left="320" w:top="115" w:right="339" w:bottom="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the Basel III capital ratio requirements which include a “capital conservation buffer” of 2.50% above the regulatory minimum risk-based capital adequacy requirements. This 2.50% capital conservation buffer is reflected in the table above. Both the Company’s and the Bank’s actual ratios, as outlined in the table above, exceeded the Basel III risk-based capital requirement with the capital conservation buffer as of June 30, 2025.</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State banking regulations place certain restrictions on dividends paid by banks to their shareholders. Dividends paid by the Company’s bank subsidiary would be prohibited if the effect thereof would cause the bank subsidiary’s capital to be reduced below applicable minimum capital requirements.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DERIVATIVES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utilizes interest rate swap agreements as part of its asset-liability management strategy to help manage its interest rate risk position. These interest rate swaps are designated and qualify as fair value hedges and are entered into to reduce exposure to changes in fair value of fixed rate financial instruments. The notional amounts of the interest rate swaps do not represent amounts exchanged by the parties. The amount exchanged is determined by reference to the notional amounts and the other terms of the individual interest rate swap agreements.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changes in fair value hedges included in the Consolidated Statements of Comprehensive Income for the periods indicated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4"/>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45"/>
        </w:trPr>
        <w:tc>
          <w:tcPr>
            <w:tcW w:w="4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8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23"/>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Rate Contracts</w:t>
            </w:r>
          </w:p>
        </w:tc>
        <w:tc>
          <w:tcPr>
            <w:tcW w:w="100" w:type="dxa"/>
            <w:vAlign w:val="bottom"/>
          </w:tcPr>
          <w:p>
            <w:pPr>
              <w:spacing w:after="0"/>
              <w:rPr>
                <w:sz w:val="19"/>
                <w:szCs w:val="19"/>
                <w:color w:val="auto"/>
              </w:rPr>
            </w:pPr>
          </w:p>
        </w:tc>
        <w:tc>
          <w:tcPr>
            <w:tcW w:w="4380" w:type="dxa"/>
            <w:vAlign w:val="bottom"/>
            <w:gridSpan w:val="2"/>
          </w:tcPr>
          <w:p>
            <w:pPr>
              <w:ind w:left="180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220" w:type="dxa"/>
            <w:vAlign w:val="bottom"/>
          </w:tcPr>
          <w:p>
            <w:pPr>
              <w:spacing w:after="0"/>
              <w:rPr>
                <w:sz w:val="19"/>
                <w:szCs w:val="19"/>
                <w:color w:val="auto"/>
              </w:rPr>
            </w:pPr>
          </w:p>
        </w:tc>
        <w:tc>
          <w:tcPr>
            <w:tcW w:w="10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9"/>
                <w:szCs w:val="19"/>
                <w:color w:val="auto"/>
              </w:rPr>
            </w:pPr>
          </w:p>
        </w:tc>
        <w:tc>
          <w:tcPr>
            <w:tcW w:w="8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9"/>
                <w:szCs w:val="19"/>
                <w:color w:val="auto"/>
              </w:rPr>
            </w:pPr>
          </w:p>
        </w:tc>
      </w:tr>
      <w:tr>
        <w:trPr>
          <w:trHeight w:val="198"/>
        </w:trPr>
        <w:tc>
          <w:tcPr>
            <w:tcW w:w="426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 interest rate swaps hedging</w:t>
            </w:r>
          </w:p>
        </w:tc>
        <w:tc>
          <w:tcPr>
            <w:tcW w:w="100" w:type="dxa"/>
            <w:vAlign w:val="bottom"/>
            <w:shd w:val="clear" w:color="auto" w:fill="CCEEFF"/>
          </w:tcPr>
          <w:p>
            <w:pPr>
              <w:spacing w:after="0"/>
              <w:rPr>
                <w:sz w:val="17"/>
                <w:szCs w:val="17"/>
                <w:color w:val="auto"/>
              </w:rPr>
            </w:pPr>
          </w:p>
        </w:tc>
        <w:tc>
          <w:tcPr>
            <w:tcW w:w="42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noninterest expense</w:t>
            </w:r>
          </w:p>
        </w:tc>
        <w:tc>
          <w:tcPr>
            <w:tcW w:w="1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4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securities</w:t>
            </w:r>
          </w:p>
        </w:tc>
        <w:tc>
          <w:tcPr>
            <w:tcW w:w="47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hedged investment securities</w:t>
            </w:r>
          </w:p>
        </w:tc>
        <w:tc>
          <w:tcPr>
            <w:tcW w:w="47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Other noninterest expense</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1,573</w:t>
            </w:r>
          </w:p>
        </w:tc>
        <w:tc>
          <w:tcPr>
            <w:tcW w:w="3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463</w:t>
            </w:r>
          </w:p>
        </w:tc>
      </w:tr>
      <w:tr>
        <w:trPr>
          <w:trHeight w:val="198"/>
        </w:trPr>
        <w:tc>
          <w:tcPr>
            <w:tcW w:w="4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 interest rate swaps hedging fixed</w:t>
            </w:r>
          </w:p>
        </w:tc>
        <w:tc>
          <w:tcPr>
            <w:tcW w:w="4700" w:type="dxa"/>
            <w:vAlign w:val="bottom"/>
            <w:gridSpan w:val="4"/>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Interest income - loans</w:t>
            </w: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4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rate loans</w:t>
            </w:r>
          </w:p>
        </w:tc>
        <w:tc>
          <w:tcPr>
            <w:tcW w:w="100" w:type="dxa"/>
            <w:vAlign w:val="bottom"/>
            <w:shd w:val="clear" w:color="auto" w:fill="CCEEFF"/>
          </w:tcPr>
          <w:p>
            <w:pPr>
              <w:spacing w:after="0"/>
              <w:rPr>
                <w:sz w:val="20"/>
                <w:szCs w:val="20"/>
                <w:color w:val="auto"/>
              </w:rPr>
            </w:pPr>
          </w:p>
        </w:tc>
        <w:tc>
          <w:tcPr>
            <w:tcW w:w="4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hedged fixed rate loans</w:t>
            </w:r>
          </w:p>
        </w:tc>
        <w:tc>
          <w:tcPr>
            <w:tcW w:w="47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Interest income - loans</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56</w:t>
            </w:r>
          </w:p>
        </w:tc>
        <w:tc>
          <w:tcPr>
            <w:tcW w:w="32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6"/>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45"/>
        </w:trPr>
        <w:tc>
          <w:tcPr>
            <w:tcW w:w="4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4"/>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8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23"/>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Rate Contracts</w:t>
            </w:r>
          </w:p>
        </w:tc>
        <w:tc>
          <w:tcPr>
            <w:tcW w:w="100" w:type="dxa"/>
            <w:vAlign w:val="bottom"/>
          </w:tcPr>
          <w:p>
            <w:pPr>
              <w:spacing w:after="0"/>
              <w:rPr>
                <w:sz w:val="19"/>
                <w:szCs w:val="19"/>
                <w:color w:val="auto"/>
              </w:rPr>
            </w:pPr>
          </w:p>
        </w:tc>
        <w:tc>
          <w:tcPr>
            <w:tcW w:w="4380" w:type="dxa"/>
            <w:vAlign w:val="bottom"/>
            <w:gridSpan w:val="2"/>
          </w:tcPr>
          <w:p>
            <w:pPr>
              <w:ind w:left="180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24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9"/>
                <w:szCs w:val="19"/>
                <w:color w:val="auto"/>
              </w:rPr>
            </w:pPr>
          </w:p>
        </w:tc>
      </w:tr>
      <w:tr>
        <w:trPr>
          <w:trHeight w:val="198"/>
        </w:trPr>
        <w:tc>
          <w:tcPr>
            <w:tcW w:w="426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 interest rate swaps hedging</w:t>
            </w:r>
          </w:p>
        </w:tc>
        <w:tc>
          <w:tcPr>
            <w:tcW w:w="100" w:type="dxa"/>
            <w:vAlign w:val="bottom"/>
            <w:shd w:val="clear" w:color="auto" w:fill="CCEEFF"/>
          </w:tcPr>
          <w:p>
            <w:pPr>
              <w:spacing w:after="0"/>
              <w:rPr>
                <w:sz w:val="17"/>
                <w:szCs w:val="17"/>
                <w:color w:val="auto"/>
              </w:rPr>
            </w:pPr>
          </w:p>
        </w:tc>
        <w:tc>
          <w:tcPr>
            <w:tcW w:w="42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noninterest expense</w:t>
            </w:r>
          </w:p>
        </w:tc>
        <w:tc>
          <w:tcPr>
            <w:tcW w:w="1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4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securities</w:t>
            </w:r>
          </w:p>
        </w:tc>
        <w:tc>
          <w:tcPr>
            <w:tcW w:w="47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(4,104)</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865</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hedged investment securities</w:t>
            </w:r>
          </w:p>
        </w:tc>
        <w:tc>
          <w:tcPr>
            <w:tcW w:w="47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Other noninterest expense</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(920)</w:t>
            </w:r>
          </w:p>
        </w:tc>
      </w:tr>
      <w:tr>
        <w:trPr>
          <w:trHeight w:val="198"/>
        </w:trPr>
        <w:tc>
          <w:tcPr>
            <w:tcW w:w="4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 interest rate swaps hedging fixed</w:t>
            </w:r>
          </w:p>
        </w:tc>
        <w:tc>
          <w:tcPr>
            <w:tcW w:w="4720" w:type="dxa"/>
            <w:vAlign w:val="bottom"/>
            <w:gridSpan w:val="4"/>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Interest income - loans</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4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rate loans</w:t>
            </w:r>
          </w:p>
        </w:tc>
        <w:tc>
          <w:tcPr>
            <w:tcW w:w="100" w:type="dxa"/>
            <w:vAlign w:val="bottom"/>
            <w:shd w:val="clear" w:color="auto" w:fill="CCEEFF"/>
          </w:tcPr>
          <w:p>
            <w:pPr>
              <w:spacing w:after="0"/>
              <w:rPr>
                <w:sz w:val="20"/>
                <w:szCs w:val="20"/>
                <w:color w:val="auto"/>
              </w:rPr>
            </w:pPr>
          </w:p>
        </w:tc>
        <w:tc>
          <w:tcPr>
            <w:tcW w:w="4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205</w:t>
            </w:r>
          </w:p>
        </w:tc>
      </w:t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hedged fixed rate loans</w:t>
            </w:r>
          </w:p>
        </w:tc>
        <w:tc>
          <w:tcPr>
            <w:tcW w:w="47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Interest income - loans</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fair value hedges included in the Consolidated Balance Sheets at the dates indicated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6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60" w:type="dxa"/>
            <w:vAlign w:val="bottom"/>
          </w:tcPr>
          <w:p>
            <w:pPr>
              <w:spacing w:after="0"/>
              <w:rPr>
                <w:sz w:val="21"/>
                <w:szCs w:val="21"/>
                <w:color w:val="auto"/>
              </w:rPr>
            </w:pPr>
          </w:p>
        </w:tc>
        <w:tc>
          <w:tcPr>
            <w:tcW w:w="238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194"/>
        </w:trPr>
        <w:tc>
          <w:tcPr>
            <w:tcW w:w="4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480"/>
              <w:spacing w:after="0" w:line="194" w:lineRule="exact"/>
              <w:rPr>
                <w:sz w:val="20"/>
                <w:szCs w:val="20"/>
                <w:color w:val="auto"/>
              </w:rPr>
            </w:pPr>
            <w:r>
              <w:rPr>
                <w:rFonts w:ascii="Times New Roman" w:cs="Times New Roman" w:eastAsia="Times New Roman" w:hAnsi="Times New Roman"/>
                <w:sz w:val="18"/>
                <w:szCs w:val="18"/>
                <w:b w:val="1"/>
                <w:bCs w:val="1"/>
                <w:color w:val="auto"/>
              </w:rPr>
              <w:t>Notional</w:t>
            </w: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10"/>
              <w:spacing w:after="0" w:line="194" w:lineRule="exact"/>
              <w:rPr>
                <w:sz w:val="20"/>
                <w:szCs w:val="20"/>
                <w:color w:val="auto"/>
              </w:rPr>
            </w:pPr>
            <w:r>
              <w:rPr>
                <w:rFonts w:ascii="Times New Roman" w:cs="Times New Roman" w:eastAsia="Times New Roman" w:hAnsi="Times New Roman"/>
                <w:sz w:val="18"/>
                <w:szCs w:val="18"/>
                <w:b w:val="1"/>
                <w:bCs w:val="1"/>
                <w:color w:val="auto"/>
              </w:rPr>
              <w:t>Fair</w:t>
            </w: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440"/>
              <w:spacing w:after="0" w:line="194" w:lineRule="exact"/>
              <w:rPr>
                <w:sz w:val="20"/>
                <w:szCs w:val="20"/>
                <w:color w:val="auto"/>
              </w:rPr>
            </w:pPr>
            <w:r>
              <w:rPr>
                <w:rFonts w:ascii="Times New Roman" w:cs="Times New Roman" w:eastAsia="Times New Roman" w:hAnsi="Times New Roman"/>
                <w:sz w:val="18"/>
                <w:szCs w:val="18"/>
                <w:b w:val="1"/>
                <w:bCs w:val="1"/>
                <w:color w:val="auto"/>
              </w:rPr>
              <w:t>Notional</w:t>
            </w: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right="130"/>
              <w:spacing w:after="0" w:line="194"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6"/>
                <w:szCs w:val="16"/>
                <w:color w:val="auto"/>
              </w:rPr>
            </w:pPr>
          </w:p>
        </w:tc>
      </w:tr>
      <w:tr>
        <w:trPr>
          <w:trHeight w:val="245"/>
        </w:trPr>
        <w:tc>
          <w:tcPr>
            <w:tcW w:w="49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1"/>
                <w:szCs w:val="21"/>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60" w:type="dxa"/>
            <w:vAlign w:val="bottom"/>
          </w:tcPr>
          <w:p>
            <w:pPr>
              <w:spacing w:after="0"/>
              <w:rPr>
                <w:sz w:val="21"/>
                <w:szCs w:val="21"/>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1"/>
                <w:szCs w:val="21"/>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Included in other liabilities:</w:t>
            </w:r>
          </w:p>
        </w:tc>
        <w:tc>
          <w:tcPr>
            <w:tcW w:w="10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swaps related to fixed rate loans</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swaps related to state and municipal securities</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Included in other assets:</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swaps related to fixed rate loans</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8,169</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11,803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w:t>
            </w:r>
          </w:p>
        </w:tc>
      </w:tr>
      <w:tr>
        <w:trPr>
          <w:trHeight w:val="234"/>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swaps related to state and municipal securities</w:t>
            </w: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120,700</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11,391</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123,760</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15,495</w:t>
            </w:r>
          </w:p>
        </w:tc>
      </w:tr>
      <w:tr>
        <w:trPr>
          <w:trHeight w:val="552"/>
        </w:trPr>
        <w:tc>
          <w:tcPr>
            <w:tcW w:w="4980" w:type="dxa"/>
            <w:vAlign w:val="bottom"/>
          </w:tcPr>
          <w:p>
            <w:pPr>
              <w:spacing w:after="0"/>
              <w:rPr>
                <w:sz w:val="24"/>
                <w:szCs w:val="24"/>
                <w:color w:val="auto"/>
              </w:rPr>
            </w:pPr>
          </w:p>
        </w:tc>
        <w:tc>
          <w:tcPr>
            <w:tcW w:w="1000" w:type="dxa"/>
            <w:vAlign w:val="bottom"/>
          </w:tcPr>
          <w:p>
            <w:pPr>
              <w:jc w:val="right"/>
              <w:ind w:right="196"/>
              <w:spacing w:after="0"/>
              <w:rPr>
                <w:sz w:val="20"/>
                <w:szCs w:val="20"/>
                <w:color w:val="auto"/>
              </w:rPr>
            </w:pPr>
            <w:r>
              <w:rPr>
                <w:rFonts w:ascii="Times New Roman" w:cs="Times New Roman" w:eastAsia="Times New Roman" w:hAnsi="Times New Roman"/>
                <w:sz w:val="14"/>
                <w:szCs w:val="14"/>
                <w:color w:val="auto"/>
              </w:rPr>
              <w:t>21</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49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Mortgage banking derivatives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net gains (losses) relating to free standing derivative instruments used for risk management are summarized below for the periods indicated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gridSpan w:val="3"/>
          </w:tcPr>
          <w:p>
            <w:pPr>
              <w:jc w:val="center"/>
              <w:ind w:left="211"/>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5"/>
        </w:trPr>
        <w:tc>
          <w:tcPr>
            <w:tcW w:w="3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3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23"/>
        </w:trPr>
        <w:tc>
          <w:tcPr>
            <w:tcW w:w="3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6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00" w:type="dxa"/>
            <w:vAlign w:val="bottom"/>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mortgage banking derivatives</w:t>
            </w:r>
          </w:p>
        </w:tc>
        <w:tc>
          <w:tcPr>
            <w:tcW w:w="580" w:type="dxa"/>
            <w:vAlign w:val="bottom"/>
            <w:shd w:val="clear" w:color="auto" w:fill="CCEEFF"/>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 on sales of loans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1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8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(64)</w:t>
            </w:r>
          </w:p>
        </w:tc>
        <w:tc>
          <w:tcPr>
            <w:tcW w:w="60" w:type="dxa"/>
            <w:vAlign w:val="bottom"/>
            <w:shd w:val="clear" w:color="auto" w:fill="CCEEFF"/>
          </w:tcPr>
          <w:p>
            <w:pPr>
              <w:spacing w:after="0"/>
              <w:rPr>
                <w:sz w:val="18"/>
                <w:szCs w:val="18"/>
                <w:color w:val="auto"/>
              </w:rPr>
            </w:pPr>
          </w:p>
        </w:tc>
      </w:tr>
      <w:tr>
        <w:trPr>
          <w:trHeight w:val="410"/>
        </w:trPr>
        <w:tc>
          <w:tcPr>
            <w:tcW w:w="3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gridSpan w:val="3"/>
          </w:tcPr>
          <w:p>
            <w:pPr>
              <w:jc w:val="center"/>
              <w:ind w:left="231"/>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5"/>
        </w:trPr>
        <w:tc>
          <w:tcPr>
            <w:tcW w:w="3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3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23"/>
        </w:trPr>
        <w:tc>
          <w:tcPr>
            <w:tcW w:w="3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6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20" w:type="dxa"/>
            <w:vAlign w:val="bottom"/>
            <w:gridSpan w:val="2"/>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mortgage banking derivatives</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 on sales of loans</w:t>
            </w:r>
          </w:p>
        </w:tc>
        <w:tc>
          <w:tcPr>
            <w:tcW w:w="120" w:type="dxa"/>
            <w:vAlign w:val="bottom"/>
            <w:gridSpan w:val="2"/>
            <w:shd w:val="clear" w:color="auto" w:fill="CCEEFF"/>
          </w:tcPr>
          <w:p>
            <w:pPr>
              <w:spacing w:after="0"/>
              <w:rPr>
                <w:sz w:val="18"/>
                <w:szCs w:val="18"/>
                <w:color w:val="auto"/>
              </w:rPr>
            </w:pPr>
          </w:p>
        </w:tc>
        <w:tc>
          <w:tcPr>
            <w:tcW w:w="780" w:type="dxa"/>
            <w:vAlign w:val="bottom"/>
            <w:shd w:val="clear" w:color="auto" w:fill="CCEEFF"/>
          </w:tcPr>
          <w:p>
            <w:pPr>
              <w:jc w:val="right"/>
              <w:ind w:right="611"/>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88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amount and fair value of mortgage banking derivatives in the Consolidated Balance Sheets at the dates indicated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194"/>
        </w:trPr>
        <w:tc>
          <w:tcPr>
            <w:tcW w:w="58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right"/>
              <w:ind w:right="420"/>
              <w:spacing w:after="0" w:line="194" w:lineRule="exact"/>
              <w:rPr>
                <w:sz w:val="20"/>
                <w:szCs w:val="20"/>
                <w:color w:val="auto"/>
              </w:rPr>
            </w:pPr>
            <w:r>
              <w:rPr>
                <w:rFonts w:ascii="Times New Roman" w:cs="Times New Roman" w:eastAsia="Times New Roman" w:hAnsi="Times New Roman"/>
                <w:sz w:val="18"/>
                <w:szCs w:val="18"/>
                <w:b w:val="1"/>
                <w:bCs w:val="1"/>
                <w:color w:val="auto"/>
              </w:rPr>
              <w:t>Notional</w:t>
            </w:r>
          </w:p>
        </w:tc>
        <w:tc>
          <w:tcPr>
            <w:tcW w:w="900" w:type="dxa"/>
            <w:vAlign w:val="bottom"/>
            <w:tcBorders>
              <w:top w:val="single" w:sz="8" w:color="auto"/>
            </w:tcBorders>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rPr>
              <w:t>Fair</w:t>
            </w:r>
          </w:p>
        </w:tc>
        <w:tc>
          <w:tcPr>
            <w:tcW w:w="3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right"/>
              <w:ind w:right="380"/>
              <w:spacing w:after="0" w:line="194" w:lineRule="exact"/>
              <w:rPr>
                <w:sz w:val="20"/>
                <w:szCs w:val="20"/>
                <w:color w:val="auto"/>
              </w:rPr>
            </w:pPr>
            <w:r>
              <w:rPr>
                <w:rFonts w:ascii="Times New Roman" w:cs="Times New Roman" w:eastAsia="Times New Roman" w:hAnsi="Times New Roman"/>
                <w:sz w:val="18"/>
                <w:szCs w:val="18"/>
                <w:b w:val="1"/>
                <w:bCs w:val="1"/>
                <w:color w:val="auto"/>
              </w:rPr>
              <w:t>Notional</w:t>
            </w:r>
          </w:p>
        </w:tc>
        <w:tc>
          <w:tcPr>
            <w:tcW w:w="3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230"/>
              <w:spacing w:after="0" w:line="194"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6"/>
                <w:szCs w:val="16"/>
                <w:color w:val="auto"/>
              </w:rPr>
            </w:pPr>
          </w:p>
        </w:tc>
      </w:tr>
      <w:tr>
        <w:trPr>
          <w:trHeight w:val="245"/>
        </w:trPr>
        <w:tc>
          <w:tcPr>
            <w:tcW w:w="5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Value</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00" w:type="dxa"/>
            <w:vAlign w:val="bottom"/>
          </w:tcPr>
          <w:p>
            <w:pPr>
              <w:spacing w:after="0"/>
              <w:rPr>
                <w:sz w:val="21"/>
                <w:szCs w:val="21"/>
                <w:color w:val="auto"/>
              </w:rPr>
            </w:pPr>
          </w:p>
        </w:tc>
        <w:tc>
          <w:tcPr>
            <w:tcW w:w="10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Included in other assets:</w:t>
            </w: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Forward contracts related to mortgage loans held for sale</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16,000</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lock commitments</w:t>
            </w: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26,552</w:t>
            </w:r>
          </w:p>
        </w:tc>
        <w:tc>
          <w:tcPr>
            <w:tcW w:w="90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485</w:t>
            </w:r>
          </w:p>
        </w:tc>
        <w:tc>
          <w:tcPr>
            <w:tcW w:w="2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12,937</w:t>
            </w:r>
          </w:p>
        </w:tc>
        <w:tc>
          <w:tcPr>
            <w:tcW w:w="3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w:t>
            </w:r>
          </w:p>
        </w:tc>
      </w:tr>
      <w:tr>
        <w:trPr>
          <w:trHeight w:val="216"/>
        </w:trPr>
        <w:tc>
          <w:tcPr>
            <w:tcW w:w="5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Included in other liabilities: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Forward contracts related to mortgage loans held for sale</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23,913</w:t>
            </w:r>
          </w:p>
        </w:tc>
        <w:tc>
          <w:tcPr>
            <w:tcW w:w="9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1,277</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had received cash collateral of $12.9 million and $17.0 million to offset asset derivative positions on its interest rate swaps at June 30, 2025 and December 31, 2024, respectively. This amount is reported in other liabilities in the Consolidated Balance Sheets. The Company had advanced $1.1 million to offset liability derivative positions on its interest rate swaps at June 30, 2025 and December 31, 2024. Additionally, the Company had advanced $270 thousand on its mortgage forward contracts at June 30, 2025 and December 31, 2024. The advanced cash collateral amounts are reported in cash and due from banks in the Consolidated Balance Sheets.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EARNINGS PER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factors used in the earnings per share computation for the periods indicated follow (dollars 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8"/>
                <w:szCs w:val="18"/>
                <w:color w:val="auto"/>
              </w:rPr>
            </w:pPr>
          </w:p>
        </w:tc>
        <w:tc>
          <w:tcPr>
            <w:tcW w:w="234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47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47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14,605</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22,008</w:t>
            </w:r>
          </w:p>
        </w:tc>
        <w:tc>
          <w:tcPr>
            <w:tcW w:w="10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16,231,627</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16,425,360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16,323,236</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16,427,640</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awards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655,366</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506,717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650,636</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507,758</w:t>
            </w:r>
          </w:p>
        </w:tc>
      </w:tr>
      <w:tr>
        <w:trPr>
          <w:trHeight w:val="27"/>
        </w:trPr>
        <w:tc>
          <w:tcPr>
            <w:tcW w:w="47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16,886,993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16,932,077</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16,973,872</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16,935,398</w:t>
            </w:r>
          </w:p>
        </w:tc>
      </w:tr>
      <w:tr>
        <w:trPr>
          <w:trHeight w:val="21"/>
        </w:trPr>
        <w:tc>
          <w:tcPr>
            <w:tcW w:w="4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7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4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26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4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r>
      <w:tr>
        <w:trPr>
          <w:trHeight w:val="570"/>
        </w:trPr>
        <w:tc>
          <w:tcPr>
            <w:tcW w:w="4780" w:type="dxa"/>
            <w:vAlign w:val="bottom"/>
          </w:tcPr>
          <w:p>
            <w:pPr>
              <w:spacing w:after="0"/>
              <w:rPr>
                <w:sz w:val="24"/>
                <w:szCs w:val="24"/>
                <w:color w:val="auto"/>
              </w:rPr>
            </w:pPr>
          </w:p>
        </w:tc>
        <w:tc>
          <w:tcPr>
            <w:tcW w:w="1200" w:type="dxa"/>
            <w:vAlign w:val="bottom"/>
          </w:tcPr>
          <w:p>
            <w:pPr>
              <w:jc w:val="right"/>
              <w:ind w:right="196"/>
              <w:spacing w:after="0"/>
              <w:rPr>
                <w:sz w:val="20"/>
                <w:szCs w:val="20"/>
                <w:color w:val="auto"/>
              </w:rPr>
            </w:pPr>
            <w:r>
              <w:rPr>
                <w:rFonts w:ascii="Times New Roman" w:cs="Times New Roman" w:eastAsia="Times New Roman" w:hAnsi="Times New Roman"/>
                <w:sz w:val="14"/>
                <w:szCs w:val="14"/>
                <w:color w:val="auto"/>
              </w:rPr>
              <w:t>22</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47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27" w:name="page28"/>
    <w:bookmarkEnd w:id="27"/>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segments are components of a business about which separate financial information is available that is evaluated regularly by the chief operating decision-maker (“CODM”) in deciding how to allocate resources and in assessing performance.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reportable banking segment is determined by its President, who is the designated CODM. City Bank is the only significant subsidiary upon which the CODM makes decisions regarding how to allocate resources and assess performance. Individual bank branches offer a group of similar services, including commercial, real estate and consumer loans, time deposits, checking and savings accounts, all with similar operating and economic characteristics. While the CODM monitors the revenue streams of the various products, services, and branch locations, operations are managed and financial performance is evaluated on a Company-wide basis. Accordingly, all of the community banking services and branch locations are considered by management to be aggregated into one reportable operating segment, banking. Loans, investments, and deposits provide the significant revenues and interest expense, provision for credit losses and salaries and employee benefits comprise the significant expenses within the banking segment. All significant revenues and expenses mentioned above are shown individually on the Consolidated Statements of Comprehensive Income.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FAIR VALUE DISCLOSURES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 fair value measurement assumes that the transaction to sell the asset or transfer the liability occurs in the principal market for the asset or liability or, in the absence of a principal market, the most advantageous market for the asset or liability. The price in the principal (or most advantageous) market used to measure the fair value of the asset or liability is not adjusted for transaction costs. An orderly transaction is a transaction that assumes exposure to the market for a period prior to the measurement date to allow for marketing activities that are usual and customary for transactions involving such assets and liabilities; it is not a forced transaction. Market participants are buyers and sellers in the principal market that are: (i) independent, (ii) knowledgeable, (iii) able to transact and (iv) willing to transact.</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Valuation techniques that are consistent with the market approach, the income approach and/or the cost approach are required by GAAP. The market approach uses prices and other relevant information generated by market transactions involving identical or comparable assets and liabilities. The income approach uses valuation techniques to convert future amounts, such as cash flows or earnings, to a single present amount on a discounted basis. The cost approach is based on the amount that currently would be required to replace the service capacity of an asset. Valuation techniques should be consistently applied. Inputs to valuation techniques refer to the assumptions that market participants would use in pricing the asset or liability. Inputs may be observable, meaning those that reflect the assumptions market participants would use in pricing the asset or liability developed based on market data obtained from independent sources, or unobservable, meaning those that reflect the reporting entity’s own assumptions about the assumptions market participants would use in pricing the asset or liability developed based on the best information available in the circumstances. The fair value hierarchy for valuation inputs gives the highest priority to quoted prices in active markets for identical assets or liabilities and the lowest priority to unobservable inputs. The fair value hierarchy is as follows:</w:t>
      </w:r>
    </w:p>
    <w:p>
      <w:pPr>
        <w:spacing w:after="0" w:line="192" w:lineRule="exact"/>
        <w:rPr>
          <w:sz w:val="20"/>
          <w:szCs w:val="20"/>
          <w:color w:val="auto"/>
        </w:rPr>
      </w:pPr>
    </w:p>
    <w:p>
      <w:pPr>
        <w:ind w:left="860" w:right="20" w:hanging="488"/>
        <w:spacing w:after="0" w:line="262" w:lineRule="auto"/>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Inputs </w:t>
      </w:r>
      <w:r>
        <w:rPr>
          <w:rFonts w:ascii="Times New Roman" w:cs="Times New Roman" w:eastAsia="Times New Roman" w:hAnsi="Times New Roman"/>
          <w:sz w:val="18"/>
          <w:szCs w:val="18"/>
          <w:color w:val="auto"/>
        </w:rPr>
        <w:t>- Unadjusted quoted prices in active markets for identical assets or liabilities that the reporting entity has the ability to access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measurement date.</w:t>
      </w:r>
    </w:p>
    <w:p>
      <w:pPr>
        <w:jc w:val="both"/>
        <w:ind w:left="860" w:hanging="488"/>
        <w:spacing w:after="0" w:line="250" w:lineRule="auto"/>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Inputs </w:t>
      </w:r>
      <w:r>
        <w:rPr>
          <w:rFonts w:ascii="Times New Roman" w:cs="Times New Roman" w:eastAsia="Times New Roman" w:hAnsi="Times New Roman"/>
          <w:sz w:val="18"/>
          <w:szCs w:val="18"/>
          <w:color w:val="auto"/>
        </w:rPr>
        <w:t>- Inputs other than quoted prices included in Level 1 that are observable for the asset or liability, either directly or indirectly.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might 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p>
      <w:pPr>
        <w:spacing w:after="0" w:line="1" w:lineRule="exact"/>
        <w:rPr>
          <w:rFonts w:ascii="Times New Roman" w:cs="Times New Roman" w:eastAsia="Times New Roman" w:hAnsi="Times New Roman"/>
          <w:sz w:val="18"/>
          <w:szCs w:val="18"/>
          <w:color w:val="auto"/>
        </w:rPr>
      </w:pPr>
    </w:p>
    <w:p>
      <w:pPr>
        <w:ind w:left="860" w:hanging="488"/>
        <w:spacing w:after="0" w:line="260" w:lineRule="auto"/>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Inputs </w:t>
      </w:r>
      <w:r>
        <w:rPr>
          <w:rFonts w:ascii="Times New Roman" w:cs="Times New Roman" w:eastAsia="Times New Roman" w:hAnsi="Times New Roman"/>
          <w:sz w:val="18"/>
          <w:szCs w:val="18"/>
          <w:color w:val="auto"/>
        </w:rPr>
        <w:t>- Significant unobservable inputs for determining the fair values of assets or liabilities that reflect an entity’s own assumptions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about the assumptions that market participants would use in pricing the assets or liabilities.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fair value measurements as of the dates indicated below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1"/>
                <w:szCs w:val="21"/>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1"/>
                <w:szCs w:val="21"/>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75"/>
        </w:trPr>
        <w:tc>
          <w:tcPr>
            <w:tcW w:w="1020" w:type="dxa"/>
            <w:vAlign w:val="bottom"/>
            <w:tcBorders>
              <w:bottom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9"/>
              </w:rPr>
              <w:t>June 30, 2025</w:t>
            </w:r>
          </w:p>
        </w:tc>
        <w:tc>
          <w:tcPr>
            <w:tcW w:w="4960" w:type="dxa"/>
            <w:vAlign w:val="bottom"/>
            <w:gridSpan w:val="2"/>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8"/>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Assets (liabilities) measured at fair value on a recurring basis: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and municipal</w:t>
            </w:r>
          </w:p>
        </w:tc>
        <w:tc>
          <w:tcPr>
            <w:tcW w:w="90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165,591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165,591</w:t>
            </w:r>
          </w:p>
        </w:tc>
      </w:tr>
      <w:tr>
        <w:trPr>
          <w:trHeight w:val="216"/>
        </w:trPr>
        <w:tc>
          <w:tcPr>
            <w:tcW w:w="59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266,874</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266,874</w:t>
            </w:r>
          </w:p>
        </w:tc>
      </w:tr>
      <w:tr>
        <w:trPr>
          <w:trHeight w:val="216"/>
        </w:trPr>
        <w:tc>
          <w:tcPr>
            <w:tcW w:w="59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41,220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41,220</w:t>
            </w:r>
          </w:p>
        </w:tc>
      </w:tr>
      <w:tr>
        <w:trPr>
          <w:trHeight w:val="216"/>
        </w:trPr>
        <w:tc>
          <w:tcPr>
            <w:tcW w:w="59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Commercial collateralized mortgage obligations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70,651</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70,651</w:t>
            </w:r>
          </w:p>
        </w:tc>
      </w:tr>
      <w:tr>
        <w:trPr>
          <w:trHeight w:val="216"/>
        </w:trPr>
        <w:tc>
          <w:tcPr>
            <w:tcW w:w="59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and other amortizing securities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14,016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14,016</w:t>
            </w:r>
          </w:p>
        </w:tc>
      </w:tr>
      <w:tr>
        <w:trPr>
          <w:trHeight w:val="216"/>
        </w:trPr>
        <w:tc>
          <w:tcPr>
            <w:tcW w:w="59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securities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11,648</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11,648</w:t>
            </w: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 (mandatory)</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15,020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15,020</w:t>
            </w: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Mortgage servicing rights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25,134</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25,134</w:t>
            </w: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derivatives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11,979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11,979</w:t>
            </w: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Liability derivatives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(162)</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Assets measured at fair value on a non-recurring basis: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investment</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5,661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5,661</w:t>
            </w: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6"/>
        </w:trPr>
        <w:tc>
          <w:tcPr>
            <w:tcW w:w="59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December 31, 2024</w:t>
            </w: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
        </w:trPr>
        <w:tc>
          <w:tcPr>
            <w:tcW w:w="102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45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Assets (liabilities) measured at fair value on a recurring basis: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State and municipal</w:t>
            </w:r>
          </w:p>
        </w:tc>
        <w:tc>
          <w:tcPr>
            <w:tcW w:w="900" w:type="dxa"/>
            <w:vAlign w:val="bottom"/>
          </w:tcPr>
          <w:p>
            <w:pPr>
              <w:jc w:val="right"/>
              <w:ind w:right="734"/>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173,297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173,297</w:t>
            </w:r>
          </w:p>
        </w:tc>
      </w:tr>
      <w:tr>
        <w:trPr>
          <w:trHeight w:val="216"/>
        </w:trPr>
        <w:tc>
          <w:tcPr>
            <w:tcW w:w="59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264,096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264,096</w:t>
            </w:r>
          </w:p>
        </w:tc>
      </w:tr>
      <w:tr>
        <w:trPr>
          <w:trHeight w:val="216"/>
        </w:trPr>
        <w:tc>
          <w:tcPr>
            <w:tcW w:w="59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40,360</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40,360</w:t>
            </w:r>
          </w:p>
        </w:tc>
      </w:tr>
      <w:tr>
        <w:trPr>
          <w:trHeight w:val="216"/>
        </w:trPr>
        <w:tc>
          <w:tcPr>
            <w:tcW w:w="59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collateralized mortgage obligations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73,483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73,483</w:t>
            </w:r>
          </w:p>
        </w:tc>
      </w:tr>
      <w:tr>
        <w:trPr>
          <w:trHeight w:val="216"/>
        </w:trPr>
        <w:tc>
          <w:tcPr>
            <w:tcW w:w="59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Asset-backed and other amortizing securities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14,581</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14,581</w:t>
            </w:r>
          </w:p>
        </w:tc>
      </w:tr>
      <w:tr>
        <w:trPr>
          <w:trHeight w:val="216"/>
        </w:trPr>
        <w:tc>
          <w:tcPr>
            <w:tcW w:w="59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securities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11,423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11,423</w:t>
            </w: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Loans held for sale (mandatory)</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13,791</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13,791</w:t>
            </w: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servicing rights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26,292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26,292</w:t>
            </w:r>
          </w:p>
        </w:tc>
      </w:tr>
    </w:tbl>
    <w:p>
      <w:pPr>
        <w:sectPr>
          <w:pgSz w:w="11900" w:h="16891" w:orient="portrait"/>
          <w:cols w:equalWidth="0" w:num="1">
            <w:col w:w="11240"/>
          </w:cols>
          <w:pgMar w:left="320" w:top="115" w:right="339" w:bottom="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Asset derivatives</w:t>
            </w:r>
          </w:p>
        </w:tc>
        <w:tc>
          <w:tcPr>
            <w:tcW w:w="28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15,998</w:t>
            </w:r>
          </w:p>
        </w:tc>
        <w:tc>
          <w:tcPr>
            <w:tcW w:w="12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15,998</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 derivatives</w:t>
            </w:r>
          </w:p>
        </w:tc>
        <w:tc>
          <w:tcPr>
            <w:tcW w:w="280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(12)</w:t>
            </w:r>
          </w:p>
        </w:tc>
        <w:tc>
          <w:tcPr>
            <w:tcW w:w="12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47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measured at fair value on a non-recurring basis:</w:t>
            </w:r>
          </w:p>
        </w:tc>
        <w:tc>
          <w:tcPr>
            <w:tcW w:w="28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Loans held for investment</w:t>
            </w:r>
          </w:p>
        </w:tc>
        <w:tc>
          <w:tcPr>
            <w:tcW w:w="28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20,566</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20,566</w:t>
            </w:r>
          </w:p>
        </w:tc>
      </w:tr>
      <w:tr>
        <w:trPr>
          <w:trHeight w:val="552"/>
        </w:trPr>
        <w:tc>
          <w:tcPr>
            <w:tcW w:w="4760" w:type="dxa"/>
            <w:vAlign w:val="bottom"/>
          </w:tcPr>
          <w:p>
            <w:pPr>
              <w:spacing w:after="0"/>
              <w:rPr>
                <w:sz w:val="24"/>
                <w:szCs w:val="24"/>
                <w:color w:val="auto"/>
              </w:rPr>
            </w:pPr>
          </w:p>
        </w:tc>
        <w:tc>
          <w:tcPr>
            <w:tcW w:w="2800" w:type="dxa"/>
            <w:vAlign w:val="bottom"/>
          </w:tcPr>
          <w:p>
            <w:pPr>
              <w:jc w:val="right"/>
              <w:ind w:right="1775"/>
              <w:spacing w:after="0"/>
              <w:rPr>
                <w:sz w:val="20"/>
                <w:szCs w:val="20"/>
                <w:color w:val="auto"/>
              </w:rPr>
            </w:pPr>
            <w:r>
              <w:rPr>
                <w:rFonts w:ascii="Times New Roman" w:cs="Times New Roman" w:eastAsia="Times New Roman" w:hAnsi="Times New Roman"/>
                <w:sz w:val="14"/>
                <w:szCs w:val="14"/>
                <w:color w:val="auto"/>
              </w:rPr>
              <w:t>23</w:t>
            </w: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4"/>
        </w:trPr>
        <w:tc>
          <w:tcPr>
            <w:tcW w:w="4760" w:type="dxa"/>
            <w:vAlign w:val="bottom"/>
            <w:tcBorders>
              <w:bottom w:val="single" w:sz="8" w:color="auto"/>
            </w:tcBorders>
          </w:tcPr>
          <w:p>
            <w:pPr>
              <w:spacing w:after="0"/>
              <w:rPr>
                <w:sz w:val="3"/>
                <w:szCs w:val="3"/>
                <w:color w:val="auto"/>
              </w:rPr>
            </w:pPr>
          </w:p>
        </w:tc>
        <w:tc>
          <w:tcPr>
            <w:tcW w:w="28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xml:space="preserve"> – Fair value is calculated based on market prices of similar securities using matrix pricing. Matrix pricing is a mathematical technique commonly used to price debt securities that are not actively traded.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Mortgage servicing rights</w:t>
      </w:r>
      <w:r>
        <w:rPr>
          <w:rFonts w:ascii="Times New Roman" w:cs="Times New Roman" w:eastAsia="Times New Roman" w:hAnsi="Times New Roman"/>
          <w:sz w:val="18"/>
          <w:szCs w:val="18"/>
          <w:color w:val="auto"/>
        </w:rPr>
        <w:t xml:space="preserve"> – Mortgage servicing rights are reported at fair value using Level 3 inputs. The mortgage servicing rights asset is valued by projecting net servicing cash flows, which are then discounted to estimate the fair value. The fair value of the mortgage servicing rights asset is impacted by a variety of factors, including prepayment speeds, default rates, and discount rates, which are significant unobservable inputs. Mortgage servicing rights are the only Level 3 asset measured at fair value on a recurring basis, see Note 5 for the Level 3 change activity for each of the three and six months ended June 30, 2025 and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Derivatives</w:t>
      </w:r>
      <w:r>
        <w:rPr>
          <w:rFonts w:ascii="Times New Roman" w:cs="Times New Roman" w:eastAsia="Times New Roman" w:hAnsi="Times New Roman"/>
          <w:sz w:val="18"/>
          <w:szCs w:val="18"/>
          <w:color w:val="auto"/>
        </w:rPr>
        <w:t xml:space="preserve"> – Fair value of derivatives is based on valuation models using observable market data as of the measurement date.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Loans held for investment</w:t>
      </w:r>
      <w:r>
        <w:rPr>
          <w:rFonts w:ascii="Times New Roman" w:cs="Times New Roman" w:eastAsia="Times New Roman" w:hAnsi="Times New Roman"/>
          <w:sz w:val="18"/>
          <w:szCs w:val="18"/>
          <w:color w:val="auto"/>
        </w:rPr>
        <w:t xml:space="preserve"> – Includes certain collateral-dependent loans which are reported at fair value, for which a specific allocation of the allowance for credit losses is based off of the underlying collateral, less estimated disposal costs, if repayment is expected solely from the sale of the collateral. Collateral values are estimated using Level 2 inputs based on observable market data or Level 3 inputs based on customized discounting criteria.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Values of Assets Recorded on a Recurring Basis for which the Fair Value Option has been Elected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Loans held for sale (mandatory)</w:t>
      </w:r>
      <w:r>
        <w:rPr>
          <w:rFonts w:ascii="Times New Roman" w:cs="Times New Roman" w:eastAsia="Times New Roman" w:hAnsi="Times New Roman"/>
          <w:sz w:val="18"/>
          <w:szCs w:val="18"/>
          <w:color w:val="auto"/>
        </w:rPr>
        <w:t xml:space="preserve"> – Loans held for sale originated for mandatory delivery are reported at fair value on a recurring basis due to the Company’s election to adopt fair value accounting treatment for these assets. This election allows for a more effective offset of the changes in fair values of the assets and the derivative instruments used to economically hedge them without the burden of complying with the requirements for hedge accounting under ASC Topic 815, Derivatives and Hedging. For assets for which the fair value option has been elected, the earned current contractual interest payment is recognized in interest income, loan origination costs and fees on fair value option loans are recognized in earnings as incurred and not deferred. At June 30, 2025, and December 31, 2024, there were no gains or losses recorded attributable to changes in instrument-specific credit risk. Fair value is determined using quoted prices for similar assets, adjusted for specific attributes of that loan. At June 30, 2025 and December 31, 2024, the aggregate fair value of loans held for sale for mandatory delivery was $15.0 million and $13.8 million, respectively. The aggregate unpaid principal balance as of the same dates was $14.6 million and $13.5 million, respectively, representing differences between fair value and unpaid principal balance of $396 thousand and $271 thousand, respectively. The Company had no loans held for sale for mandatory delivery designated as nonaccrual or 90 days or more past due at each of June 30, 2025 and December 31, 2024.</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total fair value option impact on noninterest income for loans held for sale for mandatory delivery is included in Net gain on sales of loans in the Consolidated Statements of Comprehensive Income. For each of the three months ended June 30, 2025 and 2024, the net (gain) loss amount totaled $(75) thousand and $32 thousand, respectively. For each of the six months ended June 30, 2025 and 2024, the net (gain) loss amount totaled $(163) thousand and $(340) thousand, respectively.</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recurring and non-recurring Level 3 fair value measurements at the dates indicated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4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Valuation</w:t>
            </w:r>
          </w:p>
        </w:tc>
        <w:tc>
          <w:tcPr>
            <w:tcW w:w="10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12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Range of</w:t>
            </w:r>
          </w:p>
        </w:tc>
      </w:tr>
      <w:tr>
        <w:trPr>
          <w:trHeight w:val="245"/>
        </w:trPr>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40" w:type="dxa"/>
            <w:vAlign w:val="bottom"/>
          </w:tcPr>
          <w:p>
            <w:pPr>
              <w:spacing w:after="0"/>
              <w:rPr>
                <w:sz w:val="21"/>
                <w:szCs w:val="21"/>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Techniques</w:t>
            </w:r>
          </w:p>
        </w:tc>
        <w:tc>
          <w:tcPr>
            <w:tcW w:w="100" w:type="dxa"/>
            <w:vAlign w:val="bottom"/>
          </w:tcPr>
          <w:p>
            <w:pPr>
              <w:spacing w:after="0"/>
              <w:rPr>
                <w:sz w:val="21"/>
                <w:szCs w:val="21"/>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0" w:type="dxa"/>
            <w:vAlign w:val="bottom"/>
          </w:tcPr>
          <w:p>
            <w:pPr>
              <w:spacing w:after="0"/>
              <w:rPr>
                <w:sz w:val="21"/>
                <w:szCs w:val="21"/>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Discounts</w:t>
            </w:r>
          </w:p>
        </w:tc>
      </w:tr>
      <w:tr>
        <w:trPr>
          <w:trHeight w:val="176"/>
        </w:trPr>
        <w:tc>
          <w:tcPr>
            <w:tcW w:w="1020" w:type="dxa"/>
            <w:vAlign w:val="bottom"/>
            <w:tcBorders>
              <w:bottom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9"/>
              </w:rPr>
              <w:t>June 30, 2025</w:t>
            </w:r>
          </w:p>
        </w:tc>
        <w:tc>
          <w:tcPr>
            <w:tcW w:w="1380" w:type="dxa"/>
            <w:vAlign w:val="bottom"/>
            <w:gridSpan w:val="2"/>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236"/>
        </w:trPr>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Non-recurring:</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investment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5,661</w:t>
            </w:r>
          </w:p>
        </w:tc>
        <w:tc>
          <w:tcPr>
            <w:tcW w:w="28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Third party appraisals or inspections</w:t>
            </w:r>
          </w:p>
        </w:tc>
        <w:tc>
          <w:tcPr>
            <w:tcW w:w="2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Collateral discounts and selling costs</w:t>
            </w:r>
          </w:p>
        </w:tc>
        <w:tc>
          <w:tcPr>
            <w:tcW w:w="1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Recurring:</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servicing rights</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25,134</w:t>
            </w:r>
          </w:p>
        </w:tc>
        <w:tc>
          <w:tcPr>
            <w:tcW w:w="28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Discounted cash flows</w:t>
            </w:r>
          </w:p>
        </w:tc>
        <w:tc>
          <w:tcPr>
            <w:tcW w:w="2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Constant prepayment rate</w:t>
            </w:r>
          </w:p>
        </w:tc>
        <w:tc>
          <w:tcPr>
            <w:tcW w:w="1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7.31%</w:t>
            </w:r>
          </w:p>
        </w:tc>
      </w:t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Discount rate</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10.19%</w:t>
            </w:r>
          </w:p>
        </w:tc>
      </w:tr>
      <w:tr>
        <w:trPr>
          <w:trHeight w:val="216"/>
        </w:trPr>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76"/>
        </w:trPr>
        <w:tc>
          <w:tcPr>
            <w:tcW w:w="24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December 31, 2024</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
        </w:trPr>
        <w:tc>
          <w:tcPr>
            <w:tcW w:w="10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Non-recurring:</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Loans held for investment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20,566</w:t>
            </w:r>
          </w:p>
        </w:tc>
        <w:tc>
          <w:tcPr>
            <w:tcW w:w="2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Third party appraisals or inspections</w:t>
            </w:r>
          </w:p>
        </w:tc>
        <w:tc>
          <w:tcPr>
            <w:tcW w:w="2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Collateral discounts and selling costs</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2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Recurring:</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Mortgage servicing rights</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26,292</w:t>
            </w:r>
          </w:p>
        </w:tc>
        <w:tc>
          <w:tcPr>
            <w:tcW w:w="2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Discounted cash flows</w:t>
            </w:r>
          </w:p>
        </w:tc>
        <w:tc>
          <w:tcPr>
            <w:tcW w:w="2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Constant prepayment rate</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7.16%</w:t>
            </w:r>
          </w:p>
        </w:tc>
      </w:tr>
      <w:tr>
        <w:trPr>
          <w:trHeight w:val="216"/>
        </w:trPr>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Discount rate</w:t>
            </w:r>
          </w:p>
        </w:tc>
        <w:tc>
          <w:tcPr>
            <w:tcW w:w="1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10.17%</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estimated fair values, and related carrying amounts, of the Company’s financial instruments that are not previously disclosed in the recurring fair values section are as follows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45"/>
        </w:trPr>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Pr>
          <w:p>
            <w:pPr>
              <w:spacing w:after="0"/>
              <w:rPr>
                <w:sz w:val="21"/>
                <w:szCs w:val="21"/>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1"/>
                <w:szCs w:val="21"/>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1"/>
                <w:szCs w:val="21"/>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392"/>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June 30, 2025</w:t>
            </w:r>
          </w:p>
        </w:tc>
        <w:tc>
          <w:tcPr>
            <w:tcW w:w="3600" w:type="dxa"/>
            <w:vAlign w:val="bottom"/>
            <w:gridSpan w:val="2"/>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470,496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470,496</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470,496</w:t>
            </w:r>
          </w:p>
        </w:tc>
      </w:tr>
      <w:tr>
        <w:trPr>
          <w:trHeight w:val="216"/>
        </w:trPr>
        <w:tc>
          <w:tcPr>
            <w:tcW w:w="4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Loans held for investment, net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3,053,968</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3,011,725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3,011,725</w:t>
            </w:r>
          </w:p>
        </w:tc>
      </w:tr>
      <w:tr>
        <w:trPr>
          <w:trHeight w:val="216"/>
        </w:trPr>
        <w:tc>
          <w:tcPr>
            <w:tcW w:w="4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held for sale (best efforts)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2,162</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2,207</w:t>
            </w:r>
          </w:p>
        </w:tc>
      </w:tr>
      <w:tr>
        <w:trPr>
          <w:trHeight w:val="216"/>
        </w:trPr>
        <w:tc>
          <w:tcPr>
            <w:tcW w:w="4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17,996</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17,996</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17,996</w:t>
            </w:r>
          </w:p>
        </w:tc>
      </w:tr>
      <w:tr>
        <w:trPr>
          <w:trHeight w:val="216"/>
        </w:trPr>
        <w:tc>
          <w:tcPr>
            <w:tcW w:w="4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1,352</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1,352</w:t>
            </w: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3,738,938</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3,738,516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3,738,516</w:t>
            </w:r>
          </w:p>
        </w:tc>
      </w:tr>
      <w:tr>
        <w:trPr>
          <w:trHeight w:val="216"/>
        </w:trPr>
        <w:tc>
          <w:tcPr>
            <w:tcW w:w="4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4,962</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4,962</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4,962</w:t>
            </w:r>
          </w:p>
        </w:tc>
      </w:tr>
      <w:tr>
        <w:trPr>
          <w:trHeight w:val="216"/>
        </w:trPr>
        <w:tc>
          <w:tcPr>
            <w:tcW w:w="4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Junior subordinated deferrable interest debentures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46,393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34,372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34,372</w:t>
            </w:r>
          </w:p>
        </w:tc>
      </w:tr>
      <w:tr>
        <w:trPr>
          <w:trHeight w:val="234"/>
        </w:trPr>
        <w:tc>
          <w:tcPr>
            <w:tcW w:w="4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Subordinated debt</w:t>
            </w:r>
          </w:p>
        </w:tc>
        <w:tc>
          <w:tcPr>
            <w:tcW w:w="16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64,054</w:t>
            </w:r>
          </w:p>
        </w:tc>
        <w:tc>
          <w:tcPr>
            <w:tcW w:w="2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62,796</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62,796</w:t>
            </w:r>
          </w:p>
        </w:tc>
      </w:tr>
      <w:tr>
        <w:trPr>
          <w:trHeight w:val="373"/>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1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3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359,082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359,082</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359,082</w:t>
            </w:r>
          </w:p>
        </w:tc>
      </w:tr>
      <w:tr>
        <w:trPr>
          <w:trHeight w:val="216"/>
        </w:trPr>
        <w:tc>
          <w:tcPr>
            <w:tcW w:w="4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Loans held for investment, net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3,011,817</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2,937,678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2,937,678</w:t>
            </w:r>
          </w:p>
        </w:tc>
      </w:tr>
      <w:tr>
        <w:trPr>
          <w:trHeight w:val="216"/>
        </w:trPr>
        <w:tc>
          <w:tcPr>
            <w:tcW w:w="4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held for sale (best efforts)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6,751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6,875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6,875</w:t>
            </w:r>
          </w:p>
        </w:tc>
      </w:tr>
      <w:tr>
        <w:trPr>
          <w:trHeight w:val="216"/>
        </w:trPr>
        <w:tc>
          <w:tcPr>
            <w:tcW w:w="4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21,687</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21,687</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21,687</w:t>
            </w: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3,620,876</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3,621,106</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3,621,106</w:t>
            </w:r>
          </w:p>
        </w:tc>
      </w:tr>
      <w:tr>
        <w:trPr>
          <w:trHeight w:val="216"/>
        </w:trPr>
        <w:tc>
          <w:tcPr>
            <w:tcW w:w="4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6,108</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6,108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6,108</w:t>
            </w:r>
          </w:p>
        </w:tc>
      </w:tr>
      <w:tr>
        <w:trPr>
          <w:trHeight w:val="216"/>
        </w:trPr>
        <w:tc>
          <w:tcPr>
            <w:tcW w:w="46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Junior subordinated deferrable interest debentures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46,393</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34,285</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34,285</w:t>
            </w:r>
          </w:p>
        </w:tc>
      </w:tr>
      <w:tr>
        <w:trPr>
          <w:trHeight w:val="216"/>
        </w:trPr>
        <w:tc>
          <w:tcPr>
            <w:tcW w:w="4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Subordinated debt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63,961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60,969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60,969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Declaration</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July 16, 2025, the Company declared a cash dividend of $0.16 per share of common stock to be paid on August 11, 2025 to all shareholders of record as of the close of business on July 28, 2025.</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for the periods covered by this Quarterly Report on Form 10-Q (this “Form 10-Q”) and should be read in conjunction with our consolidated financial statements and the accompanying notes thereto included in this Form 10-Q and in our Annual Report on Form 10-K for the year ended December 31, 2024 (the “2024 Annual Report on Form 10-K”) filed with the U.S. Securities and Exchange Commission (the “SEC”) pursuant to Rule 424(b) of the Securities Act of 1933, as amended (the “Securities Act”), on March 7, 2025. Unless we state otherwise or the context otherwise requires, references in this Form 10-Q to “we,” “our,” “us” and “the Company” refer to South Plains Financial, Inc., a Texas corporation, our wholly-owned banking subsidiary, City Bank, a Texas banking association, and our other consolidated subsidiaries. References in this Form 10-Q to the “Bank” refer to City Bank.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b w:val="1"/>
          <w:bCs w:val="1"/>
          <w:color w:val="auto"/>
        </w:rPr>
        <w:t>autionary Notice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Form 10-Q contains statements that we believe are “forward-looking statements” within the meaning of Section 27A of the Securities Act and Section 21E of the Securities Exchange Act of 1934, as amended (the “Exchange Act”).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“strive,” “projection,” “goal,” “target,” “outlook,” “aim,”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9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There are or will be important factors that could cause our actual results to differ materially from those indicated in these forward-looking statements, including, but not limited to, the following:</w:t>
      </w:r>
    </w:p>
    <w:p>
      <w:pPr>
        <w:spacing w:after="0" w:line="162"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recession in the United States and our market areas;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related to or resulting from uncertainty in the banking industry as a whole;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for deposits and related changes in deposit customer behavior;</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lingering inflationary pressures, and the risk of the resurgence of elevated levels of inflation, in the United States and our market areas, and its impact on market interest rates, the economy and credit quality;</w:t>
      </w:r>
    </w:p>
    <w:p>
      <w:pPr>
        <w:ind w:left="980" w:hanging="324"/>
        <w:spacing w:after="0" w:line="250"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execute our expansion strategy and manage our growth, including identifying and consummating suitable acquisitions;</w:t>
      </w:r>
    </w:p>
    <w:p>
      <w:pPr>
        <w:ind w:left="980" w:hanging="324"/>
        <w:spacing w:after="0" w:line="250"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and economic conditions, particularly those affecting our market areas, as well as the concentration of our business in such market areas;</w:t>
      </w: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customer spending and savings habits;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pandemics, epidemics, or any other health-related crisis;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concentrations of loans secured by real estate located in our market areas;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unemployment rates in the United States and our market areas;</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commercial loan portfolio, including the risk for deterioration in value of the general business assets that secure such loans;</w:t>
      </w: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the prices, values and sales volumes of commercial and residential real estate securing our real estate loans;</w:t>
      </w:r>
    </w:p>
    <w:p>
      <w:pPr>
        <w:spacing w:after="0" w:line="9"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agricultural loan portfolio, including the heightened sensitivity to weather conditions, commodity prices, and other factors generally outside the borrowers and our control;</w:t>
      </w: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significant amount of credit that we have extended to a limited number of borrowers and in a limited geographic area;</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funds deposits comprising a relatively high percentage of our deposits;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impairment on the goodwill we have recorded or may record in connection with business acquisitions;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reputation;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manage our credit risk and the sufficiency of our allowance for credit losses;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hire and retain qualified management personnel;</w:t>
      </w:r>
    </w:p>
    <w:p>
      <w:pPr>
        <w:spacing w:after="0" w:line="9"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management team, including our ability to retain executive officers and key employees and their customer and community relationships;</w:t>
      </w: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fluctuations, which could have an adverse effect on our profitability;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banks, credit unions and other financial services providers;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keep pace with technological change or difficulties we may experience when implementing new technologies;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left="980" w:hanging="324"/>
        <w:spacing w:after="0" w:line="257"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 including cyber incidents or other failures, disruptions or breaches of our operational or security systems or infrastructure, or those of our third-party vendors or other service providers, including as a result of a cyber-attack, could impact the Company’s reputation, increase regulatory oversight, and impact the financial results of the Company;</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internal control over financial reporting;</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error, fraudulent activity by employees or customers and inaccurate or incomplete information about our customers and counterparties;</w:t>
      </w:r>
    </w:p>
    <w:p>
      <w:pPr>
        <w:ind w:left="980" w:hanging="324"/>
        <w:spacing w:after="0" w:line="250"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capital requirements imposed by banking regulators, which may require us to raise capital at a time when capital is not available on favorable terms or at all;</w:t>
      </w:r>
    </w:p>
    <w:p>
      <w:pPr>
        <w:ind w:left="980" w:right="20" w:hanging="324"/>
        <w:spacing w:after="0" w:line="250"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adequate liquidity and to raise necessary capital to fund our acquisition strategy and operations or to meet increased minimum regulatory capital levels;</w:t>
      </w: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effects of litigation, investigations or similar matters to which we may be subject, including any effect on our reputation;</w:t>
      </w:r>
    </w:p>
    <w:p>
      <w:pPr>
        <w:spacing w:after="0" w:line="9"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severe weather, acts of god, acts of war or terrorism, geopolitical instability, public health outbreaks (such as coronavirus), other international or domestic calamities, and other events beyond our control, including as a result of policies of the U.S. presidential administration or Congress;</w:t>
      </w:r>
    </w:p>
    <w:p>
      <w:pPr>
        <w:spacing w:after="0" w:line="1"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deterioration of the credit rating for United States long-term sovereign debt or uncertainty regarding United States fiscal debt, deficit and budget matters;</w:t>
      </w:r>
    </w:p>
    <w:p>
      <w:pPr>
        <w:ind w:left="980" w:right="20" w:hanging="324"/>
        <w:spacing w:after="0" w:line="250"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tariffs, sanctions and other trade policies of the United States and its global trading counterparts and the resulting impact on the Company and its customers;</w:t>
      </w:r>
    </w:p>
    <w:p>
      <w:pPr>
        <w:jc w:val="both"/>
        <w:ind w:left="980" w:hanging="324"/>
        <w:spacing w:after="0" w:line="250"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governmental and regulatory requirements, including the Dodd-Frank Act Wall Street Reform and Consumer Protection Act (“Dodd-Frank Act”), Economic Growth, Regulatory Relief, and Consumer Protection Act of 2018 (“EGRRCPA”), and others relating to banking, consumer protection, securities and tax matters;</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laws, rules, regulations, interpretations or policies that apply to the Company’s business and operations, and any additional regulations, or repeals that may be forthcoming as a result thereof, which could cause the Company to incur additional costs and adversely affect the Company’s business environment, operations and financial results; and</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navigate the uncertain impacts of current and future governmental monetary and fiscal policies, including the current and future policies of the Board of Governors of the Federal Reserve System (“Federal Reserve”) and as a result of initiatives of the Trump administration.</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foregoing factors should not be construed as exhaustive and should be read together with the other cautionary statements included in this Form 10-Q and the risk factors set forth in our 2024 Annual Report on Form 10-K. Because of these risks and other uncertainties, our actual future results, performance or achievements, or industry results, may be materially different from the results indicated by the forward-looking statements in this Form 10-Q. In addition, our past results of operations are not necessarily indicative of our future results. Accordingly, you should not rely on any forward-looking statements, which represent our beliefs, assumptions and estimates only as of the dates on which such forward-looking statements were made. Any forward-looking statement speaks only as of the date on which it is made, and we do not undertake any obligation to update or review any forward-looking statement, whether as a result of new information, future developments or otherwise, except as required by applicable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maintains an Internet web site at </w:t>
      </w:r>
      <w:r>
        <w:rPr>
          <w:rFonts w:ascii="Times New Roman" w:cs="Times New Roman" w:eastAsia="Times New Roman" w:hAnsi="Times New Roman"/>
          <w:sz w:val="18"/>
          <w:szCs w:val="18"/>
          <w:i w:val="1"/>
          <w:iCs w:val="1"/>
          <w:u w:val="single" w:color="auto"/>
          <w:color w:val="auto"/>
        </w:rPr>
        <w:t>www.spfi.bank</w:t>
      </w:r>
      <w:r>
        <w:rPr>
          <w:rFonts w:ascii="Times New Roman" w:cs="Times New Roman" w:eastAsia="Times New Roman" w:hAnsi="Times New Roman"/>
          <w:sz w:val="18"/>
          <w:szCs w:val="18"/>
          <w:color w:val="auto"/>
        </w:rPr>
        <w:t xml:space="preserve">. The Company makes available, free of charge, on its web site (under </w:t>
      </w:r>
      <w:r>
        <w:rPr>
          <w:rFonts w:ascii="Times New Roman" w:cs="Times New Roman" w:eastAsia="Times New Roman" w:hAnsi="Times New Roman"/>
          <w:sz w:val="18"/>
          <w:szCs w:val="18"/>
          <w:i w:val="1"/>
          <w:iCs w:val="1"/>
          <w:u w:val="single" w:color="auto"/>
          <w:color w:val="auto"/>
        </w:rPr>
        <w:t>www.spfi.bank/financials-filings/sec-filings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Company’s annual reports on Form 10-K, quarterly reports on Form 10-Q, current reports on Form 8-K,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amendments to those reports filed or furnished pursuant to Section 13(a) or Section 15(d) of the Exchange Act as soon as reasonably practicable after the Company files such material with, or furnishes it to, the SEC. The Company also makes available, free of charge, through its web site (under </w:t>
      </w:r>
      <w:r>
        <w:rPr>
          <w:rFonts w:ascii="Times New Roman" w:cs="Times New Roman" w:eastAsia="Times New Roman" w:hAnsi="Times New Roman"/>
          <w:sz w:val="18"/>
          <w:szCs w:val="18"/>
          <w:i w:val="1"/>
          <w:iCs w:val="1"/>
          <w:u w:val="single" w:color="auto"/>
          <w:color w:val="auto"/>
        </w:rPr>
        <w:t>www.spfi.bank/corporate-governance/documents-charters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links to the Company’s Code of Conduct and the charters for its board committees. In addition,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SEC maintains an Internet site (at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color w:val="auto"/>
        </w:rPr>
        <w:t xml:space="preserve"> ) that contains reports, proxy and information statements, and other information regarding issuers that file electronically with the SEC.</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routinely posts important information for investors on its web site (under </w:t>
      </w:r>
      <w:r>
        <w:rPr>
          <w:rFonts w:ascii="Times New Roman" w:cs="Times New Roman" w:eastAsia="Times New Roman" w:hAnsi="Times New Roman"/>
          <w:sz w:val="18"/>
          <w:szCs w:val="18"/>
          <w:i w:val="1"/>
          <w:iCs w:val="1"/>
          <w:u w:val="single" w:color="auto"/>
          <w:color w:val="auto"/>
        </w:rPr>
        <w:t>www.spfi.bank</w:t>
      </w:r>
      <w:r>
        <w:rPr>
          <w:rFonts w:ascii="Times New Roman" w:cs="Times New Roman" w:eastAsia="Times New Roman" w:hAnsi="Times New Roman"/>
          <w:sz w:val="18"/>
          <w:szCs w:val="18"/>
          <w:color w:val="auto"/>
        </w:rPr>
        <w:t xml:space="preserve"> and, more specifically, under the News &amp; Events tab at </w:t>
      </w:r>
      <w:r>
        <w:rPr>
          <w:rFonts w:ascii="Times New Roman" w:cs="Times New Roman" w:eastAsia="Times New Roman" w:hAnsi="Times New Roman"/>
          <w:sz w:val="18"/>
          <w:szCs w:val="18"/>
          <w:i w:val="1"/>
          <w:iCs w:val="1"/>
          <w:u w:val="single" w:color="auto"/>
          <w:color w:val="auto"/>
        </w:rPr>
        <w:t>www.spfi.bank/news-events/press-releases</w:t>
      </w:r>
      <w:r>
        <w:rPr>
          <w:rFonts w:ascii="Times New Roman" w:cs="Times New Roman" w:eastAsia="Times New Roman" w:hAnsi="Times New Roman"/>
          <w:sz w:val="18"/>
          <w:szCs w:val="18"/>
          <w:color w:val="auto"/>
        </w:rPr>
        <w:t xml:space="preserve"> ). The Company intends to use its web site as a means of disclosing material non-public information and for complying with its disclosure obligations under SEC Regulation FD (Fair Disclosure). Accordingly, investors should monitor the Company’s web site, in addition to following the Company’s press releases, SEC filings, public conference calls, presentations and webcasts.</w:t>
      </w:r>
    </w:p>
    <w:p>
      <w:pPr>
        <w:spacing w:after="0" w:line="18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contained on, or that may be accessed through, the Company’s web site is not incorporated by reference into, and is not a part of, this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bank holding company headquartered in Lubbock, Texas, and our wholly-owned subsidiary, City Bank, is one of the largest independent banks in West Texas and has additional banking operations in the Dallas, El Paso, Greater Houston, the Permian Basin, and College Station, Texas markets, and the Ruidoso, New Mexico market. Through City Bank, we provide a wide range of commercial and consumer financial services to small and medium-sized businesses and individuals in our market areas. Our principal business activities include commercial and retail banking, along with investment, trust and mortgage services.</w:t>
      </w:r>
    </w:p>
    <w:p>
      <w:pPr>
        <w:sectPr>
          <w:pgSz w:w="11900" w:h="16838" w:orient="portrait"/>
          <w:cols w:equalWidth="0" w:num="1">
            <w:col w:w="11240"/>
          </w:cols>
          <w:pgMar w:left="320" w:top="115" w:right="339" w:bottom="1440" w:gutter="0" w:footer="0" w:header="0"/>
        </w:sect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had net income of $14.6 million, or $0.86 per diluted common share, for the three months ended June 30, 2025, compared to net income of $11.1 million, or $0.66 per diluted common share for the three months ended June 30, 2024. Return on average equity (annualized) was 13.05% and return on average assets (annualized) was 1.34% for the three months ended June 30, 2025, compared to 10.83% and 1.07%, respectively, for the three months ended June 30, 2024.</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had net income of $26.9 million, or $1.58 per diluted common share for the six months ended June 30, 2025, compared to net income of $22.0 million, or $1.30 per diluted common share for the six months ended June 30, 2024. Return on average equity (annualized) was 12.19% and return on average assets (annualized) was 1.25% for the six months ended June 30, 2025, compared to 10.78% and 1.06%, respectively, for the six months ended June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Income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interest income is the principal source of the Company’s net income and represents the difference between interest income (interest and fees earned on assets, primarily loans and investment securities) and interest expense (interest paid on deposits and borrowed funds). We generate interest income from interest-earning assets that we own, including loans and investment securities. We incur interest expense from interest-bearing liabilities, including interest-bearing deposits and other borrowings, notably FHLB advances and subordinated notes. To evaluate net interest income, we measure and monitor (i) yields on our loans and other interest-earning assets, (ii) the costs of our deposits and other funding sources, (iii) our net interest spread and (iv) our net interest margin. Net interest spread is the difference between rates earned on interest-earning assets and rates paid on interest-bearing liabilities. Net interest margin is calculated as the annualized net interest income on a fully tax-equivalent basis divided by average interest-earning assets.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the market interest rates and interest rates we earn on interest-earning assets or pay on interest-bearing liabilities, as well as the volume and types of interest-earning assets, interest-bearing and noninterest-bearing liabilities, are usually the largest drivers of periodic changes in net interest spread, net interest margin and net interest income.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tables present, for the periods indicated, information about: (i) weighted average balances, the total dollar amount of interest income from interest-earning assets and the resultant average yields; (ii) average balances, the total dollar amount of interest expense on interest-bearing liabilities and the resultant average rates; (iii) net interest income; (iv) the interest rate spread; and (v) the net interest margin. For purposes of this table, interest income, net interest margin and net interest spread are shown on a fully tax-equivalent basis.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8"/>
              </w:rPr>
              <w:t>Three Months Ended June 30,</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ind w:left="260"/>
              <w:spacing w:after="0" w:line="194" w:lineRule="exact"/>
              <w:rPr>
                <w:sz w:val="20"/>
                <w:szCs w:val="20"/>
                <w:color w:val="auto"/>
              </w:rPr>
            </w:pPr>
            <w:r>
              <w:rPr>
                <w:rFonts w:ascii="Times New Roman" w:cs="Times New Roman" w:eastAsia="Times New Roman" w:hAnsi="Times New Roman"/>
                <w:sz w:val="18"/>
                <w:szCs w:val="18"/>
                <w:b w:val="1"/>
                <w:bCs w:val="1"/>
                <w:color w:val="auto"/>
              </w:rPr>
              <w:t>Yield/</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320"/>
              <w:spacing w:after="0" w:line="194"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190"/>
              <w:spacing w:after="0" w:line="194" w:lineRule="exact"/>
              <w:rPr>
                <w:sz w:val="20"/>
                <w:szCs w:val="20"/>
                <w:color w:val="auto"/>
              </w:rPr>
            </w:pPr>
            <w:r>
              <w:rPr>
                <w:rFonts w:ascii="Times New Roman" w:cs="Times New Roman" w:eastAsia="Times New Roman" w:hAnsi="Times New Roman"/>
                <w:sz w:val="18"/>
                <w:szCs w:val="18"/>
                <w:b w:val="1"/>
                <w:bCs w:val="1"/>
                <w:color w:val="auto"/>
              </w:rPr>
              <w:t>Yield/</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40" w:type="dxa"/>
            <w:vAlign w:val="bottom"/>
          </w:tcPr>
          <w:p>
            <w:pPr>
              <w:spacing w:after="0"/>
              <w:rPr>
                <w:sz w:val="21"/>
                <w:szCs w:val="21"/>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2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40" w:type="dxa"/>
            <w:vAlign w:val="bottom"/>
          </w:tcPr>
          <w:p>
            <w:pPr>
              <w:spacing w:after="0"/>
              <w:rPr>
                <w:sz w:val="21"/>
                <w:szCs w:val="21"/>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Rate</w:t>
            </w:r>
          </w:p>
        </w:tc>
        <w:tc>
          <w:tcPr>
            <w:tcW w:w="0" w:type="dxa"/>
            <w:vAlign w:val="bottom"/>
          </w:tcPr>
          <w:p>
            <w:pPr>
              <w:spacing w:after="0"/>
              <w:rPr>
                <w:sz w:val="1"/>
                <w:szCs w:val="1"/>
                <w:color w:val="auto"/>
              </w:rPr>
            </w:pPr>
          </w:p>
        </w:tc>
      </w:tr>
      <w:tr>
        <w:trPr>
          <w:trHeight w:val="238"/>
        </w:trPr>
        <w:tc>
          <w:tcPr>
            <w:tcW w:w="3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2"/>
              </w:rPr>
              <w:t>in</w:t>
            </w:r>
          </w:p>
        </w:tc>
        <w:tc>
          <w:tcPr>
            <w:tcW w:w="10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8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Interest-earning assets:</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60" w:type="dxa"/>
            <w:vAlign w:val="bottom"/>
            <w:tcBorders>
              <w:right w:val="single" w:sz="8" w:color="CCEEFF"/>
            </w:tcBorders>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Loans</w:t>
            </w:r>
            <w:r>
              <w:rPr>
                <w:rFonts w:ascii="Times New Roman" w:cs="Times New Roman" w:eastAsia="Times New Roman" w:hAnsi="Times New Roman"/>
                <w:sz w:val="25"/>
                <w:szCs w:val="25"/>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3,094,558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53,894</w:t>
            </w:r>
          </w:p>
        </w:tc>
        <w:tc>
          <w:tcPr>
            <w:tcW w:w="126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3,082,601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50,579</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securities – taxable</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508,508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4,700</w:t>
            </w: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3.71%</w:t>
            </w: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533,553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5,285</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16"/>
        </w:trPr>
        <w:tc>
          <w:tcPr>
            <w:tcW w:w="38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securities – non-taxable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1,015</w:t>
            </w:r>
          </w:p>
        </w:tc>
        <w:tc>
          <w:tcPr>
            <w:tcW w:w="126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2.67%</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155,408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1,022</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Other interest-earning assets</w:t>
            </w:r>
            <w:r>
              <w:rPr>
                <w:rFonts w:ascii="Times New Roman" w:cs="Times New Roman" w:eastAsia="Times New Roman" w:hAnsi="Times New Roman"/>
                <w:sz w:val="25"/>
                <w:szCs w:val="25"/>
                <w:color w:val="auto"/>
                <w:vertAlign w:val="superscript"/>
              </w:rPr>
              <w:t>(2)</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456,818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4,747</w:t>
            </w: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4.17%</w:t>
            </w: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225,720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2,545</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4,212,086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64,356</w:t>
            </w:r>
          </w:p>
        </w:tc>
        <w:tc>
          <w:tcPr>
            <w:tcW w:w="2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6.13%</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3,997,282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59,431</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Noninterest-earning assets</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166,763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171,472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860" w:type="dxa"/>
            <w:vAlign w:val="bottom"/>
            <w:tcBorders>
              <w:bottom w:val="single" w:sz="8" w:color="CCEEFF"/>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4,378,849</w:t>
            </w: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right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4,168,754</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NOW, savings and money market deposits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2,326,779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15,890</w:t>
            </w:r>
          </w:p>
        </w:tc>
        <w:tc>
          <w:tcPr>
            <w:tcW w:w="126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2,221,427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17,652</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Time deposits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438,697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4,172</w:t>
            </w: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3.81%</w:t>
            </w: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392,778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3,977</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16"/>
        </w:trPr>
        <w:tc>
          <w:tcPr>
            <w:tcW w:w="38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198"/>
        </w:trPr>
        <w:tc>
          <w:tcPr>
            <w:tcW w:w="38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Notes payable &amp; other longer-term</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borrowings</w:t>
            </w:r>
          </w:p>
        </w:tc>
        <w:tc>
          <w:tcPr>
            <w:tcW w:w="14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38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Subordinated debt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64,031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835</w:t>
            </w:r>
          </w:p>
        </w:tc>
        <w:tc>
          <w:tcPr>
            <w:tcW w:w="126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5.23%</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63,845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835</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Junior subordinated deferrable interest debentures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46,393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735</w:t>
            </w: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6.35%</w:t>
            </w: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46,393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856</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86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2,875,918</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21,632</w:t>
            </w:r>
          </w:p>
        </w:tc>
        <w:tc>
          <w:tcPr>
            <w:tcW w:w="220" w:type="dxa"/>
            <w:vAlign w:val="bottom"/>
            <w:shd w:val="clear" w:color="auto" w:fill="CCEEFF"/>
          </w:tcPr>
          <w:p>
            <w:pPr>
              <w:spacing w:after="0"/>
              <w:rPr>
                <w:sz w:val="19"/>
                <w:szCs w:val="19"/>
                <w:color w:val="auto"/>
              </w:rPr>
            </w:pPr>
          </w:p>
        </w:tc>
        <w:tc>
          <w:tcPr>
            <w:tcW w:w="126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2,724,446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23,320</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16"/>
        </w:trPr>
        <w:tc>
          <w:tcPr>
            <w:tcW w:w="38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Noninterest-bearing liabilities: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990,343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960,106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70,854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6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noninterest-bearing liabilities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1,054,022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1,030,960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448,909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413,348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6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4,378,849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4,168,754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8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42,724</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36,111</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38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spread</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60" w:type="dxa"/>
            <w:vAlign w:val="bottom"/>
          </w:tcPr>
          <w:p>
            <w:pPr>
              <w:spacing w:after="0" w:line="210" w:lineRule="exact"/>
              <w:rPr>
                <w:sz w:val="20"/>
                <w:szCs w:val="20"/>
                <w:color w:val="auto"/>
              </w:rPr>
            </w:pPr>
            <w:r>
              <w:rPr>
                <w:rFonts w:ascii="Times New Roman" w:cs="Times New Roman" w:eastAsia="Times New Roman" w:hAnsi="Times New Roman"/>
                <w:sz w:val="15"/>
                <w:szCs w:val="15"/>
                <w:color w:val="auto"/>
              </w:rPr>
              <w:t>Net interest margin</w:t>
            </w:r>
            <w:r>
              <w:rPr>
                <w:rFonts w:ascii="Times New Roman" w:cs="Times New Roman" w:eastAsia="Times New Roman" w:hAnsi="Times New Roman"/>
                <w:sz w:val="24"/>
                <w:szCs w:val="24"/>
                <w:color w:val="auto"/>
                <w:vertAlign w:val="superscript"/>
              </w:rPr>
              <w:t>(3)</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4.07%</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1"/>
        </w:trPr>
        <w:tc>
          <w:tcPr>
            <w:tcW w:w="3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5" w:right="339" w:bottom="282"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282"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161"/>
        </w:trPr>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2"/>
        </w:trPr>
        <w:tc>
          <w:tcPr>
            <w:tcW w:w="1020" w:type="dxa"/>
            <w:vAlign w:val="bottom"/>
            <w:tcBorders>
              <w:top w:val="single" w:sz="8" w:color="0000EE"/>
            </w:tcBorders>
          </w:tcPr>
          <w:p>
            <w:pPr>
              <w:spacing w:after="0"/>
              <w:rPr>
                <w:sz w:val="24"/>
                <w:szCs w:val="24"/>
                <w:color w:val="auto"/>
              </w:rPr>
            </w:pPr>
          </w:p>
        </w:tc>
        <w:tc>
          <w:tcPr>
            <w:tcW w:w="2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460"/>
              <w:spacing w:after="0" w:line="194"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ind w:left="340"/>
              <w:spacing w:after="0" w:line="194" w:lineRule="exact"/>
              <w:rPr>
                <w:sz w:val="20"/>
                <w:szCs w:val="20"/>
                <w:color w:val="auto"/>
              </w:rPr>
            </w:pPr>
            <w:r>
              <w:rPr>
                <w:rFonts w:ascii="Times New Roman" w:cs="Times New Roman" w:eastAsia="Times New Roman" w:hAnsi="Times New Roman"/>
                <w:sz w:val="18"/>
                <w:szCs w:val="18"/>
                <w:b w:val="1"/>
                <w:bCs w:val="1"/>
                <w:color w:val="auto"/>
              </w:rPr>
              <w:t>Yield/</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Yield/</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200" w:type="dxa"/>
            <w:vAlign w:val="bottom"/>
          </w:tcPr>
          <w:p>
            <w:pPr>
              <w:spacing w:after="0"/>
              <w:rPr>
                <w:sz w:val="21"/>
                <w:szCs w:val="21"/>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Rate</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22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0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2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Interest-earning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Loans</w:t>
            </w:r>
            <w:r>
              <w:rPr>
                <w:rFonts w:ascii="Times New Roman" w:cs="Times New Roman" w:eastAsia="Times New Roman" w:hAnsi="Times New Roman"/>
                <w:sz w:val="25"/>
                <w:szCs w:val="25"/>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3,084,563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104,471</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3,048,569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99,519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 securities – taxable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509,431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9,392</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3.72%</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543,817</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10,796</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securities – non-taxable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152,716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2,029</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155,831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line="216" w:lineRule="exact"/>
              <w:rPr>
                <w:sz w:val="20"/>
                <w:szCs w:val="20"/>
                <w:color w:val="auto"/>
              </w:rPr>
            </w:pPr>
            <w:r>
              <w:rPr>
                <w:rFonts w:ascii="Times New Roman" w:cs="Times New Roman" w:eastAsia="Times New Roman" w:hAnsi="Times New Roman"/>
                <w:sz w:val="16"/>
                <w:szCs w:val="16"/>
                <w:color w:val="auto"/>
              </w:rPr>
              <w:t>Other interest-earning assets</w:t>
            </w:r>
            <w:r>
              <w:rPr>
                <w:rFonts w:ascii="Times New Roman" w:cs="Times New Roman" w:eastAsia="Times New Roman" w:hAnsi="Times New Roman"/>
                <w:sz w:val="25"/>
                <w:szCs w:val="25"/>
                <w:color w:val="auto"/>
                <w:vertAlign w:val="superscript"/>
              </w:rPr>
              <w:t>(2)</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421,899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8,606</w:t>
            </w:r>
          </w:p>
        </w:tc>
        <w:tc>
          <w:tcPr>
            <w:tcW w:w="2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4.11%</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262,345</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6,020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4,168,609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124,498</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6.02%</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4,010,562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118,381</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5.94%</w:t>
            </w:r>
          </w:p>
        </w:tc>
        <w:tc>
          <w:tcPr>
            <w:tcW w:w="0" w:type="dxa"/>
            <w:vAlign w:val="bottom"/>
          </w:tcPr>
          <w:p>
            <w:pPr>
              <w:spacing w:after="0"/>
              <w:rPr>
                <w:sz w:val="1"/>
                <w:szCs w:val="1"/>
                <w:color w:val="auto"/>
              </w:rPr>
            </w:pPr>
          </w:p>
        </w:tc>
      </w:tr>
      <w:tr>
        <w:trPr>
          <w:trHeight w:val="223"/>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Noninterest-earning assets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169,222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177,882</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4,337,831</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4,188,444</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NOW, savings and money market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2,314,562</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31,401</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2,253,704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35,649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Time deposits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440,297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8,488</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3.89%</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383,816</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7,643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198"/>
        </w:trPr>
        <w:tc>
          <w:tcPr>
            <w:tcW w:w="32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Notes payable &amp; other longer-term</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borrowings</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8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Subordinated debt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64,008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1,670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63,822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198"/>
        </w:trPr>
        <w:tc>
          <w:tcPr>
            <w:tcW w:w="32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Junior subordinated deferrable interest</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debentures</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46,393</w:t>
            </w:r>
          </w:p>
        </w:tc>
        <w:tc>
          <w:tcPr>
            <w:tcW w:w="18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1,468</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6.38%</w:t>
            </w:r>
          </w:p>
        </w:tc>
        <w:tc>
          <w:tcPr>
            <w:tcW w:w="18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46,393</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7.44%</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2,865,271</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43,027</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2,747,738</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46,679</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Noninterest-bearing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962,557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959,219</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64,875</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70,856</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tcBorders>
              <w:top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noninterest-bearing liabilities</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1,027,432</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1,030,075</w:t>
            </w: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445,128</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410,631</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280" w:type="dxa"/>
            <w:vAlign w:val="bottom"/>
            <w:tcBorders>
              <w:top w:val="single" w:sz="8" w:color="CCEEFF"/>
            </w:tcBorders>
            <w:gridSpan w:val="2"/>
          </w:tcPr>
          <w:p>
            <w:pPr>
              <w:ind w:left="500"/>
              <w:spacing w:after="0" w:line="198" w:lineRule="exact"/>
              <w:rPr>
                <w:sz w:val="20"/>
                <w:szCs w:val="20"/>
                <w:color w:val="auto"/>
              </w:rPr>
            </w:pPr>
            <w:r>
              <w:rPr>
                <w:rFonts w:ascii="Times New Roman" w:cs="Times New Roman" w:eastAsia="Times New Roman" w:hAnsi="Times New Roman"/>
                <w:sz w:val="18"/>
                <w:szCs w:val="18"/>
                <w:color w:val="auto"/>
              </w:rPr>
              <w:t>Total liabilities and shareholders’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4,337,831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4,188,444</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0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81,471</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71,702</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spread</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2.99%</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80" w:type="dxa"/>
            <w:vAlign w:val="bottom"/>
            <w:gridSpan w:val="2"/>
          </w:tcPr>
          <w:p>
            <w:pPr>
              <w:spacing w:after="0" w:line="210" w:lineRule="exact"/>
              <w:rPr>
                <w:sz w:val="20"/>
                <w:szCs w:val="20"/>
                <w:color w:val="auto"/>
              </w:rPr>
            </w:pPr>
            <w:r>
              <w:rPr>
                <w:rFonts w:ascii="Times New Roman" w:cs="Times New Roman" w:eastAsia="Times New Roman" w:hAnsi="Times New Roman"/>
                <w:sz w:val="15"/>
                <w:szCs w:val="15"/>
                <w:color w:val="auto"/>
              </w:rPr>
              <w:t>Net interest margin</w:t>
            </w:r>
            <w:r>
              <w:rPr>
                <w:rFonts w:ascii="Times New Roman" w:cs="Times New Roman" w:eastAsia="Times New Roman" w:hAnsi="Times New Roman"/>
                <w:sz w:val="24"/>
                <w:szCs w:val="24"/>
                <w:color w:val="auto"/>
                <w:vertAlign w:val="superscript"/>
              </w:rPr>
              <w:t>(3)</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3.94%</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loan balances include nonaccrual loans and loans held for sale.</w:t>
      </w:r>
    </w:p>
    <w:p>
      <w:pPr>
        <w:spacing w:after="0" w:line="27"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income and average balances for interest-earning deposits at other banks, nonmarketable securities, federal funds sold, and other miscellaneous interest-earning assets.</w:t>
      </w: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margin is calculated as the annualized net interest income, on a fully tax-equivalent basis, divided by average interest-earning assets.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Increases and decreases in interest income and interest expense result from changes in average balances (volume) of interest-earning assets and interest-bearing liabilities, as well as changes in average interest rates. The following tables set forth the effects of changing rates and volumes on our net interest income during the period shown. Information is provided with respect to (i) effects on interest income attributable to changes in volume (change in volume multiplied by prior rate) and (ii) effects on interest income attributable to changes in rate (changes in rate multiplied by prior volume). Change applicable to both volume and rate have been allocated to volume.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740" w:type="dxa"/>
            <w:vAlign w:val="bottom"/>
            <w:gridSpan w:val="9"/>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2025 over 2024</w:t>
            </w: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2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Change due to:</w:t>
            </w:r>
          </w:p>
        </w:tc>
        <w:tc>
          <w:tcPr>
            <w:tcW w:w="1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Variance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Interest-earning assets: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700" w:type="dxa"/>
            <w:vAlign w:val="bottom"/>
            <w:gridSpan w:val="6"/>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4"/>
              </w:rPr>
              <w:t>(Dollars in thousands)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3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196</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3,315</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securities – taxable</w:t>
            </w: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(337)</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securities – non-taxable</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interest-earning assets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(404)</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2,202</w:t>
            </w:r>
          </w:p>
        </w:tc>
        <w:tc>
          <w:tcPr>
            <w:tcW w:w="0" w:type="dxa"/>
            <w:vAlign w:val="bottom"/>
          </w:tcPr>
          <w:p>
            <w:pPr>
              <w:spacing w:after="0"/>
              <w:rPr>
                <w:sz w:val="1"/>
                <w:szCs w:val="1"/>
                <w:color w:val="auto"/>
              </w:rPr>
            </w:pPr>
          </w:p>
        </w:tc>
      </w:tr>
      <w:tr>
        <w:trPr>
          <w:trHeight w:val="223"/>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1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22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Interest-bearing liabilities:</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NOW, Savings, MMDAs</w:t>
            </w:r>
          </w:p>
        </w:tc>
        <w:tc>
          <w:tcPr>
            <w:tcW w:w="18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837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(2,599)</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Time deposits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18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payable &amp; other borrowings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Subordinated debt</w:t>
            </w:r>
          </w:p>
        </w:tc>
        <w:tc>
          <w:tcPr>
            <w:tcW w:w="18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Junior subordinated deferrable interest debentures</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(2,992)</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(1,688)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change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5,384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6,613</w:t>
            </w: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40" w:type="dxa"/>
            <w:vAlign w:val="bottom"/>
            <w:gridSpan w:val="9"/>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2025 over 2024</w:t>
            </w: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2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Change due to:</w:t>
            </w:r>
          </w:p>
        </w:tc>
        <w:tc>
          <w:tcPr>
            <w:tcW w:w="1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Variance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Interest-earning assets: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700" w:type="dxa"/>
            <w:vAlign w:val="bottom"/>
            <w:gridSpan w:val="6"/>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4"/>
              </w:rPr>
              <w:t>(Dollars in thousands)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3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4,952</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securities – taxable</w:t>
            </w: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(721)</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securities – non-taxable</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interest-earning assets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(1,075)</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2,586</w:t>
            </w:r>
          </w:p>
        </w:tc>
        <w:tc>
          <w:tcPr>
            <w:tcW w:w="0" w:type="dxa"/>
            <w:vAlign w:val="bottom"/>
          </w:tcPr>
          <w:p>
            <w:pPr>
              <w:spacing w:after="0"/>
              <w:rPr>
                <w:sz w:val="1"/>
                <w:szCs w:val="1"/>
                <w:color w:val="auto"/>
              </w:rPr>
            </w:pPr>
          </w:p>
        </w:tc>
      </w:tr>
      <w:tr>
        <w:trPr>
          <w:trHeight w:val="223"/>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1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22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Interest-bearing liabilities:</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NOW, Savings, MMDAs</w:t>
            </w:r>
          </w:p>
        </w:tc>
        <w:tc>
          <w:tcPr>
            <w:tcW w:w="18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963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(5,211)</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(4,248)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Time deposits</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845</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18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payable &amp; other borrowings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Subordinated debt</w:t>
            </w:r>
          </w:p>
        </w:tc>
        <w:tc>
          <w:tcPr>
            <w:tcW w:w="18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Junior subordinated deferrable interest debentures</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(5,745)</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(3,652)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change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18"/>
                <w:szCs w:val="18"/>
                <w:color w:val="auto"/>
              </w:rPr>
            </w:pP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7,750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9,769</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interest income for the three months ended June 30, 2025 was $42.5 million, compared to $35.9 million for the three months ended June 30, 2024, an increase of $6.6 million, or 18.4%, and was comprised of an increase of $4.9 million in interest income and a decrease of $1.7 million in interest expense. The growth in interest income was primarily attributable to an increase of $3.3 million in loan interest income, which was a result of growth of $12.0 million in average loans outstanding and an increase of 39 basis points in the yield on loans. The $3.3 million increase in loan interest income included a recovery of $1.7 million in interest during the second quarter of 2025, related to a full repayment of a loan that had previously been on nonaccrual. This recovery positively impacted the net interest margin by 17 basis points and the loan yield by 23 basis points during the second quarter of 2025. The $1.7 million decrease in interest expense was primarily related to a 42 basis point decrease in the interest rate paid on interest-bearing deposits over the same period in 2024, partially offset by an increase of $151.3 million in average interest-bearing deposits. Additionally, average noninterest-bearing demand deposits increased $30.2 million for the three months ended June 30, 2025 as compared to the three months ended June 30, 2024.</w:t>
      </w:r>
    </w:p>
    <w:p>
      <w:pPr>
        <w:sectPr>
          <w:pgSz w:w="11900" w:h="16838" w:orient="portrait"/>
          <w:cols w:equalWidth="0" w:num="1">
            <w:col w:w="11240"/>
          </w:cols>
          <w:pgMar w:left="320" w:top="115" w:right="33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2025, net interest margin and net interest spread were 4.07% and 3.11%, respectively, compared to 3.63% and 2.54%, respectively, for the same period in 2024, which reflects the changes in interest income and interest expense discussed above. The loan interest recovery noted above positively affected net interest margin and net interest spread by 17 basis points.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interest income for the six months ended June 30, 2025 was $81.0 million, compared to $71.3 million for the six months ended June 30, 2024, an increase of $9.8 million, or 13.7%, and was comprised of an increase of $6.1 million in interest income and a decrease of $3.7 million in interest expense. The growth in interest income was attributable to increases of $5.0 million in loan interest income and $2.6 million in interest income on other interest-earning assets, partially offset by a decrease of $1.4 million in interest income on securities. The increase in loan interest income resulted from growth of $36.0 million in average loans outstanding and an increase of 27 basis points in the yield on loans, which included the $1.7 million loan interest recovery noted above. The increase in interest income on other interest-earning assets was primarily due to an increase of $134.7 million in average other interest-bearing assets, partially offset by a decline of 50 basis points in the interest rate paid on those assets. The decrease in interest income on securities was primarily due to a decline in the interest recorded on fair value hedges on municipal securities as the indexed market rate declined during the last half of 2024. The $3.7 million decrease in interest expense was primarily related to a 37 basis point decrease in the rate paid on interest-bearing deposits over the same period in 2024, partially offset by an increase of $117.3 million in average interest-bearing deposits.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2025, net interest margin and net interest spread were 3.94% and 2.99%, respectively, compared to 3.60% and 2.52%, respectively, for the same period in 2024, which reflects the changes in interest income and interest expense discussed above. The loan interest recovery noted above positively affected net interest margin and net interest spread by 8 basis points.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Credit Losses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Credit risk is inherent in the business of making loans. We establish an allowance for credit losses (“ACL”) through charges to earnings, which are shown in the consolidated statements of comprehensive income (loss) as the provision for credit losses. Credit losses on loans are charged against the allowance when management believes the uncollectibility of a loan balance is confirmed. The provision for credit losses is determined by conducting a quarterly evaluation of the adequacy of our ACL and charging the shortfall or excess, if any, to the current quarter’s expense. This has the effect of creating variability in the amount and frequency of charges to our earnings. The provision for credit losses and the amount of allowance for each period are dependent upon many factors, including loan growth, net charge offs, changes in the composition of the loan portfolio, delinquencies, management’s assessment of the quality of the loan portfolio, the valuation of problem loans and the general economic conditions in our market areas.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a provision for credit losses of $2.5 million for the three months ended June 30, 2025, compared to $1.8 million for the three months ended June 30, 2024. The increase in provision of $700 thousand was largely attributable to an increase in specific reserves during the three months ended June 30, 2025.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a provision for credit losses for the six months ended June 30, 2025 of $2.9 million, compared to $2.6 million for the six months ended June 30, 2024. The increase in provision of $300 thousand was largely attributable to an increase in specific reserves, partially offset by a decrease in net charge-offs for the six months ended June 30, 2025, compared to the same period in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provision for credit losses is a significant factor in the Company’s operating results. For further discussion regarding the provision for credit losses and management’s assessment of the adequacy of the ACL for loans, see “Allowance for Credit Losses for Loans” and “Asset Quality” under “Financial Condition” in this Item 2,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Income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interest income remains the largest single component of total revenues, noninterest income is an important contributing component. The largest portion of our noninterest income is associated with our mortgage banking activities. Other sources of noninterest income include service charges on deposit accounts, and bank card services and interchange fees.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2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76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The following table sets forth the major components of our noninterest income for the periods indicated:</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0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40" w:type="dxa"/>
            <w:vAlign w:val="bottom"/>
            <w:gridSpan w:val="6"/>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260" w:type="dxa"/>
            <w:vAlign w:val="bottom"/>
          </w:tcPr>
          <w:p>
            <w:pPr>
              <w:spacing w:after="0"/>
              <w:rPr>
                <w:sz w:val="21"/>
                <w:szCs w:val="21"/>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38"/>
        </w:trPr>
        <w:tc>
          <w:tcPr>
            <w:tcW w:w="3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(Dollars in</w:t>
            </w:r>
          </w:p>
        </w:tc>
        <w:tc>
          <w:tcPr>
            <w:tcW w:w="220" w:type="dxa"/>
            <w:vAlign w:val="bottom"/>
          </w:tcPr>
          <w:p>
            <w:pPr>
              <w:spacing w:after="0"/>
              <w:rPr>
                <w:sz w:val="20"/>
                <w:szCs w:val="20"/>
                <w:color w:val="auto"/>
              </w:rPr>
            </w:pPr>
          </w:p>
        </w:tc>
        <w:tc>
          <w:tcPr>
            <w:tcW w:w="1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1,949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4,239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3,762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Bank card services and interchange fees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4,052</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(281)</w:t>
            </w:r>
          </w:p>
        </w:tc>
        <w:tc>
          <w:tcPr>
            <w:tcW w:w="2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7,150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7,113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 banking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3,397</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5,719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7,342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(1,623)</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 commissions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426</w:t>
            </w: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450</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884</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Fiduciary income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694</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1,432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3"/>
        </w:trPr>
        <w:tc>
          <w:tcPr>
            <w:tcW w:w="3280" w:type="dxa"/>
            <w:vAlign w:val="bottom"/>
            <w:gridSpan w:val="2"/>
          </w:tcPr>
          <w:p>
            <w:pPr>
              <w:ind w:left="180"/>
              <w:spacing w:after="0" w:line="216" w:lineRule="exact"/>
              <w:rPr>
                <w:sz w:val="20"/>
                <w:szCs w:val="20"/>
                <w:color w:val="auto"/>
              </w:rPr>
            </w:pPr>
            <w:r>
              <w:rPr>
                <w:rFonts w:ascii="Times New Roman" w:cs="Times New Roman" w:eastAsia="Times New Roman" w:hAnsi="Times New Roman"/>
                <w:sz w:val="16"/>
                <w:szCs w:val="16"/>
                <w:color w:val="auto"/>
              </w:rPr>
              <w:t>Other income and fees</w:t>
            </w:r>
            <w:r>
              <w:rPr>
                <w:rFonts w:ascii="Times New Roman" w:cs="Times New Roman" w:eastAsia="Times New Roman" w:hAnsi="Times New Roman"/>
                <w:sz w:val="25"/>
                <w:szCs w:val="25"/>
                <w:color w:val="auto"/>
                <w:vertAlign w:val="superscript"/>
              </w:rPr>
              <w:t>(1)</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2,141</w:t>
            </w:r>
          </w:p>
        </w:tc>
        <w:tc>
          <w:tcPr>
            <w:tcW w:w="1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(571)</w:t>
            </w:r>
          </w:p>
        </w:tc>
        <w:tc>
          <w:tcPr>
            <w:tcW w:w="2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3,390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3,543</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noninterest income</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12,165</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12,709</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22,790</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24,118</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income and fees includes income and fees associated with the increase in the cash surrender value of life insurance, safe deposit box rental, check printing, collections, legal settlements, wire transfer, Small Business Investment Company (“SBIC”) investments, income from sweep accounts, and other miscellaneous services.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Noninterest income for the three months ended June 30, 2025 was $12.2 million, compared to $12.7 million for the three months ended June 30, 2024, a decrease of $544 thousand, or 4.3%. Significant changes in the components of noninterest income are detailed below.</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Service charges on deposit accounts </w:t>
      </w:r>
      <w:r>
        <w:rPr>
          <w:rFonts w:ascii="Times New Roman" w:cs="Times New Roman" w:eastAsia="Times New Roman" w:hAnsi="Times New Roman"/>
          <w:sz w:val="18"/>
          <w:szCs w:val="18"/>
          <w:color w:val="auto"/>
        </w:rPr>
        <w:t>- Income from service charges on deposit accounts increased $149 thousand, or 7.6%, for the three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June 30, 2025 as compared to the same period in 2024. The increase was primarily the result of treasury management initiatives taken to drive growth throughout 2024.</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Bank card services and interchange fees </w:t>
      </w:r>
      <w:r>
        <w:rPr>
          <w:rFonts w:ascii="Times New Roman" w:cs="Times New Roman" w:eastAsia="Times New Roman" w:hAnsi="Times New Roman"/>
          <w:sz w:val="18"/>
          <w:szCs w:val="18"/>
          <w:color w:val="auto"/>
        </w:rPr>
        <w:t>- Income from bank card services and interchange fees decreased $281 thousand, or 6.9%, for the three months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June 30, 2025 as compared to the same period in 2024. The decrease was primarily the result of $315 thousand of incentives and rebates, which were recorded in second quarter of 2024, compared to being recorded in the first quarter in 2025.</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Mortgage banking activities </w:t>
      </w:r>
      <w:r>
        <w:rPr>
          <w:rFonts w:ascii="Times New Roman" w:cs="Times New Roman" w:eastAsia="Times New Roman" w:hAnsi="Times New Roman"/>
          <w:sz w:val="18"/>
          <w:szCs w:val="18"/>
          <w:color w:val="auto"/>
        </w:rPr>
        <w:t>- Income from mortgage banking activities increased $209 thousand, or 6.2%, to $3.6 million for the three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June 30, 2025 from $3.4 million for the three months ended June 30, 2024. This increase was mainly the result of a $156 thousand negative fair value adjustment to our mortgage servicing rights portfolio in the second quarter of 2025 compared to a negative fair value adjustment of $680 thousand in the second quarter of 2024. The fair value of the mortgage servicing rights portfolio is affected by movements in market interest rates, which declined less during the second quarter of 2025 as compared to the same period of 2024. This increase was partially offset by a decrease in net gain on sales of loans of $133 thousand and a decline of $10.0 million in originations of loans held for sale in the second quarter of 2025 as compared to the same period of 2024.</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Other income and fees </w:t>
      </w:r>
      <w:r>
        <w:rPr>
          <w:rFonts w:ascii="Times New Roman" w:cs="Times New Roman" w:eastAsia="Times New Roman" w:hAnsi="Times New Roman"/>
          <w:sz w:val="18"/>
          <w:szCs w:val="18"/>
          <w:color w:val="auto"/>
        </w:rPr>
        <w:t>- Other income and fees decreased $571 thousand, or 26.7%, for the three months ended June 30, 2025 as compared to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in 2024. The decrease was primarily the result of a decrease of $523 thousand in income from SBIC investments.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Noninterest income for the six months ended June 30, 2025 was $22.8 million, compared to $24.1 million for the six months ended June 30, 2024, a decrease of $1.3 million, or 5.5%. Significant changes in the components of noninterest income are detailed below.</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Service charges on deposit accounts </w:t>
      </w:r>
      <w:r>
        <w:rPr>
          <w:rFonts w:ascii="Times New Roman" w:cs="Times New Roman" w:eastAsia="Times New Roman" w:hAnsi="Times New Roman"/>
          <w:sz w:val="18"/>
          <w:szCs w:val="18"/>
          <w:color w:val="auto"/>
        </w:rPr>
        <w:t>- Income from service charges on deposit accounts increased $477 thousand, or 12.7%, for the six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June 30, 2025 as compared to the same period in 2024. The increase was primarily the result of treasury management initiatives taken to drive growth throughout 2024.</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Mortgage banking activities </w:t>
      </w:r>
      <w:r>
        <w:rPr>
          <w:rFonts w:ascii="Times New Roman" w:cs="Times New Roman" w:eastAsia="Times New Roman" w:hAnsi="Times New Roman"/>
          <w:sz w:val="18"/>
          <w:szCs w:val="18"/>
          <w:color w:val="auto"/>
        </w:rPr>
        <w:t>- Income from mortgage banking activities decreased $1.6 million, or 22.1%, to $5.7 million for the six months ended June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30, 2025 from $7.3 million for the six months ended June 30, 2024. This decrease was mainly the result of a decline of $1.1 million in the fair value adjustment of the mortgage servicing rights assets as interest rates that affect the fair value rose during the first half of 2024 compared to interest rates falling in the first half of 2025. Additionally, mortgage loan originations declined $14.4 million, or 9.5%, in the current year period as compared to the prior year period.</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Other income and fees </w:t>
      </w:r>
      <w:r>
        <w:rPr>
          <w:rFonts w:ascii="Times New Roman" w:cs="Times New Roman" w:eastAsia="Times New Roman" w:hAnsi="Times New Roman"/>
          <w:sz w:val="18"/>
          <w:szCs w:val="18"/>
          <w:color w:val="auto"/>
        </w:rPr>
        <w:t>- Other income and fees decreased $153 thousand, or 4.3%, for the six months ended June 30, 2025 as compared to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in 2024. The decrease was primarily the result of a decrease of $463 thousand in income from SBIC investments, partially offset by increases in income from sweep accounts and gains on sales of fixed assets.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major components of our noninterest expense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40" w:type="dxa"/>
            <w:vAlign w:val="bottom"/>
            <w:gridSpan w:val="6"/>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240" w:type="dxa"/>
            <w:vAlign w:val="bottom"/>
          </w:tcPr>
          <w:p>
            <w:pPr>
              <w:spacing w:after="0"/>
              <w:rPr>
                <w:sz w:val="21"/>
                <w:szCs w:val="21"/>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38"/>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(Dollars in</w:t>
            </w:r>
          </w:p>
        </w:tc>
        <w:tc>
          <w:tcPr>
            <w:tcW w:w="220" w:type="dxa"/>
            <w:vAlign w:val="bottom"/>
          </w:tcPr>
          <w:p>
            <w:pPr>
              <w:spacing w:after="0"/>
              <w:rPr>
                <w:sz w:val="20"/>
                <w:szCs w:val="20"/>
                <w:color w:val="auto"/>
              </w:rPr>
            </w:pPr>
          </w:p>
        </w:tc>
        <w:tc>
          <w:tcPr>
            <w:tcW w:w="1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2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19,708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19,199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509</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39,149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38,187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962</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Occupancy expense,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4,029</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7,999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7,949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Professional services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1,738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3,604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3,221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Marketing and development</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919</w:t>
            </w: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860</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 and data services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1,086</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2,345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Bankcard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1,516</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3,033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2,913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Appraisal expenses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236</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229</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328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Other expenses</w:t>
            </w:r>
            <w:r>
              <w:rPr>
                <w:rFonts w:ascii="Times New Roman" w:cs="Times New Roman" w:eastAsia="Times New Roman" w:hAnsi="Times New Roman"/>
                <w:sz w:val="25"/>
                <w:szCs w:val="25"/>
                <w:color w:val="auto"/>
                <w:vertAlign w:val="superscript"/>
              </w:rPr>
              <w:t>(1)</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3,915</w:t>
            </w: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w:t>
            </w:r>
          </w:p>
        </w:tc>
        <w:tc>
          <w:tcPr>
            <w:tcW w:w="2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8,191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8,086</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56"/>
        </w:trPr>
        <w:tc>
          <w:tcPr>
            <w:tcW w:w="3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33,543</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32,572</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66,573</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64,502</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Other expenses include items such as banking regulatory assessments, telephone expenses, postage, courier fees, directors’ fees, and insurance.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Noninterest expense for the three months ended June 30, 2025 was $33.5 million compared to $32.6 million for the three months ended June 30, 2024, an increase of $1.0 million, or 3.0%. Significant changes in the components of noninterest expense are detailed below.</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Salaries and employee benefits </w:t>
      </w:r>
      <w:r>
        <w:rPr>
          <w:rFonts w:ascii="Times New Roman" w:cs="Times New Roman" w:eastAsia="Times New Roman" w:hAnsi="Times New Roman"/>
          <w:sz w:val="18"/>
          <w:szCs w:val="18"/>
          <w:color w:val="auto"/>
        </w:rPr>
        <w:t>- Salaries and employee benefits increased $509 thousand, or 2.7%, from $19.2 million for the three months ended June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30, 2024 to $19.7 million for the three months ended June 30, 2025. This increase was primarily driven by annual salary adjustments, which became effective in January of 2025.</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Professional services </w:t>
      </w:r>
      <w:r>
        <w:rPr>
          <w:rFonts w:ascii="Times New Roman" w:cs="Times New Roman" w:eastAsia="Times New Roman" w:hAnsi="Times New Roman"/>
          <w:sz w:val="18"/>
          <w:szCs w:val="18"/>
          <w:color w:val="auto"/>
        </w:rPr>
        <w:t>- Professional services increased $136 thousand, or 7.8% from $1.7 million for the three months ended June 30, 2024 to $1.9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three months ended June 30, 2025. This increase was primarily driven by consulting services related to the Company’s lending platform during the second quarter of 2025.</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Other expenses - </w:t>
      </w:r>
      <w:r>
        <w:rPr>
          <w:rFonts w:ascii="Times New Roman" w:cs="Times New Roman" w:eastAsia="Times New Roman" w:hAnsi="Times New Roman"/>
          <w:sz w:val="18"/>
          <w:szCs w:val="18"/>
          <w:color w:val="auto"/>
        </w:rPr>
        <w:t>Other expenses increased $159 thousand, or 4.1%, from $3.9 million for the three months ended June 30, 2024 to $4.1 million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three months ended June 30, 2025. This was primarily the result of an increase of $110 thousand in the ineffective portion of fair value hedges.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Noninterest expense for the six months ended June 30, 2025 was $66.6 million, compared to $64.5 million for the six months ended June 30, 2024, an increase of $2.1 million, or 3.2%. Significant changes in the components of noninterest expense are detailed below.</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Salaries and employee benefits </w:t>
      </w:r>
      <w:r>
        <w:rPr>
          <w:rFonts w:ascii="Times New Roman" w:cs="Times New Roman" w:eastAsia="Times New Roman" w:hAnsi="Times New Roman"/>
          <w:sz w:val="18"/>
          <w:szCs w:val="18"/>
          <w:color w:val="auto"/>
        </w:rPr>
        <w:t>- Salaries and employee benefits increased $1.0 million, or 2.5%, from $38.2 million for the six months ended June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to $39.1 million for the six months ended June 30, 2025. This increase was primarily driven by annual salary adjustments, which became effective in January of 2025.</w:t>
      </w:r>
    </w:p>
    <w:p>
      <w:pPr>
        <w:spacing w:after="0" w:line="17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Professional services </w:t>
      </w:r>
      <w:r>
        <w:rPr>
          <w:rFonts w:ascii="Times New Roman" w:cs="Times New Roman" w:eastAsia="Times New Roman" w:hAnsi="Times New Roman"/>
          <w:sz w:val="18"/>
          <w:szCs w:val="18"/>
          <w:color w:val="auto"/>
        </w:rPr>
        <w:t>- Professional services increased $383 thousand, or 11.9% from $3.2 million for the six months ended June 30, 2024 to $3.6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six months ended June 30, 2025. This increase was primarily driven by consulting services related to the Company’s lending platform during the first two quarters of 2025.</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 and data services - </w:t>
      </w:r>
      <w:r>
        <w:rPr>
          <w:rFonts w:ascii="Times New Roman" w:cs="Times New Roman" w:eastAsia="Times New Roman" w:hAnsi="Times New Roman"/>
          <w:sz w:val="18"/>
          <w:szCs w:val="18"/>
          <w:color w:val="auto"/>
        </w:rPr>
        <w:t>IT and data services increased $269 thousand, or 13.0%, from $2.1 million for six months ended June 30, 2024 to $2.3 million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six months ended June 30, 2025. The increase is primarily a result of the continued rising cost of technology services.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total assets increased $131.4 million, or 3.1%, to $4.36 billion at June 30, 2025, compared to $4.23 billion at December 31, 2024. Our gross loans held for investment increased $43.9 million, or 1.4%, to $3.10 billion at June 30, 2025, compared to $3.06 billion at December 31, 2024. Our securities portfolio decreased $7.2 million, or 1.3%, to $570.0 million at June 30, 2025, compared to $577.2 million at December 31, 2024. Total deposits increased $118.1 million, or 3.3%, to $3.74 billion at June 30, 2025, compared to $3.62 billion at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Portfolio</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loans represent the largest portion of earning assets, greater than our securities portfolio or any other asset category, and the quality and diversification of the loan portfolio is an important consideration when reviewing the Company’s financial condition. We originate substantially all of the loans in our portfolio, except certain loan participations that are independently underwritten by the Company prior to purchase.</w:t>
      </w:r>
    </w:p>
    <w:p>
      <w:pPr>
        <w:sectPr>
          <w:pgSz w:w="11900" w:h="16838" w:orient="portrait"/>
          <w:cols w:equalWidth="0" w:num="1">
            <w:col w:w="11240"/>
          </w:cols>
          <w:pgMar w:left="320" w:top="116" w:right="33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Loans held for investment increased $43.9 million, or 1.4%, to $3.10 billion at June 30, 2025, compared to $3.06 billion at December 31, 2024. The growth in loans remained relationship-focused and occurred broadly across the portfolio, partially offset by decrease in multi-family property loans and hospitality loans.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contractual maturities of our loans held for investment portfolio at June 30,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Due after One</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Due after Five</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Due in</w:t>
            </w:r>
          </w:p>
        </w:tc>
        <w:tc>
          <w:tcPr>
            <w:tcW w:w="22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6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3"/>
              </w:rPr>
              <w:t>Years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One Year or</w:t>
            </w: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Through Five</w:t>
            </w: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Through</w:t>
            </w:r>
          </w:p>
        </w:tc>
        <w:tc>
          <w:tcPr>
            <w:tcW w:w="14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Due after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6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Less</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240" w:type="dxa"/>
            <w:vAlign w:val="bottom"/>
          </w:tcPr>
          <w:p>
            <w:pPr>
              <w:spacing w:after="0"/>
              <w:rPr>
                <w:sz w:val="21"/>
                <w:szCs w:val="21"/>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Fifteen Years</w:t>
            </w:r>
          </w:p>
        </w:tc>
        <w:tc>
          <w:tcPr>
            <w:tcW w:w="220" w:type="dxa"/>
            <w:vAlign w:val="bottom"/>
          </w:tcPr>
          <w:p>
            <w:pPr>
              <w:spacing w:after="0"/>
              <w:rPr>
                <w:sz w:val="21"/>
                <w:szCs w:val="21"/>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Fifteen Years</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00" w:type="dxa"/>
            <w:vAlign w:val="bottom"/>
            <w:gridSpan w:val="5"/>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2"/>
              </w:rPr>
              <w:t>(Dollars in thousands)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188,027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549,433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282,957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64,892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1,085,309</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160,823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103,011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73,671</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41,563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379,068</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125,179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224,614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182,437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88,704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620,934</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 family residential</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34,300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119,752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104,672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331,211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589,935</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Auto loans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171,227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84,028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258,193</w:t>
            </w: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consumer</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39,058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16,611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63,589</w:t>
            </w: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82,250</w:t>
            </w:r>
          </w:p>
        </w:tc>
        <w:tc>
          <w:tcPr>
            <w:tcW w:w="220" w:type="dxa"/>
            <w:vAlign w:val="bottom"/>
          </w:tcPr>
          <w:p>
            <w:pPr>
              <w:spacing w:after="0"/>
              <w:rPr>
                <w:sz w:val="19"/>
                <w:szCs w:val="19"/>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16,572</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424</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2,704</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101,950</w:t>
            </w:r>
          </w:p>
        </w:tc>
      </w:tr>
      <w:tr>
        <w:trPr>
          <w:trHeight w:val="257"/>
        </w:trPr>
        <w:tc>
          <w:tcPr>
            <w:tcW w:w="4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loans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601,437</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1,223,667</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744,800</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529,074</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3,098,978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distribution between fixed and adjustable interest rate loans for maturities greater than one year as of June 30, 2025:</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Fixed</w:t>
            </w:r>
          </w:p>
        </w:tc>
        <w:tc>
          <w:tcPr>
            <w:tcW w:w="12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Adjustable</w:t>
            </w:r>
          </w:p>
        </w:tc>
      </w:tr>
      <w:tr>
        <w:trPr>
          <w:trHeight w:val="245"/>
        </w:trPr>
        <w:tc>
          <w:tcPr>
            <w:tcW w:w="86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Rate</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369,319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527,963</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77,091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141,154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206,671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289,084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 family residential</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341,558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214,077</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Auto loans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255,255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consumer</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55,669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19,183</w:t>
            </w:r>
          </w:p>
        </w:tc>
      </w:tr>
      <w:tr>
        <w:trPr>
          <w:trHeight w:val="256"/>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loans</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1,306,080</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1,191,461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At June 30, 2025, there was $1.58 billion in adjustable rate loans, with $897.9 million of these loans that mature or reprice in the next twelve months. Of these loans that mature or reprice in the next twelve months, $573.0 million will reprice immediately upon changes in the underlying index rate, with the remaining $324.9 million being subject to rate floors above the current index or a future repricing date. The </w:t>
      </w:r>
      <w:r>
        <w:rPr>
          <w:rFonts w:ascii="Times New Roman" w:cs="Times New Roman" w:eastAsia="Times New Roman" w:hAnsi="Times New Roman"/>
          <w:sz w:val="18"/>
          <w:szCs w:val="18"/>
          <w:i w:val="1"/>
          <w:iCs w:val="1"/>
          <w:color w:val="auto"/>
        </w:rPr>
        <w:t>Wall Street Journal</w:t>
      </w:r>
      <w:r>
        <w:rPr>
          <w:rFonts w:ascii="Times New Roman" w:cs="Times New Roman" w:eastAsia="Times New Roman" w:hAnsi="Times New Roman"/>
          <w:sz w:val="18"/>
          <w:szCs w:val="18"/>
          <w:color w:val="auto"/>
        </w:rPr>
        <w:t xml:space="preserve"> prime rate is the predominate index used by the Bank. Further as of June 30, 2025, there is $207.3 million of fixed rate loans that mature in the next twelve months.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Bank is primarily involved in real estate, commercial, agricultural and consumer lending activities with customers throughout Texas and Eastern New Mexico. We have a collateral concentration, as 73.5% of our loans were secured by real property as of June 30, 2025, compared to 73.7% as of December 31, 2024. We believe that these loans are not concentrated in any one single property type and that they are geographically dispersed throughout the areas we serve. Although the Bank has diversified portfolios, its debtors’ ability to honor their contracts is substantially dependent upon the general economic conditions of the markets in which it operates, which consist primarily of agribusiness, wholesale/retail, oil and gas and related businesses, healthcare industries and institutions of higher education. Commercial real estate loans and residential construction loans represent 38.3% of loans held for investment as of June 30, 2025 and represented 40.1% of loans held for investment as of December 31, 2024. Further, 96% of the total dollar amount of these loans are secured by collateral located in the state of Texas.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established concentration limits in the loan portfolio for commercial real estate loans and unsecured lending, among other loan types. All loan types are within established limits. We use underwriting guidelines to assess the borrowers’ historical cash flow to determine debt service, and we further stress test the debt service under higher interest rate scenarios. Financial and performance covenants are used in commercial lending to allow us to react to a borrower’s deteriorating financial condition, should that occur.</w:t>
      </w:r>
    </w:p>
    <w:p>
      <w:pPr>
        <w:spacing w:after="0" w:line="1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Commercial Real Estate</w:t>
      </w:r>
      <w:r>
        <w:rPr>
          <w:rFonts w:ascii="Times New Roman" w:cs="Times New Roman" w:eastAsia="Times New Roman" w:hAnsi="Times New Roman"/>
          <w:sz w:val="18"/>
          <w:szCs w:val="18"/>
          <w:color w:val="auto"/>
        </w:rPr>
        <w:t>. Our commercial real estate portfolio includes loans for commercial property that is owned by real estate investors, construction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loans to build owner-occupied properties, and loans to developers of commercial real estate investment properties and residential developments. Residential construction loans are broken out separately below. Commercial real estate loans are subject to underwriting standards and processes similar to our commercial loans. These loans are 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our real estate portfolio are diversified by type and geographic location. This diversity helps reduce the exposure to adverse economic events that affect any single market or industry.</w:t>
      </w:r>
    </w:p>
    <w:p>
      <w:pPr>
        <w:sectPr>
          <w:pgSz w:w="11900" w:h="16838" w:orient="portrait"/>
          <w:cols w:equalWidth="0" w:num="1">
            <w:col w:w="11240"/>
          </w:cols>
          <w:pgMar w:left="320" w:top="116" w:right="339" w:bottom="1440"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Commercial real estate loans decreased $33.8 million, or 3.0%, to $1.09 billion as of June 30, 2025 from $1.12 billion as of December 31, 2024. The decrease was primarily driven by decreases of $58.9 million in multi-family loans and $22.6 million in hospitality loans, partially offset by increases in residential and commercial land development loans and other commercial loans.</w:t>
      </w:r>
    </w:p>
    <w:p>
      <w:pPr>
        <w:spacing w:after="0" w:line="1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Commercial – General and Specialized</w:t>
      </w:r>
      <w:r>
        <w:rPr>
          <w:rFonts w:ascii="Times New Roman" w:cs="Times New Roman" w:eastAsia="Times New Roman" w:hAnsi="Times New Roman"/>
          <w:sz w:val="18"/>
          <w:szCs w:val="18"/>
          <w:color w:val="auto"/>
        </w:rPr>
        <w:t>. Commercial loans are underwritten after evaluating and understanding the borrower’s ability to operate profitably.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Underwriting standards have been designed to determine whether the borrower possesses sound business ethics and practices, to evaluate current and projected cash flows to determine the ability of the borrower to repay their obligations as agreed, and to ensure appropriate collateral is obtained to secure the loan. Commercial loans are primarily made based on the identified cash flows of the borrower and, secondarily, on the underlying collateral provided by the borrower. Most commercial loans are secured by the assets being financed or other business assets, such as real estate, accounts receivable, or inventory, and typically include personal guarantees. Owner-occupied real estate is included in commercial loans, as the repayment of these loans is generally dependent on the operations of the commercial borrower’s business rather than on income-producing properties or the sale of the properties. Commercial loans are grouped into two distinct sub-categories: specialized and general. Commercial related loans that are considered “specialized” include agricultural production and real estate loans, energy loans, and finance, investment, and insurance loans. Commercial related loans that contain a broader diversity of borrowers, sub-industries, or serviced industries are grouped into the “general category.” These include goods, services, restaurant &amp; retail, construction, and other industries. Performance of these loans is subject to operating and cash flow results of the borrower, with risk in the volatility of operating results for particular industries.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Commercial specialized loans decreased $9.9 million, or 2.5%, to $379.1 million as of June 30, 2025 from $389.0 million as of December 31, 2024. This decrease was primarily due to net repayments of $18.7 million in seasonal agricultural-related loans, partially offset by an increase in energy sector loans. Operating agriculture loans were slower to fund up in the second quarter of 2025 as compared to the second quarter of 2024.</w:t>
      </w:r>
    </w:p>
    <w:p>
      <w:pPr>
        <w:spacing w:after="0" w:line="17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Commercial general loans increased $63.6 million, or 11.4%, to $620.9 million as of June 30, 2025 from $557.4 million as of December 31, 2024. The increase was primarily due to increases broadly across this segment.</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Consumer</w:t>
      </w:r>
      <w:r>
        <w:rPr>
          <w:rFonts w:ascii="Times New Roman" w:cs="Times New Roman" w:eastAsia="Times New Roman" w:hAnsi="Times New Roman"/>
          <w:sz w:val="18"/>
          <w:szCs w:val="18"/>
          <w:color w:val="auto"/>
        </w:rPr>
        <w:t>. We utilize a computer-based credit scoring analysis to supplement our policies and procedures in underwriting consumer loans. Our loan policy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addresses types of consumer loans that may be originated and the collateral, if secured, which must be perfected. The relatively smaller individual dollar amounts of consumer loans that are spread over numerous individual borrowers also minimize our risk. Residential real estate loans are included in consumer loans. We generally require mortgage title insurance and hazard insurance on these residential real estate loans. All consumer loans are generally dependent on the risk characteristics of the borrower’s ability to repay the loan, a consideration of the debt to income ratio, employment and income stability, the loan-to-value ratio, and the age, condition and marketability of the collateral.</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Consumer and other loans increased $25.9 million, or 2.9%, to $911.7 million as of June 30, 2025, from $885.8 million as of December 31, 2024. The growth in these loans was a result of increases of $3.7 million in consumer auto loans and $23.5 million in residential mortgage loans, partially offset by a decrease of $1.3 million in other consumer loans. As of June 30, 2025, our consumer loan portfolio was comprised of $589.9 million in 1-4 family residential loans, $258.2 million in auto loans, and $63.6 million in other consumer loans. The consumer auto loan portfolio experienced growth in the first quarter of 2025 before beginning to decline in the second quarter of 2025 as new loan originations have slowed due to economic pressures and uncertainties.</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Construction</w:t>
      </w:r>
      <w:r>
        <w:rPr>
          <w:rFonts w:ascii="Times New Roman" w:cs="Times New Roman" w:eastAsia="Times New Roman" w:hAnsi="Times New Roman"/>
          <w:sz w:val="18"/>
          <w:szCs w:val="18"/>
          <w:color w:val="auto"/>
        </w:rPr>
        <w:t>. Loans for residential construction are for single-family properties to developers, builders, or end-users. These loans are underwritten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estimates of costs and completed value of the project. Funds are advanced based on estimated percentage of completion for the project. Performance of these loans is affected by economic conditions as well as the ability to control costs of the projects.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Construction loans decreased $1.9 million, or 1.8%, to $102.0 million as of June 30, 2025 from $103.9 million as of December 31, 2024.</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commercial real estate and construction categories comprise the Company’s nonowner-occupied real estate loans. Total nonowner-occupied real estate loans were $1.19 billion at June 30, 2025 and $1.22 billion at December 31, 2024. Nonowner-occupied commercial real estate loans are made up of income-producing commercial real estate property loans and construction, acquisition, and development property loans. As of June 30, 2025, total income-producing commercial real estate property loans totaled $830.9 million and was comprised of $257.0 million of multi-family property loans, $182.6 million of retail property loans, $138.4 million of office property loans, $38.4 million in hospitality loans, and $214.4 million in other property loans. Other property loans include types such as industrial, warehouse, mini-storage, and convenience stores. As of June 30, 2025, total construction, acquisition, and development property loans totaled $356.4 million and was comprised of $101.9 million in residential construction property loans and $254.5 million of commercial construction and other land development loans. The weighted average loan-to-value of income-producing nonowner-occupied commercial real estate loans was approximately 55% at June 30, 2025. The weighted average loan-to-value of nonowner-occupied office commercial real estate loans was approximately 58% at June 30, 2025.</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Owner-occupied commercial real estate loans totaled $413.3 million at June 30, 2025 and $366.8 million at December 31, 2024.</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party to financial instruments with off-balance sheet risk in the normal course of business to meet the financing needs of our customers. These financial instruments include commitments to extend credit and standby letters of credit. Those instruments involve, to varying degrees, elements of credit and interest rate risk in excess of the amount recognized in the consolidated balance sheets. The Company’s exposure to credit loss in the event of nonperformance by the other party to the financial instrument for commitments to extend credit and standby letters of credit to our customers is represented by the contractual or notional amount of those instruments. Commitments to extend credit and standby letters of credit are not recorded as an asset or liability by the Company until the instrument is exercised. The contractual or notional amounts of those instruments reflect the extent of involvement we have in particular classes of financial instruments.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are expected to expire without being drawn upon, the total commitment amounts do not necessarily represent future cash requirements. The Company uses the same credit policies in making commitments and conditional obligations as they do for on-balance sheet instruments. The amount and nature of collateral obtained, if deemed necessary by the Company upon extension of credit, is based on management’s credit evaluation of the potential borrower.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Standby letters of credit are conditional commitments issued by the Company to guarantee the performance of a customer to a third party. Those guarantees are primarily issued to support public and private short-term borrowing arrangements. The credit risk involved in issuing letters of credit is essentially the same as that involved in extending loan facilities to customers. The Company holds collateral supporting those commitments for which collateral is deemed necessary.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commitments we have made as of the dates presented.</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to grant loans and unfunded commitments under lines of credit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557,466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537,688</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Standby letters of credit</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12,531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18,696</w:t>
            </w:r>
          </w:p>
        </w:tc>
      </w:tr>
      <w:tr>
        <w:trPr>
          <w:trHeight w:val="257"/>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569,997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556,384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 for Loans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ACL for loans is established for future expected credit losses through a provision for credit losses charged to earnings. Management evaluates the appropriate level of the ACL on a quarterly basis. The analysis takes into consideration the results of an ongoing loan review process, the purpose of which is to determine the level of credit risk within the portfolio and to ensure proper adherence to underwriting and documentation standards. Additional allowances are provided to those loans which appear to represent a greater than normal exposure to risk. The quality of the loan portfolio and the adequacy of the ACL is assessed by regulatory examinations and the Company’s internal and external loan reviews. The ACL consists of two elements: (1) specific valuation allowances established for expected losses on specifically analyzed loans and (2) collective valuation allowances calculated using comparable and quantifiable information from both internal and external sources about past events, including historical experience, current conditions, and reasonable and supportable forecasts that affect the collectability of the reported amount. Expected credit losses are estimated over the contractual term of the loans and adjusted for expected prepayments.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2" w:name="page43"/>
    <w:bookmarkEnd w:id="42"/>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To determine the adequacy of the ACL on loans, the Company applied a dual credit risk rating (“DCRR”) methodology that estimates each loan’s probability of default and loss given default to calculate the expected credit loss to non-analyzed loans. The DCRR process quantifies the expected credit loss at the loan level for the entire loan portfolio. Loan grades are assigned by a customized scorecard that risk rates each loan based on multiple probability of default and loss given default elements to measure the risk of the loan portfolio. The ACL estimate incorporates the Company’s DCRR loan level risk rating methodology and the expected default rate frequency term structure to derive loan level life of loan estimates of credit losses for every loan in the portfolio. The estimated credit loss for each loan is adjusted based on one-year through the cycle estimate of expected credit loss to a life of loan measurement that reflects current conditions and forecasts. The life of loan expected loss is determined using the contractual weighted average life of the loan adjusted for prepayments. Prepayment speeds are determined by grouping the loans into pools based on segments and risk rating. After the life of loan expected losses are determined, they are adjusted to reflect the Company’s reasonable and supportable economic forecast over a selected range of a one to two years. The Company has developed regression models to project net charge-off rates based on macroeconomic variables (“MEVs”), typically a one-year period is used. MEV’s considered in the analysis consist of data gathered from the St. Louis Federal Reserve Research Database (“FRED”), such as, federal funds rate, 10-year treasury rates, 30-year mortgage rates, crude oil prices, consumer price index, housing price index, unemployment rates, housing starts, gross domestic product, and disposable personal income. These regression models are applied to the Company’s economic forecast to determine the corresponding net charge-off rates. The projected net charge-off rates for the given economic scenario are used to adjust the through the cycle expected losses. Qualitative adjustments are also made to ACL results for additional risk factors that are relevant in assessing the expected credit losses within our loan segments. These qualitative factor (“Q-Factor”) adjustments may increase or decrease management’s estimate of the ACL by a calculated percentage based upon the estimated level of perceived risk within a particular segment. Q-Factor risk decisions consider concentrations of the loan portfolio, expected changes to the economic forecasts, large relationships, and other factors related to credit administration, such as borrower’s risk rating and the potential effect of delayed credit score migrations. Management quantifiably identifies segment percentage Q-Factor adjustments using a scorecard risk rating system scaled to historical loss experience within a segment and management’s perceived risk for that particular segment. In addition to the loan level evaluations, nonaccrual loans with a balance of $250 thousand or more are individually analyzed based on facts and circumstances of the loan to determine if a specific allowance amount may be necessary. Specific allowances may also be established for loans whose outstanding balances are below the above threshold when it is determined that the risk associated with the loan differs significantly from the risk factor amounts established for its loan category.</w:t>
      </w: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ACL for loans was $45.0 million at June 30, 2025, compared to $43.2 million at December 31, 2024, an increase of $1.8 million, or 4.1%. The increase is primarily a result of a provision for credit losses on loans of $2.8 million being recorded during the six months ended June 30, 2025 largely attributable to growth of $43.9 million in loans held for investment and an increase in specific reserves, partially offset by net charge-offs of $1.0 million during the period. The Company continues to closely monitor credit quality in light of the ongoing economic uncertainty caused by, among other factors, the prolonged elevated interest rate environment, stronger than expected employment data in recent periods, continued uncertainty regarding U.S. trade and tariff policy and the lingering inflationary pressures, and the risk of the resurgence of elevated levels of inflation, in the United States and our market areas. Accordingly, additional provisions for credit losses may be necessary in future periods.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an analysis of the ACL for loans and other data during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0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8"/>
                <w:szCs w:val="18"/>
                <w:color w:val="auto"/>
              </w:rPr>
            </w:pPr>
          </w:p>
        </w:tc>
        <w:tc>
          <w:tcPr>
            <w:tcW w:w="246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5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Average loans outstanding during the periods</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7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real estate</w:t>
            </w:r>
          </w:p>
        </w:tc>
        <w:tc>
          <w:tcPr>
            <w:tcW w:w="3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1,096,884</w:t>
            </w:r>
          </w:p>
        </w:tc>
        <w:tc>
          <w:tcPr>
            <w:tcW w:w="3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1,114,782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1,112,634</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1,102,062</w:t>
            </w:r>
          </w:p>
        </w:tc>
        <w:tc>
          <w:tcPr>
            <w:tcW w:w="0" w:type="dxa"/>
            <w:vAlign w:val="bottom"/>
          </w:tcPr>
          <w:p>
            <w:pPr>
              <w:spacing w:after="0"/>
              <w:rPr>
                <w:sz w:val="1"/>
                <w:szCs w:val="1"/>
                <w:color w:val="auto"/>
              </w:rPr>
            </w:pPr>
          </w:p>
        </w:tc>
      </w:tr>
      <w:tr>
        <w:trPr>
          <w:trHeight w:val="216"/>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 specialized</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378,668</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398,661</w:t>
            </w:r>
          </w:p>
        </w:tc>
        <w:tc>
          <w:tcPr>
            <w:tcW w:w="2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379,246</w:t>
            </w:r>
          </w:p>
        </w:tc>
        <w:tc>
          <w:tcPr>
            <w:tcW w:w="2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379,510</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 general</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598,036</w:t>
            </w:r>
          </w:p>
        </w:tc>
        <w:tc>
          <w:tcPr>
            <w:tcW w:w="3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529,762</w:t>
            </w: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580,014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524,826</w:t>
            </w:r>
          </w:p>
        </w:tc>
        <w:tc>
          <w:tcPr>
            <w:tcW w:w="0" w:type="dxa"/>
            <w:vAlign w:val="bottom"/>
          </w:tcPr>
          <w:p>
            <w:pPr>
              <w:spacing w:after="0"/>
              <w:rPr>
                <w:sz w:val="1"/>
                <w:szCs w:val="1"/>
                <w:color w:val="auto"/>
              </w:rPr>
            </w:pPr>
          </w:p>
        </w:tc>
      </w:tr>
      <w:tr>
        <w:trPr>
          <w:trHeight w:val="216"/>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 family residential</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583,520</w:t>
            </w:r>
          </w:p>
        </w:tc>
        <w:tc>
          <w:tcPr>
            <w:tcW w:w="3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568,792</w:t>
            </w: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574,743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553,526</w:t>
            </w:r>
          </w:p>
        </w:tc>
        <w:tc>
          <w:tcPr>
            <w:tcW w:w="0" w:type="dxa"/>
            <w:vAlign w:val="bottom"/>
          </w:tcPr>
          <w:p>
            <w:pPr>
              <w:spacing w:after="0"/>
              <w:rPr>
                <w:sz w:val="1"/>
                <w:szCs w:val="1"/>
                <w:color w:val="auto"/>
              </w:rPr>
            </w:pPr>
          </w:p>
        </w:tc>
      </w:tr>
      <w:tr>
        <w:trPr>
          <w:trHeight w:val="216"/>
        </w:trPr>
        <w:tc>
          <w:tcPr>
            <w:tcW w:w="5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Auto loans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261,078</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282,908</w:t>
            </w:r>
          </w:p>
        </w:tc>
        <w:tc>
          <w:tcPr>
            <w:tcW w:w="2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260,010</w:t>
            </w:r>
          </w:p>
        </w:tc>
        <w:tc>
          <w:tcPr>
            <w:tcW w:w="2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290,729</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consumer</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64,236</w:t>
            </w:r>
          </w:p>
        </w:tc>
        <w:tc>
          <w:tcPr>
            <w:tcW w:w="3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70,553</w:t>
            </w: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64,278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71,812</w:t>
            </w:r>
          </w:p>
        </w:tc>
        <w:tc>
          <w:tcPr>
            <w:tcW w:w="0" w:type="dxa"/>
            <w:vAlign w:val="bottom"/>
          </w:tcPr>
          <w:p>
            <w:pPr>
              <w:spacing w:after="0"/>
              <w:rPr>
                <w:sz w:val="1"/>
                <w:szCs w:val="1"/>
                <w:color w:val="auto"/>
              </w:rPr>
            </w:pPr>
          </w:p>
        </w:tc>
      </w:tr>
      <w:tr>
        <w:trPr>
          <w:trHeight w:val="216"/>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Construction</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100,254</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102,844</w:t>
            </w:r>
          </w:p>
        </w:tc>
        <w:tc>
          <w:tcPr>
            <w:tcW w:w="2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101,288</w:t>
            </w:r>
          </w:p>
        </w:tc>
        <w:tc>
          <w:tcPr>
            <w:tcW w:w="2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112,384</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11,882</w:t>
            </w:r>
          </w:p>
        </w:tc>
        <w:tc>
          <w:tcPr>
            <w:tcW w:w="3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12,350</w:t>
            </w:r>
          </w:p>
        </w:tc>
        <w:tc>
          <w:tcPr>
            <w:tcW w:w="3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13,720</w:t>
            </w:r>
          </w:p>
        </w:tc>
        <w:tc>
          <w:tcPr>
            <w:tcW w:w="0" w:type="dxa"/>
            <w:vAlign w:val="bottom"/>
          </w:tcPr>
          <w:p>
            <w:pPr>
              <w:spacing w:after="0"/>
              <w:rPr>
                <w:sz w:val="1"/>
                <w:szCs w:val="1"/>
                <w:color w:val="auto"/>
              </w:rPr>
            </w:pPr>
          </w:p>
        </w:tc>
      </w:tr>
      <w:tr>
        <w:trPr>
          <w:trHeight w:val="27"/>
        </w:trPr>
        <w:tc>
          <w:tcPr>
            <w:tcW w:w="57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Total average loans outstanding during the periods</w:t>
            </w:r>
          </w:p>
        </w:tc>
        <w:tc>
          <w:tcPr>
            <w:tcW w:w="3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3,094,558</w:t>
            </w:r>
          </w:p>
        </w:tc>
        <w:tc>
          <w:tcPr>
            <w:tcW w:w="34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3,082,601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3,084,563</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3,048,569</w:t>
            </w:r>
          </w:p>
        </w:tc>
        <w:tc>
          <w:tcPr>
            <w:tcW w:w="0" w:type="dxa"/>
            <w:vAlign w:val="bottom"/>
          </w:tcPr>
          <w:p>
            <w:pPr>
              <w:spacing w:after="0"/>
              <w:rPr>
                <w:sz w:val="1"/>
                <w:szCs w:val="1"/>
                <w:color w:val="auto"/>
              </w:rPr>
            </w:pPr>
          </w:p>
        </w:tc>
      </w:tr>
      <w:tr>
        <w:trPr>
          <w:trHeight w:val="21"/>
        </w:trPr>
        <w:tc>
          <w:tcPr>
            <w:tcW w:w="5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Net charge-offs (recoveries) during the periods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real estate</w:t>
            </w:r>
          </w:p>
        </w:tc>
        <w:tc>
          <w:tcPr>
            <w:tcW w:w="3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 specialized</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 general</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328</w:t>
            </w: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16"/>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 family residential</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16"/>
        </w:trPr>
        <w:tc>
          <w:tcPr>
            <w:tcW w:w="5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Auto loans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253</w:t>
            </w:r>
          </w:p>
        </w:tc>
        <w:tc>
          <w:tcPr>
            <w:tcW w:w="2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603</w:t>
            </w:r>
          </w:p>
        </w:tc>
        <w:tc>
          <w:tcPr>
            <w:tcW w:w="2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consumer</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3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209</w:t>
            </w: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23"/>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Construction</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charge-offs (recoveries) during the periods</w:t>
            </w: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340" w:type="dxa"/>
            <w:vAlign w:val="bottom"/>
            <w:tcBorders>
              <w:bottom w:val="single" w:sz="8" w:color="CCEEFF"/>
              <w:right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2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320" w:type="dxa"/>
            <w:vAlign w:val="bottom"/>
            <w:tcBorders>
              <w:bottom w:val="single" w:sz="8" w:color="CCEEFF"/>
              <w:right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5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net charge-offs (recoveries) to average loans during the periods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0.00%</w:t>
            </w:r>
          </w:p>
        </w:tc>
        <w:tc>
          <w:tcPr>
            <w:tcW w:w="2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0.00%</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 specialized</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16"/>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 general</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0.01%</w:t>
            </w:r>
          </w:p>
        </w:tc>
        <w:tc>
          <w:tcPr>
            <w:tcW w:w="2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0.06%</w:t>
            </w: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0.01%</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1-4 family residential</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(0.01)%</w:t>
            </w:r>
          </w:p>
        </w:tc>
        <w:tc>
          <w:tcPr>
            <w:tcW w:w="2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(0.01)%</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Auto loans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0.14%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0.09%</w:t>
            </w: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0.23%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16"/>
        </w:trPr>
        <w:tc>
          <w:tcPr>
            <w:tcW w:w="5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consumer</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0.25%</w:t>
            </w:r>
          </w:p>
        </w:tc>
        <w:tc>
          <w:tcPr>
            <w:tcW w:w="2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0.30%</w:t>
            </w: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0.66%</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Construction</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0.00%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0.00%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7"/>
        </w:trPr>
        <w:tc>
          <w:tcPr>
            <w:tcW w:w="57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Total ratio of net charge-offs (recoveries) to average loans during the periods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0.01%</w:t>
            </w:r>
          </w:p>
        </w:tc>
        <w:tc>
          <w:tcPr>
            <w:tcW w:w="2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0.03%</w:t>
            </w: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0.03%</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1"/>
        </w:trPr>
        <w:tc>
          <w:tcPr>
            <w:tcW w:w="5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40" w:orient="portrait"/>
          <w:cols w:equalWidth="0" w:num="1">
            <w:col w:w="11240"/>
          </w:cols>
          <w:pgMar w:left="320" w:top="116" w:right="339" w:bottom="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p>
    <w:p>
      <w:pPr>
        <w:sectPr>
          <w:pgSz w:w="11900" w:h="16840" w:orient="portrait"/>
          <w:cols w:equalWidth="0" w:num="1">
            <w:col w:w="11240"/>
          </w:cols>
          <w:pgMar w:left="320" w:top="116" w:right="339" w:bottom="0" w:gutter="0" w:footer="0" w:header="0"/>
          <w:type w:val="continuous"/>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provides other loan data as of the dates indicated.</w:t>
            </w:r>
          </w:p>
        </w:tc>
        <w:tc>
          <w:tcPr>
            <w:tcW w:w="160" w:type="dxa"/>
            <w:vAlign w:val="bottom"/>
          </w:tcPr>
          <w:p>
            <w:pPr>
              <w:spacing w:after="0"/>
              <w:rPr>
                <w:sz w:val="24"/>
                <w:szCs w:val="24"/>
                <w:color w:val="auto"/>
              </w:rPr>
            </w:pPr>
          </w:p>
        </w:tc>
        <w:tc>
          <w:tcPr>
            <w:tcW w:w="122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75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02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8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loans held for investment outstanding</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3,098,978</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3,055,054</w:t>
            </w:r>
          </w:p>
        </w:tc>
        <w:tc>
          <w:tcPr>
            <w:tcW w:w="0" w:type="dxa"/>
            <w:vAlign w:val="bottom"/>
          </w:tcPr>
          <w:p>
            <w:pPr>
              <w:spacing w:after="0"/>
              <w:rPr>
                <w:sz w:val="1"/>
                <w:szCs w:val="1"/>
                <w:color w:val="auto"/>
              </w:rPr>
            </w:pP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Nonaccrual loans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7,797</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22,102</w:t>
            </w: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 on loans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45,010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43,237</w:t>
            </w:r>
          </w:p>
        </w:tc>
        <w:tc>
          <w:tcPr>
            <w:tcW w:w="0" w:type="dxa"/>
            <w:vAlign w:val="bottom"/>
          </w:tcPr>
          <w:p>
            <w:pPr>
              <w:spacing w:after="0"/>
              <w:rPr>
                <w:sz w:val="1"/>
                <w:szCs w:val="1"/>
                <w:color w:val="auto"/>
              </w:rPr>
            </w:pP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Ratio of allowance to total loans held for investment</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allowance to nonaccrual loans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577.27%</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195.62%</w:t>
            </w:r>
          </w:p>
        </w:tc>
        <w:tc>
          <w:tcPr>
            <w:tcW w:w="0" w:type="dxa"/>
            <w:vAlign w:val="bottom"/>
          </w:tcPr>
          <w:p>
            <w:pPr>
              <w:spacing w:after="0"/>
              <w:rPr>
                <w:sz w:val="1"/>
                <w:szCs w:val="1"/>
                <w:color w:val="auto"/>
              </w:rPr>
            </w:pPr>
          </w:p>
        </w:tc>
      </w:tr>
      <w:tr>
        <w:trPr>
          <w:trHeight w:val="234"/>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Ratio of nonaccrual loans to total loans held for investment</w:t>
            </w:r>
          </w:p>
        </w:tc>
        <w:tc>
          <w:tcPr>
            <w:tcW w:w="1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0.25%</w:t>
            </w:r>
          </w:p>
        </w:tc>
        <w:tc>
          <w:tcPr>
            <w:tcW w:w="2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0.72%</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charge-offs totaled $458 thousand and were 0.06% (annualized) of average loans outstanding for the three months ended June 30, 2025, compared to $776 thousand and 0.10% (annualized) for the three months ended June 30, 2024. The decrease in net charge-offs in the second quarter of 2025 was primarily the result of a decrease of $297 thousand in general commercial net charge-offs in the second quarter of 2025 compared to the same period in 2024, mainly from several larger recoveries. Net charge-offs totaled $1.0 million and were 0.06% (annualized) of average loans outstanding for the six months ended June 30, 2025, compared to $1.7 million and 0.11% (annualized) for the six months ended June 30, 2024. The decrease in net charge-offs for the six months ended June 30, 2025 was primarily the result of a decrease of $362 thousand in charge-offs and an increase of $223 thousand in recoveries of general commercial loans in the first two quarters of 2025 compared to the same period in 2024. The allowance for credit losses on loans as a percentage of loans held for investment was 1.45% at June 30, 2025 and 1.42% at December 31, 2024.</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Specific reserves for individually evaluated loans totaled $1.1 million at June 30, 2025 as compared to $552 thousand at December 31, 2024. There were several credit quality downgrades during the second quarter of 2025 which necessitated the additional reserves.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the entire ACL for loans is available to absorb losses from any part of our loan portfolio, the following table sets forth the allocation of the ACL for loans for the periods presented and the percentage of allowance in each classification to total allowance: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20" w:type="dxa"/>
            <w:vAlign w:val="bottom"/>
            <w:gridSpan w:val="4"/>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80" w:type="dxa"/>
            <w:vAlign w:val="bottom"/>
          </w:tcPr>
          <w:p>
            <w:pPr>
              <w:spacing w:after="0"/>
              <w:rPr>
                <w:sz w:val="21"/>
                <w:szCs w:val="21"/>
                <w:color w:val="auto"/>
              </w:rPr>
            </w:pPr>
          </w:p>
        </w:tc>
        <w:tc>
          <w:tcPr>
            <w:tcW w:w="2420" w:type="dxa"/>
            <w:vAlign w:val="bottom"/>
            <w:gridSpan w:val="4"/>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59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160" w:type="dxa"/>
            <w:vAlign w:val="bottom"/>
          </w:tcPr>
          <w:p>
            <w:pPr>
              <w:spacing w:after="0"/>
              <w:rPr>
                <w:sz w:val="19"/>
                <w:szCs w:val="19"/>
                <w:color w:val="auto"/>
              </w:rPr>
            </w:pPr>
          </w:p>
        </w:tc>
      </w:t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15,706</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15,973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36.9%</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Commercial – specialized</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4,881</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4,640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 general</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7,228</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6,874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 family residential</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11,150</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24.8%</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9,677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22.4%</w:t>
            </w: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Auto loans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consumer</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r>
      <w:tr>
        <w:trPr>
          <w:trHeight w:val="27"/>
        </w:trPr>
        <w:tc>
          <w:tcPr>
            <w:tcW w:w="59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allowance for credit losses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45,010</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43,237</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Quality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Loans are considered delinquent when principal or interest payments are past due 30 days or more. Delinquent loans may remain on accrual status between 30 days and 90 days past due. Loans on which the accrual of interest has been discontinued are designated as nonaccrual loans. Typically, the accrual of interest on loans is discontinued when principal or interest payments are past due 90 days or when, in the opinion of management, there is a reasonable doubt as to collectability in the normal course of business. When loans are placed on nonaccrual status, all interest previously accrued but not collected is reversed against current period interest income. Income on nonaccrual loans is subsequently recognized only to the extent that cash is received and the loan’s principal balance is deemed collectible. Loans are restored to accrual status when loans become well-secured and management believes full collectability of principal and interest is probable.</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Loans that exhibit characteristics different from their pool characteristics are evaluated on an individual basis. Loans evaluated individually are not included in the collective ACL evaluation. Income from loans on nonaccrual status is recognized to the extent cash is received and when the loan’s principal balance is deemed collectible. Depending on a particular loan’s circumstances, we analyze loans for specific allowance based upon either the present value of expected future cash flows discounted at the loan’s effective interest rate, the loan’s observable market price, or the fair value of the collateral less estimated costs to sell if the loan is collateral dependent. A loan is considered collateral dependent when repayment of the loan is based solely on the liquidation of the collateral. Fair value, where possible, is determined by independent appraisals, typically on an annual basis. Between appraisal periods, the fair value may be adjusted based on specific events, such as if deterioration of quality of the collateral comes to our attention as part of our problem loan monitoring process, or if discussions with the borrower lead us to believe the last appraised value no longer reflects the actual market for the collateral. The specific allowance amount on a collateral-dependent loan is charged-off to the allowance if deemed not collectible and the impairment amount on a loan that is not collateral-dependent is set up as a specific reserve.</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Real estate we acquire as a result of foreclosure or by deed-in-lieu of foreclosure is classified as other real estate owned (“OREO”) until sold and is initially recorded at fair value less costs to sell when acquired, establishing a new cost basis. OREO and repossessed assets are reported as foreclosed assets.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Nonperforming loans include nonaccrual loans and loans past due 90 days or more. Nonperforming assets consist of nonperforming loans plus foreclosed assets.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June 30, 2025, our total nonaccrual loans were $7.8 million, or 0.25% of total loans held for investment, as compared to $22.1 million, or 0.72% of total loans held for investment, at December 31, 2024. These loans within this amount that exceeded $250 thousand were specifically analyzed and specific valuation allowances were established as necessary and included in the ACL for loans as of June 30, 2025 to cover any probable loss.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Nonperforming loans were $10.5 million at June 30, 2025 and $24.0 million at December 31, 2024. This decrease of $13.5 million is predominantly due to a $19.0 million credit that was repaid in full during the second quarter of 2025. This decrease was partially offset with two credits totaling $5.5 million being placed on nonaccrual status during the second quarter of 2025.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Classified loans include loans graded as substandard or doubtful. At June 30, 2025, classified loans totaled $66.9 million, an increase of $17.8 million from the total of $49.1 million at December 31, 2024. This was primarily the result of the downgrade of a $32 million multi-family property loan, partially offset by the payoff of a $19 million multi-family property loan during the second quarter of 2025.</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Occasionally, the Company modifies loans to borrowers in financial distress by providing principal forgiveness, term extensions, an other than insignificant payment delay, or interest rate reduction. When principal forgiveness is provided, the amount of forgiveness is charged-off against the ACL for loans. Typically, one type of concession, such as term extension, is granted initially. If the borrower continues to experience financial difficulty, another concession, such as principal forgiveness, may be granted. In some cases, the Company provides multiple types of concessions on one loan. The Company closely monitors the performance of loans that are modified to borrowers experiencing financial difficulty to understand the effectiveness of its modification efforts. Upon the Company’s determination that a modified loan has subsequently been deemed to not be fully collectible, the uncollectible amount is written off. Therefore, the amortized cost basis of the loan is reduced by the uncollectible amount and the ACL for loans is adjusted by the same amount.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 borrower on a restructured accruing loan has demonstrated performance under the previous terms, is not experiencing financial difficulty and shows the capacity to continue to perform under the restructured terms, the loan will remain on accrual status. Otherwise, the loan will be placed on nonaccrual status until the borrower demonstrates a sustained period of performance, which generally requires six consecutive months of payments.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Portfolio</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securities portfolio is the second largest component of the Company’s interest-earning assets, and the structure and composition of this portfolio is important to an analysis of the financial condition of the Company. The securities portfolio serves the following purposes: (i) it provides a source of pledged assets for securing certain deposits and borrowed funds, as may be required by law or by specific agreement with a depositor or lender; (ii) it provides liquidity to even out cash flows from the loan and deposit activities of customers; (iii) it can be used as an interest rate risk management tool, since it provides a large base of assets, the maturity and interest rate characteristics of which can be changed more readily than the loan portfolio to better match changes in the deposit base and other funding sources of the Company; and (iv) it is an alternative interest-earning asset when loan demand is weak or when deposits grow more rapidly than loans.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securities portfolio consists of securities classified as either held-to-maturity or available-for-sale. Securities consist primarily of state and municipal securities, mortgage-backed securities and U.S. government sponsored agency securities. We determine the appropriate classification at the time of purchase. All held-to-maturity securities are reported at amortized cost, adjusted for premiums and discounts that are recognized in interest income using the interest method over the period to maturity. All available-for-sale securities are reported at fair value.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securities portfolio decreased $7.2 million, or 1.3%, to $570.0 million at June 30, 2025, compared to $577.2 million at December 31, 2024. The decrease was primarily due to $10.2 million in maturities, prepayments and calls, net of purchases, partially offset by a $4.3 million increase in the fair value of securities available for sale at June 30, 2025 as compared to December 31, 2024.</w:t>
      </w:r>
    </w:p>
    <w:p>
      <w:pPr>
        <w:sectPr>
          <w:pgSz w:w="11900" w:h="16838" w:orient="portrait"/>
          <w:cols w:equalWidth="0" w:num="1">
            <w:col w:w="11240"/>
          </w:cols>
          <w:pgMar w:left="320" w:top="116" w:right="33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securities have fair values less than amortized cost and, therefore, contain unrealized losses. At June 30, 2025, the fair value of the Company’s securities available for sale was $87.5 million lower than the amortized cost. At June 30, 2025, the Company evaluated whether the decline in fair value has resulted from credit losses or other factors. Within this evaluation, management considers the extent to which fair value is less than amortized cost, any changes to the rating of the security by rating agency, and adverse conditions specifically related to the security, among other factors. Based on management’s evaluation no unrealized losses on securities were determined to be due to credit loss. Additionally, we anticipate full recovery of amortized cost with respect to these securities by maturity, or sooner in the event of a more favorable market interest rate environment. We do not intend to sell these securities and it is not probable that we will be required to sell them before recovery of the amortized cost basis, which may be at maturity, thus no ACL or losses have been recognized or realized in the consolidated financial statements for securities in the portfolio.</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contractual maturities and the weighted average yields of our investment securities as of the date presented. Expected maturities may differ from contractual maturities if borrowers have the right to call or prepay an obligation with or without call or prepayment penalties.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4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As of June 30, 2025</w:t>
            </w:r>
          </w:p>
        </w:tc>
        <w:tc>
          <w:tcPr>
            <w:tcW w:w="7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4"/>
          </w:tcPr>
          <w:p>
            <w:pPr>
              <w:ind w:left="240"/>
              <w:spacing w:after="0" w:line="194" w:lineRule="exact"/>
              <w:rPr>
                <w:sz w:val="20"/>
                <w:szCs w:val="20"/>
                <w:color w:val="auto"/>
              </w:rPr>
            </w:pPr>
            <w:r>
              <w:rPr>
                <w:rFonts w:ascii="Times New Roman" w:cs="Times New Roman" w:eastAsia="Times New Roman" w:hAnsi="Times New Roman"/>
                <w:sz w:val="18"/>
                <w:szCs w:val="18"/>
                <w:b w:val="1"/>
                <w:bCs w:val="1"/>
                <w:color w:val="auto"/>
              </w:rPr>
              <w:t>Due in One</w:t>
            </w:r>
          </w:p>
        </w:tc>
        <w:tc>
          <w:tcPr>
            <w:tcW w:w="100" w:type="dxa"/>
            <w:vAlign w:val="bottom"/>
          </w:tcPr>
          <w:p>
            <w:pPr>
              <w:spacing w:after="0"/>
              <w:rPr>
                <w:sz w:val="16"/>
                <w:szCs w:val="16"/>
                <w:color w:val="auto"/>
              </w:rPr>
            </w:pPr>
          </w:p>
        </w:tc>
        <w:tc>
          <w:tcPr>
            <w:tcW w:w="1860" w:type="dxa"/>
            <w:vAlign w:val="bottom"/>
            <w:gridSpan w:val="5"/>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Due after One Year</w:t>
            </w:r>
          </w:p>
        </w:tc>
        <w:tc>
          <w:tcPr>
            <w:tcW w:w="100" w:type="dxa"/>
            <w:vAlign w:val="bottom"/>
          </w:tcPr>
          <w:p>
            <w:pPr>
              <w:spacing w:after="0"/>
              <w:rPr>
                <w:sz w:val="16"/>
                <w:szCs w:val="16"/>
                <w:color w:val="auto"/>
              </w:rPr>
            </w:pPr>
          </w:p>
        </w:tc>
        <w:tc>
          <w:tcPr>
            <w:tcW w:w="1840" w:type="dxa"/>
            <w:vAlign w:val="bottom"/>
            <w:gridSpan w:val="4"/>
          </w:tcPr>
          <w:p>
            <w:pPr>
              <w:jc w:val="center"/>
              <w:ind w:right="280"/>
              <w:spacing w:after="0" w:line="194" w:lineRule="exact"/>
              <w:rPr>
                <w:sz w:val="20"/>
                <w:szCs w:val="20"/>
                <w:color w:val="auto"/>
              </w:rPr>
            </w:pPr>
            <w:r>
              <w:rPr>
                <w:rFonts w:ascii="Times New Roman" w:cs="Times New Roman" w:eastAsia="Times New Roman" w:hAnsi="Times New Roman"/>
                <w:sz w:val="18"/>
                <w:szCs w:val="18"/>
                <w:b w:val="1"/>
                <w:bCs w:val="1"/>
                <w:color w:val="auto"/>
                <w:w w:val="97"/>
              </w:rPr>
              <w:t>Due after Five Years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3"/>
          </w:tcPr>
          <w:p>
            <w:pPr>
              <w:ind w:left="360"/>
              <w:spacing w:after="0" w:line="194" w:lineRule="exact"/>
              <w:rPr>
                <w:sz w:val="20"/>
                <w:szCs w:val="20"/>
                <w:color w:val="auto"/>
              </w:rPr>
            </w:pPr>
            <w:r>
              <w:rPr>
                <w:rFonts w:ascii="Times New Roman" w:cs="Times New Roman" w:eastAsia="Times New Roman" w:hAnsi="Times New Roman"/>
                <w:sz w:val="18"/>
                <w:szCs w:val="18"/>
                <w:b w:val="1"/>
                <w:bCs w:val="1"/>
                <w:color w:val="auto"/>
              </w:rPr>
              <w:t>Due after</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Year or Less</w:t>
            </w:r>
          </w:p>
        </w:tc>
        <w:tc>
          <w:tcPr>
            <w:tcW w:w="100" w:type="dxa"/>
            <w:vAlign w:val="bottom"/>
          </w:tcPr>
          <w:p>
            <w:pPr>
              <w:spacing w:after="0"/>
              <w:rPr>
                <w:sz w:val="21"/>
                <w:szCs w:val="21"/>
                <w:color w:val="auto"/>
              </w:rPr>
            </w:pPr>
          </w:p>
        </w:tc>
        <w:tc>
          <w:tcPr>
            <w:tcW w:w="18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Through Five Years</w:t>
            </w:r>
          </w:p>
        </w:tc>
        <w:tc>
          <w:tcPr>
            <w:tcW w:w="100" w:type="dxa"/>
            <w:vAlign w:val="bottom"/>
          </w:tcPr>
          <w:p>
            <w:pPr>
              <w:spacing w:after="0"/>
              <w:rPr>
                <w:sz w:val="21"/>
                <w:szCs w:val="21"/>
                <w:color w:val="auto"/>
              </w:rPr>
            </w:pPr>
          </w:p>
        </w:tc>
        <w:tc>
          <w:tcPr>
            <w:tcW w:w="184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Through Ten Years</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Ten Years</w:t>
            </w:r>
          </w:p>
        </w:tc>
        <w:tc>
          <w:tcPr>
            <w:tcW w:w="0" w:type="dxa"/>
            <w:vAlign w:val="bottom"/>
          </w:tcPr>
          <w:p>
            <w:pPr>
              <w:spacing w:after="0"/>
              <w:rPr>
                <w:sz w:val="1"/>
                <w:szCs w:val="1"/>
                <w:color w:val="auto"/>
              </w:rPr>
            </w:pPr>
          </w:p>
        </w:tc>
      </w:tr>
      <w:tr>
        <w:trPr>
          <w:trHeight w:val="194"/>
        </w:trPr>
        <w:tc>
          <w:tcPr>
            <w:tcW w:w="34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60" w:type="dxa"/>
            <w:vAlign w:val="bottom"/>
          </w:tcPr>
          <w:p>
            <w:pPr>
              <w:spacing w:after="0"/>
              <w:rPr>
                <w:sz w:val="18"/>
                <w:szCs w:val="18"/>
                <w:color w:val="auto"/>
              </w:rPr>
            </w:pPr>
          </w:p>
        </w:tc>
        <w:tc>
          <w:tcPr>
            <w:tcW w:w="1000" w:type="dxa"/>
            <w:vAlign w:val="bottom"/>
            <w:gridSpan w:val="2"/>
          </w:tcPr>
          <w:p>
            <w:pPr>
              <w:jc w:val="center"/>
              <w:ind w:right="136"/>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40" w:type="dxa"/>
            <w:vAlign w:val="bottom"/>
          </w:tcPr>
          <w:p>
            <w:pPr>
              <w:spacing w:after="0"/>
              <w:rPr>
                <w:sz w:val="18"/>
                <w:szCs w:val="18"/>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45"/>
        </w:trPr>
        <w:tc>
          <w:tcPr>
            <w:tcW w:w="3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100" w:type="dxa"/>
            <w:vAlign w:val="bottom"/>
          </w:tcPr>
          <w:p>
            <w:pPr>
              <w:spacing w:after="0"/>
              <w:rPr>
                <w:sz w:val="21"/>
                <w:szCs w:val="21"/>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60" w:type="dxa"/>
            <w:vAlign w:val="bottom"/>
          </w:tcPr>
          <w:p>
            <w:pPr>
              <w:spacing w:after="0"/>
              <w:rPr>
                <w:sz w:val="21"/>
                <w:szCs w:val="21"/>
                <w:color w:val="auto"/>
              </w:rPr>
            </w:pPr>
          </w:p>
        </w:tc>
        <w:tc>
          <w:tcPr>
            <w:tcW w:w="1000" w:type="dxa"/>
            <w:vAlign w:val="bottom"/>
            <w:gridSpan w:val="2"/>
          </w:tcPr>
          <w:p>
            <w:pPr>
              <w:jc w:val="center"/>
              <w:ind w:right="136"/>
              <w:spacing w:after="0"/>
              <w:rPr>
                <w:sz w:val="20"/>
                <w:szCs w:val="20"/>
                <w:color w:val="auto"/>
              </w:rPr>
            </w:pPr>
            <w:r>
              <w:rPr>
                <w:rFonts w:ascii="Times New Roman" w:cs="Times New Roman" w:eastAsia="Times New Roman" w:hAnsi="Times New Roman"/>
                <w:sz w:val="18"/>
                <w:szCs w:val="18"/>
                <w:b w:val="1"/>
                <w:bCs w:val="1"/>
                <w:color w:val="auto"/>
              </w:rPr>
              <w:t>Yield</w:t>
            </w:r>
          </w:p>
        </w:tc>
        <w:tc>
          <w:tcPr>
            <w:tcW w:w="100" w:type="dxa"/>
            <w:vAlign w:val="bottom"/>
          </w:tcPr>
          <w:p>
            <w:pPr>
              <w:spacing w:after="0"/>
              <w:rPr>
                <w:sz w:val="21"/>
                <w:szCs w:val="21"/>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Yield</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0" w:type="dxa"/>
            <w:vAlign w:val="bottom"/>
          </w:tcPr>
          <w:p>
            <w:pPr>
              <w:spacing w:after="0"/>
              <w:rPr>
                <w:sz w:val="1"/>
                <w:szCs w:val="1"/>
                <w:color w:val="auto"/>
              </w:rPr>
            </w:pPr>
          </w:p>
        </w:tc>
      </w:tr>
      <w:tr>
        <w:trPr>
          <w:trHeight w:val="238"/>
        </w:trPr>
        <w:tc>
          <w:tcPr>
            <w:tcW w:w="3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Available-for-sale</w:t>
            </w: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(Dollars</w:t>
            </w: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in</w:t>
            </w:r>
          </w:p>
        </w:tc>
        <w:tc>
          <w:tcPr>
            <w:tcW w:w="8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thousands)</w:t>
            </w:r>
          </w:p>
        </w:tc>
        <w:tc>
          <w:tcPr>
            <w:tcW w:w="14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4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 and municipal</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3"/>
              </w:rPr>
              <w:t>2,294</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4,984</w:t>
            </w: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 $</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9,160</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2.51%</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181,115</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16"/>
        </w:trPr>
        <w:tc>
          <w:tcPr>
            <w:tcW w:w="3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60" w:type="dxa"/>
            <w:vAlign w:val="bottom"/>
          </w:tcPr>
          <w:p>
            <w:pPr>
              <w:spacing w:after="0"/>
              <w:rPr>
                <w:sz w:val="18"/>
                <w:szCs w:val="18"/>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88"/>
              </w:rPr>
              <w:t>18</w:t>
            </w: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1,469</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608</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314,046</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45,934</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60" w:type="dxa"/>
            <w:vAlign w:val="bottom"/>
          </w:tcPr>
          <w:p>
            <w:pPr>
              <w:spacing w:after="0"/>
              <w:rPr>
                <w:sz w:val="18"/>
                <w:szCs w:val="18"/>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66,069</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4,736</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Asset-backed and other amortizing securities</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2,590</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12,452</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23"/>
        </w:trPr>
        <w:tc>
          <w:tcPr>
            <w:tcW w:w="3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securities</w:t>
            </w:r>
          </w:p>
        </w:tc>
        <w:tc>
          <w:tcPr>
            <w:tcW w:w="160" w:type="dxa"/>
            <w:vAlign w:val="bottom"/>
          </w:tcPr>
          <w:p>
            <w:pPr>
              <w:spacing w:after="0"/>
              <w:rPr>
                <w:sz w:val="19"/>
                <w:szCs w:val="19"/>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12,000</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4.47%</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4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available-for-sale</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3"/>
              </w:rPr>
              <w:t>2,312</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6,453</w:t>
            </w:r>
          </w:p>
        </w:tc>
        <w:tc>
          <w:tcPr>
            <w:tcW w:w="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136,361</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3.79%</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512,349</w:t>
            </w: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433"/>
        </w:trPr>
        <w:tc>
          <w:tcPr>
            <w:tcW w:w="34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4"/>
          </w:tcPr>
          <w:p>
            <w:pPr>
              <w:ind w:left="240"/>
              <w:spacing w:after="0" w:line="194" w:lineRule="exact"/>
              <w:rPr>
                <w:sz w:val="20"/>
                <w:szCs w:val="20"/>
                <w:color w:val="auto"/>
              </w:rPr>
            </w:pPr>
            <w:r>
              <w:rPr>
                <w:rFonts w:ascii="Times New Roman" w:cs="Times New Roman" w:eastAsia="Times New Roman" w:hAnsi="Times New Roman"/>
                <w:sz w:val="18"/>
                <w:szCs w:val="18"/>
                <w:b w:val="1"/>
                <w:bCs w:val="1"/>
                <w:color w:val="auto"/>
              </w:rPr>
              <w:t>Due in One</w:t>
            </w:r>
          </w:p>
        </w:tc>
        <w:tc>
          <w:tcPr>
            <w:tcW w:w="100" w:type="dxa"/>
            <w:vAlign w:val="bottom"/>
          </w:tcPr>
          <w:p>
            <w:pPr>
              <w:spacing w:after="0"/>
              <w:rPr>
                <w:sz w:val="16"/>
                <w:szCs w:val="16"/>
                <w:color w:val="auto"/>
              </w:rPr>
            </w:pPr>
          </w:p>
        </w:tc>
        <w:tc>
          <w:tcPr>
            <w:tcW w:w="1860" w:type="dxa"/>
            <w:vAlign w:val="bottom"/>
            <w:gridSpan w:val="5"/>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Due after One Year</w:t>
            </w:r>
          </w:p>
        </w:tc>
        <w:tc>
          <w:tcPr>
            <w:tcW w:w="100" w:type="dxa"/>
            <w:vAlign w:val="bottom"/>
          </w:tcPr>
          <w:p>
            <w:pPr>
              <w:spacing w:after="0"/>
              <w:rPr>
                <w:sz w:val="16"/>
                <w:szCs w:val="16"/>
                <w:color w:val="auto"/>
              </w:rPr>
            </w:pPr>
          </w:p>
        </w:tc>
        <w:tc>
          <w:tcPr>
            <w:tcW w:w="1840" w:type="dxa"/>
            <w:vAlign w:val="bottom"/>
            <w:gridSpan w:val="4"/>
          </w:tcPr>
          <w:p>
            <w:pPr>
              <w:jc w:val="center"/>
              <w:ind w:right="280"/>
              <w:spacing w:after="0" w:line="194" w:lineRule="exact"/>
              <w:rPr>
                <w:sz w:val="20"/>
                <w:szCs w:val="20"/>
                <w:color w:val="auto"/>
              </w:rPr>
            </w:pPr>
            <w:r>
              <w:rPr>
                <w:rFonts w:ascii="Times New Roman" w:cs="Times New Roman" w:eastAsia="Times New Roman" w:hAnsi="Times New Roman"/>
                <w:sz w:val="18"/>
                <w:szCs w:val="18"/>
                <w:b w:val="1"/>
                <w:bCs w:val="1"/>
                <w:color w:val="auto"/>
                <w:w w:val="97"/>
              </w:rPr>
              <w:t>Due after Five Years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3"/>
          </w:tcPr>
          <w:p>
            <w:pPr>
              <w:ind w:left="360"/>
              <w:spacing w:after="0" w:line="194" w:lineRule="exact"/>
              <w:rPr>
                <w:sz w:val="20"/>
                <w:szCs w:val="20"/>
                <w:color w:val="auto"/>
              </w:rPr>
            </w:pPr>
            <w:r>
              <w:rPr>
                <w:rFonts w:ascii="Times New Roman" w:cs="Times New Roman" w:eastAsia="Times New Roman" w:hAnsi="Times New Roman"/>
                <w:sz w:val="18"/>
                <w:szCs w:val="18"/>
                <w:b w:val="1"/>
                <w:bCs w:val="1"/>
                <w:color w:val="auto"/>
              </w:rPr>
              <w:t>Due after</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Year or Less</w:t>
            </w:r>
          </w:p>
        </w:tc>
        <w:tc>
          <w:tcPr>
            <w:tcW w:w="100" w:type="dxa"/>
            <w:vAlign w:val="bottom"/>
          </w:tcPr>
          <w:p>
            <w:pPr>
              <w:spacing w:after="0"/>
              <w:rPr>
                <w:sz w:val="21"/>
                <w:szCs w:val="21"/>
                <w:color w:val="auto"/>
              </w:rPr>
            </w:pPr>
          </w:p>
        </w:tc>
        <w:tc>
          <w:tcPr>
            <w:tcW w:w="18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Through Five Years</w:t>
            </w:r>
          </w:p>
        </w:tc>
        <w:tc>
          <w:tcPr>
            <w:tcW w:w="100" w:type="dxa"/>
            <w:vAlign w:val="bottom"/>
          </w:tcPr>
          <w:p>
            <w:pPr>
              <w:spacing w:after="0"/>
              <w:rPr>
                <w:sz w:val="21"/>
                <w:szCs w:val="21"/>
                <w:color w:val="auto"/>
              </w:rPr>
            </w:pPr>
          </w:p>
        </w:tc>
        <w:tc>
          <w:tcPr>
            <w:tcW w:w="184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Through Ten Years</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Ten Years</w:t>
            </w:r>
          </w:p>
        </w:tc>
        <w:tc>
          <w:tcPr>
            <w:tcW w:w="0" w:type="dxa"/>
            <w:vAlign w:val="bottom"/>
          </w:tcPr>
          <w:p>
            <w:pPr>
              <w:spacing w:after="0"/>
              <w:rPr>
                <w:sz w:val="1"/>
                <w:szCs w:val="1"/>
                <w:color w:val="auto"/>
              </w:rPr>
            </w:pPr>
          </w:p>
        </w:tc>
      </w:tr>
      <w:tr>
        <w:trPr>
          <w:trHeight w:val="194"/>
        </w:trPr>
        <w:tc>
          <w:tcPr>
            <w:tcW w:w="34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60" w:type="dxa"/>
            <w:vAlign w:val="bottom"/>
          </w:tcPr>
          <w:p>
            <w:pPr>
              <w:spacing w:after="0"/>
              <w:rPr>
                <w:sz w:val="18"/>
                <w:szCs w:val="18"/>
                <w:color w:val="auto"/>
              </w:rPr>
            </w:pPr>
          </w:p>
        </w:tc>
        <w:tc>
          <w:tcPr>
            <w:tcW w:w="1000" w:type="dxa"/>
            <w:vAlign w:val="bottom"/>
            <w:gridSpan w:val="2"/>
          </w:tcPr>
          <w:p>
            <w:pPr>
              <w:jc w:val="center"/>
              <w:ind w:right="136"/>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40" w:type="dxa"/>
            <w:vAlign w:val="bottom"/>
          </w:tcPr>
          <w:p>
            <w:pPr>
              <w:spacing w:after="0"/>
              <w:rPr>
                <w:sz w:val="18"/>
                <w:szCs w:val="18"/>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45"/>
        </w:trPr>
        <w:tc>
          <w:tcPr>
            <w:tcW w:w="3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100" w:type="dxa"/>
            <w:vAlign w:val="bottom"/>
          </w:tcPr>
          <w:p>
            <w:pPr>
              <w:spacing w:after="0"/>
              <w:rPr>
                <w:sz w:val="21"/>
                <w:szCs w:val="21"/>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60" w:type="dxa"/>
            <w:vAlign w:val="bottom"/>
          </w:tcPr>
          <w:p>
            <w:pPr>
              <w:spacing w:after="0"/>
              <w:rPr>
                <w:sz w:val="21"/>
                <w:szCs w:val="21"/>
                <w:color w:val="auto"/>
              </w:rPr>
            </w:pPr>
          </w:p>
        </w:tc>
        <w:tc>
          <w:tcPr>
            <w:tcW w:w="1000" w:type="dxa"/>
            <w:vAlign w:val="bottom"/>
            <w:gridSpan w:val="2"/>
          </w:tcPr>
          <w:p>
            <w:pPr>
              <w:jc w:val="center"/>
              <w:ind w:right="136"/>
              <w:spacing w:after="0"/>
              <w:rPr>
                <w:sz w:val="20"/>
                <w:szCs w:val="20"/>
                <w:color w:val="auto"/>
              </w:rPr>
            </w:pPr>
            <w:r>
              <w:rPr>
                <w:rFonts w:ascii="Times New Roman" w:cs="Times New Roman" w:eastAsia="Times New Roman" w:hAnsi="Times New Roman"/>
                <w:sz w:val="18"/>
                <w:szCs w:val="18"/>
                <w:b w:val="1"/>
                <w:bCs w:val="1"/>
                <w:color w:val="auto"/>
              </w:rPr>
              <w:t>Yield</w:t>
            </w:r>
          </w:p>
        </w:tc>
        <w:tc>
          <w:tcPr>
            <w:tcW w:w="100" w:type="dxa"/>
            <w:vAlign w:val="bottom"/>
          </w:tcPr>
          <w:p>
            <w:pPr>
              <w:spacing w:after="0"/>
              <w:rPr>
                <w:sz w:val="21"/>
                <w:szCs w:val="21"/>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Yield</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0" w:type="dxa"/>
            <w:vAlign w:val="bottom"/>
          </w:tcPr>
          <w:p>
            <w:pPr>
              <w:spacing w:after="0"/>
              <w:rPr>
                <w:sz w:val="1"/>
                <w:szCs w:val="1"/>
                <w:color w:val="auto"/>
              </w:rPr>
            </w:pPr>
          </w:p>
        </w:tc>
      </w:tr>
      <w:tr>
        <w:trPr>
          <w:trHeight w:val="238"/>
        </w:trPr>
        <w:tc>
          <w:tcPr>
            <w:tcW w:w="3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Available-for-sale</w:t>
            </w: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(Dollars</w:t>
            </w: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in</w:t>
            </w:r>
          </w:p>
        </w:tc>
        <w:tc>
          <w:tcPr>
            <w:tcW w:w="8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thousands)</w:t>
            </w:r>
          </w:p>
        </w:tc>
        <w:tc>
          <w:tcPr>
            <w:tcW w:w="14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4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 and municipal</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3"/>
              </w:rPr>
              <w:t>2,919</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4,508</w:t>
            </w: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3,388</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2.18%</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188,773</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16"/>
        </w:trPr>
        <w:tc>
          <w:tcPr>
            <w:tcW w:w="3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60" w:type="dxa"/>
            <w:vAlign w:val="bottom"/>
          </w:tcPr>
          <w:p>
            <w:pPr>
              <w:spacing w:after="0"/>
              <w:rPr>
                <w:sz w:val="18"/>
                <w:szCs w:val="18"/>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1,976</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693</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318,352</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46,601</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60" w:type="dxa"/>
            <w:vAlign w:val="bottom"/>
          </w:tcPr>
          <w:p>
            <w:pPr>
              <w:spacing w:after="0"/>
              <w:rPr>
                <w:sz w:val="18"/>
                <w:szCs w:val="18"/>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68,780</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4,917</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Asset-backed and other amortizing securities</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2,864</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13,243</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23"/>
        </w:trPr>
        <w:tc>
          <w:tcPr>
            <w:tcW w:w="3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securities</w:t>
            </w:r>
          </w:p>
        </w:tc>
        <w:tc>
          <w:tcPr>
            <w:tcW w:w="160" w:type="dxa"/>
            <w:vAlign w:val="bottom"/>
          </w:tcPr>
          <w:p>
            <w:pPr>
              <w:spacing w:after="0"/>
              <w:rPr>
                <w:sz w:val="19"/>
                <w:szCs w:val="19"/>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12,000</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4.47%</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4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available-for-sale</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3"/>
              </w:rPr>
              <w:t>2,919</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6,484</w:t>
            </w:r>
          </w:p>
        </w:tc>
        <w:tc>
          <w:tcPr>
            <w:tcW w:w="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134,326</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4.00%</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525,285</w:t>
            </w: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564"/>
        </w:trPr>
        <w:tc>
          <w:tcPr>
            <w:tcW w:w="3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411"/>
              <w:spacing w:after="0"/>
              <w:rPr>
                <w:sz w:val="20"/>
                <w:szCs w:val="20"/>
                <w:color w:val="auto"/>
              </w:rPr>
            </w:pPr>
            <w:r>
              <w:rPr>
                <w:rFonts w:ascii="Times New Roman" w:cs="Times New Roman" w:eastAsia="Times New Roman" w:hAnsi="Times New Roman"/>
                <w:sz w:val="14"/>
                <w:szCs w:val="14"/>
                <w:color w:val="auto"/>
              </w:rPr>
              <w:t>40</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4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Deposits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Deposits represent the Company’s primary and most vital source of funds. We offer a variety of deposit products including demand deposits accounts, interest-bearing products, savings accounts and certificate of deposits. We put continued effort into gathering noninterest-bearing demand deposit accounts through loan production, customer referrals, marketing staffs, mobile and online banking and various involvements with community networks.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deposits at June 30, 2025 were $3.74 billion, representing an increase of $118.1 million, or 3.3%, compared to $3.62 billion at December 31, 2024. The increase since December 31, 2024 consisted of increases of $54.8 million in interest-bearing deposits and $63.3 million in non-interest-bearing deposits. As of June 30, 2025, 26.7% of total deposits were comprised of noninterest-bearing demand accounts, 62.0% of interest-bearing non-maturity accounts and 11.3% of time deposits.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shows the deposit mix as of the dates presented:</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9"/>
        </w:trPr>
        <w:tc>
          <w:tcPr>
            <w:tcW w:w="5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4"/>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80" w:type="dxa"/>
            <w:vAlign w:val="bottom"/>
          </w:tcPr>
          <w:p>
            <w:pPr>
              <w:spacing w:after="0"/>
              <w:rPr>
                <w:sz w:val="24"/>
                <w:szCs w:val="24"/>
                <w:color w:val="auto"/>
              </w:rPr>
            </w:pPr>
          </w:p>
        </w:tc>
        <w:tc>
          <w:tcPr>
            <w:tcW w:w="2420" w:type="dxa"/>
            <w:vAlign w:val="bottom"/>
            <w:gridSpan w:val="4"/>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59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160" w:type="dxa"/>
            <w:vAlign w:val="bottom"/>
          </w:tcPr>
          <w:p>
            <w:pPr>
              <w:spacing w:after="0"/>
              <w:rPr>
                <w:sz w:val="19"/>
                <w:szCs w:val="19"/>
                <w:color w:val="auto"/>
              </w:rPr>
            </w:pPr>
          </w:p>
        </w:tc>
      </w:t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998,759</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935,510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25.8%</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NOW and other transaction accounts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1,244,023</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33.3%</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498,718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and other savings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1,072,010</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1,741,988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48.1%</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424,146</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444,660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w:t>
            </w:r>
          </w:p>
        </w:tc>
      </w:tr>
      <w:tr>
        <w:trPr>
          <w:trHeight w:val="27"/>
        </w:trPr>
        <w:tc>
          <w:tcPr>
            <w:tcW w:w="59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deposits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3,738,938</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3,620,876</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average deposit balances and weighted average rates paid on deposits, on an annualized basis,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59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4"/>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1"/>
                <w:szCs w:val="21"/>
                <w:color w:val="auto"/>
              </w:rPr>
            </w:pPr>
          </w:p>
        </w:tc>
      </w:tr>
      <w:tr>
        <w:trPr>
          <w:trHeight w:val="194"/>
        </w:trPr>
        <w:tc>
          <w:tcPr>
            <w:tcW w:w="5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1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ind w:left="100"/>
              <w:spacing w:after="0" w:line="194"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20" w:type="dxa"/>
            <w:vAlign w:val="bottom"/>
          </w:tcPr>
          <w:p>
            <w:pPr>
              <w:spacing w:after="0"/>
              <w:rPr>
                <w:sz w:val="16"/>
                <w:szCs w:val="16"/>
                <w:color w:val="auto"/>
              </w:rPr>
            </w:pPr>
          </w:p>
        </w:tc>
        <w:tc>
          <w:tcPr>
            <w:tcW w:w="1100" w:type="dxa"/>
            <w:vAlign w:val="bottom"/>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160" w:type="dxa"/>
            <w:vAlign w:val="bottom"/>
          </w:tcPr>
          <w:p>
            <w:pPr>
              <w:spacing w:after="0"/>
              <w:rPr>
                <w:sz w:val="16"/>
                <w:szCs w:val="16"/>
                <w:color w:val="auto"/>
              </w:rPr>
            </w:pPr>
          </w:p>
        </w:tc>
      </w:tr>
      <w:tr>
        <w:trPr>
          <w:trHeight w:val="245"/>
        </w:trPr>
        <w:tc>
          <w:tcPr>
            <w:tcW w:w="5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Average Rate</w:t>
            </w:r>
          </w:p>
        </w:tc>
        <w:tc>
          <w:tcPr>
            <w:tcW w:w="140" w:type="dxa"/>
            <w:vAlign w:val="bottom"/>
          </w:tcPr>
          <w:p>
            <w:pPr>
              <w:spacing w:after="0"/>
              <w:rPr>
                <w:sz w:val="21"/>
                <w:szCs w:val="21"/>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3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Average Rate</w:t>
            </w:r>
          </w:p>
        </w:tc>
      </w:tr>
      <w:tr>
        <w:trPr>
          <w:trHeight w:val="216"/>
        </w:trPr>
        <w:tc>
          <w:tcPr>
            <w:tcW w:w="59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w w:val="93"/>
              </w:rPr>
              <w:t>(Dollars in</w:t>
            </w:r>
          </w:p>
        </w:tc>
        <w:tc>
          <w:tcPr>
            <w:tcW w:w="260" w:type="dxa"/>
            <w:vAlign w:val="bottom"/>
          </w:tcPr>
          <w:p>
            <w:pPr>
              <w:spacing w:after="0"/>
              <w:rPr>
                <w:sz w:val="18"/>
                <w:szCs w:val="18"/>
                <w:color w:val="auto"/>
              </w:rPr>
            </w:pPr>
          </w:p>
        </w:tc>
        <w:tc>
          <w:tcPr>
            <w:tcW w:w="11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990,343</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960,106</w:t>
            </w:r>
          </w:p>
        </w:tc>
        <w:tc>
          <w:tcPr>
            <w:tcW w:w="1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Interest-bearing deposits: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NOW and interest-bearing demand accounts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1,250,852</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482,212</w:t>
            </w:r>
          </w:p>
        </w:tc>
        <w:tc>
          <w:tcPr>
            <w:tcW w:w="1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3.90%</w:t>
            </w: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Savings accounts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132,428</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0.81%</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133,422</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0.93%</w:t>
            </w: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accounts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943,499</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1,605,793</w:t>
            </w:r>
          </w:p>
        </w:tc>
        <w:tc>
          <w:tcPr>
            <w:tcW w:w="1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3.17%</w:t>
            </w:r>
          </w:p>
        </w:tc>
      </w:tr>
      <w:tr>
        <w:trPr>
          <w:trHeight w:val="223"/>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Time deposits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438,697</w:t>
            </w:r>
          </w:p>
        </w:tc>
        <w:tc>
          <w:tcPr>
            <w:tcW w:w="22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3.81%</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392,778</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4.07%</w:t>
            </w:r>
          </w:p>
        </w:tc>
      </w:tr>
      <w:tr>
        <w:trPr>
          <w:trHeight w:val="223"/>
        </w:trPr>
        <w:tc>
          <w:tcPr>
            <w:tcW w:w="5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interest-bearing deposits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2,765,476</w:t>
            </w: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2.91%</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2,614,205</w:t>
            </w: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3.33%</w:t>
            </w:r>
          </w:p>
        </w:tc>
      </w:tr>
      <w:tr>
        <w:trPr>
          <w:trHeight w:val="216"/>
        </w:trPr>
        <w:tc>
          <w:tcPr>
            <w:tcW w:w="5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deposits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3,755,819</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2.14%</w:t>
            </w: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3,574,311</w:t>
            </w:r>
          </w:p>
        </w:tc>
        <w:tc>
          <w:tcPr>
            <w:tcW w:w="100" w:type="dxa"/>
            <w:vAlign w:val="bottom"/>
          </w:tcPr>
          <w:p>
            <w:pPr>
              <w:spacing w:after="0"/>
              <w:rPr>
                <w:sz w:val="18"/>
                <w:szCs w:val="18"/>
                <w:color w:val="auto"/>
              </w:rPr>
            </w:pP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2.43%</w:t>
            </w:r>
          </w:p>
        </w:tc>
      </w:tr>
      <w:tr>
        <w:trPr>
          <w:trHeight w:val="20"/>
        </w:trPr>
        <w:tc>
          <w:tcPr>
            <w:tcW w:w="5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03"/>
        </w:trPr>
        <w:tc>
          <w:tcPr>
            <w:tcW w:w="5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5"/>
        </w:trPr>
        <w:tc>
          <w:tcPr>
            <w:tcW w:w="59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4"/>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1"/>
                <w:szCs w:val="21"/>
                <w:color w:val="auto"/>
              </w:rPr>
            </w:pPr>
          </w:p>
        </w:tc>
      </w:tr>
      <w:tr>
        <w:trPr>
          <w:trHeight w:val="194"/>
        </w:trPr>
        <w:tc>
          <w:tcPr>
            <w:tcW w:w="5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1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ind w:left="100"/>
              <w:spacing w:after="0" w:line="194"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20" w:type="dxa"/>
            <w:vAlign w:val="bottom"/>
          </w:tcPr>
          <w:p>
            <w:pPr>
              <w:spacing w:after="0"/>
              <w:rPr>
                <w:sz w:val="16"/>
                <w:szCs w:val="16"/>
                <w:color w:val="auto"/>
              </w:rPr>
            </w:pPr>
          </w:p>
        </w:tc>
        <w:tc>
          <w:tcPr>
            <w:tcW w:w="1100" w:type="dxa"/>
            <w:vAlign w:val="bottom"/>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160" w:type="dxa"/>
            <w:vAlign w:val="bottom"/>
          </w:tcPr>
          <w:p>
            <w:pPr>
              <w:spacing w:after="0"/>
              <w:rPr>
                <w:sz w:val="16"/>
                <w:szCs w:val="16"/>
                <w:color w:val="auto"/>
              </w:rPr>
            </w:pPr>
          </w:p>
        </w:tc>
      </w:tr>
      <w:tr>
        <w:trPr>
          <w:trHeight w:val="245"/>
        </w:trPr>
        <w:tc>
          <w:tcPr>
            <w:tcW w:w="5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Average Rate</w:t>
            </w:r>
          </w:p>
        </w:tc>
        <w:tc>
          <w:tcPr>
            <w:tcW w:w="140" w:type="dxa"/>
            <w:vAlign w:val="bottom"/>
          </w:tcPr>
          <w:p>
            <w:pPr>
              <w:spacing w:after="0"/>
              <w:rPr>
                <w:sz w:val="21"/>
                <w:szCs w:val="21"/>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3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Average Rate</w:t>
            </w:r>
          </w:p>
        </w:tc>
      </w:tr>
      <w:tr>
        <w:trPr>
          <w:trHeight w:val="216"/>
        </w:trPr>
        <w:tc>
          <w:tcPr>
            <w:tcW w:w="59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w w:val="93"/>
              </w:rPr>
              <w:t>(Dollars in</w:t>
            </w:r>
          </w:p>
        </w:tc>
        <w:tc>
          <w:tcPr>
            <w:tcW w:w="260" w:type="dxa"/>
            <w:vAlign w:val="bottom"/>
          </w:tcPr>
          <w:p>
            <w:pPr>
              <w:spacing w:after="0"/>
              <w:rPr>
                <w:sz w:val="18"/>
                <w:szCs w:val="18"/>
                <w:color w:val="auto"/>
              </w:rPr>
            </w:pPr>
          </w:p>
        </w:tc>
        <w:tc>
          <w:tcPr>
            <w:tcW w:w="11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962,557</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959,219</w:t>
            </w:r>
          </w:p>
        </w:tc>
        <w:tc>
          <w:tcPr>
            <w:tcW w:w="1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Interest-bearing deposits: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NOW and interest-bearing demand accounts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1,086,742</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490,506</w:t>
            </w:r>
          </w:p>
        </w:tc>
        <w:tc>
          <w:tcPr>
            <w:tcW w:w="1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3.80%</w:t>
            </w: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Savings accounts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133,356</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0.81%</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134,891</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0.92%</w:t>
            </w: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accounts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1,094,464</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1,628,307</w:t>
            </w:r>
          </w:p>
        </w:tc>
        <w:tc>
          <w:tcPr>
            <w:tcW w:w="1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3.18%</w:t>
            </w:r>
          </w:p>
        </w:tc>
      </w:tr>
      <w:tr>
        <w:trPr>
          <w:trHeight w:val="223"/>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Time deposits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440,297</w:t>
            </w:r>
          </w:p>
        </w:tc>
        <w:tc>
          <w:tcPr>
            <w:tcW w:w="22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3.89%</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383,816</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4.00%</w:t>
            </w:r>
          </w:p>
        </w:tc>
      </w:tr>
      <w:tr>
        <w:trPr>
          <w:trHeight w:val="223"/>
        </w:trPr>
        <w:tc>
          <w:tcPr>
            <w:tcW w:w="5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interest-bearing deposits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2,754,859</w:t>
            </w: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2.92%</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2,637,520</w:t>
            </w: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3.30%</w:t>
            </w:r>
          </w:p>
        </w:tc>
      </w:tr>
      <w:tr>
        <w:trPr>
          <w:trHeight w:val="216"/>
        </w:trPr>
        <w:tc>
          <w:tcPr>
            <w:tcW w:w="5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deposits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3,717,416</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2.16%</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3,596,739</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2.42%</w:t>
            </w:r>
          </w:p>
        </w:tc>
      </w:tr>
      <w:tr>
        <w:trPr>
          <w:trHeight w:val="20"/>
        </w:trPr>
        <w:tc>
          <w:tcPr>
            <w:tcW w:w="5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2025, the Company ended its deposit sweep program, whereby certain transaction accounts were being restructured into two legally separate accounts: a checking (transaction) account and a money market (non-transaction) account. After ending the program, the balance for these accounts is all reported in NOW and interest-bearing demand accounts. Previously, the balance was allocated between NOW and interest-bearing demand accounts and money market accounts.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Time deposits issued in amounts of more than $250 thousand represent the type of deposit most likely to affect the Company’s future earnings because of interest rate sensitivity. The effective cost of these funds is generally higher than other time deposits because the funds are usually obtained at premium rates of interest.</w:t>
      </w:r>
    </w:p>
    <w:p>
      <w:pPr>
        <w:sectPr>
          <w:pgSz w:w="11900" w:h="16838" w:orient="portrait"/>
          <w:cols w:equalWidth="0" w:num="1">
            <w:col w:w="11240"/>
          </w:cols>
          <w:pgMar w:left="320" w:top="116" w:right="33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3780" w:type="dxa"/>
            <w:vAlign w:val="bottom"/>
            <w:gridSpan w:val="2"/>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73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scheduled maturities of time deposits of more than $250 thousand as of June 30, 2025 follows:</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0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Three</w:t>
            </w:r>
          </w:p>
        </w:tc>
        <w:tc>
          <w:tcPr>
            <w:tcW w:w="120" w:type="dxa"/>
            <w:vAlign w:val="bottom"/>
          </w:tcPr>
          <w:p>
            <w:pPr>
              <w:spacing w:after="0"/>
              <w:rPr>
                <w:sz w:val="24"/>
                <w:szCs w:val="24"/>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Three to</w:t>
            </w:r>
          </w:p>
        </w:tc>
        <w:tc>
          <w:tcPr>
            <w:tcW w:w="12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Six to</w:t>
            </w:r>
          </w:p>
        </w:tc>
        <w:tc>
          <w:tcPr>
            <w:tcW w:w="12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After</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20" w:type="dxa"/>
            <w:vAlign w:val="bottom"/>
          </w:tcPr>
          <w:p>
            <w:pPr>
              <w:spacing w:after="0"/>
              <w:rPr>
                <w:sz w:val="21"/>
                <w:szCs w:val="21"/>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Six Months</w:t>
            </w:r>
          </w:p>
        </w:tc>
        <w:tc>
          <w:tcPr>
            <w:tcW w:w="1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12 Months</w:t>
            </w:r>
          </w:p>
        </w:tc>
        <w:tc>
          <w:tcPr>
            <w:tcW w:w="1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12 Months</w:t>
            </w:r>
          </w:p>
        </w:tc>
        <w:tc>
          <w:tcPr>
            <w:tcW w:w="22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10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46,980</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23,249</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35,206</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6,446</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111,881</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estimated amount of uninsured deposits as of June 30, 2025 was $1.33 billion. This represented approximately 36% of total deposits. Excluding collateralized public fund deposits, uninsured and uncollateralized deposits was 28% as of June 30,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Borrowed Funds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deposits, we may utilize advances from the FHLB and other borrowings as a supplementary funding source to finance our operations.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FHLB Advances</w:t>
      </w:r>
      <w:r>
        <w:rPr>
          <w:rFonts w:ascii="Times New Roman" w:cs="Times New Roman" w:eastAsia="Times New Roman" w:hAnsi="Times New Roman"/>
          <w:sz w:val="18"/>
          <w:szCs w:val="18"/>
          <w:color w:val="auto"/>
        </w:rPr>
        <w:t>. The FHLB allows us to borrow, both short and long-term, on a blanket floating lien status collateralized by first mortgage loans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real estate loans as well as FHLB stock. At June 30, 2025 and December 31, 2024, we had total remaining borrowing capacity from the FHLB of $1.29 billion and $1.11 billion, respectively, with no outstanding balance. We had no FHLB borrowings during the three and six months ended June 30, 2025 or 2024.</w:t>
      </w:r>
    </w:p>
    <w:p>
      <w:pPr>
        <w:spacing w:after="0" w:line="1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use FHLB letters of credit to pledge to certain public deposits. There was no outstanding balance of FHLB letters of credit at June 30, 2025, The outstanding balance at December 31, 2024 was $75.0 million.</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Federal Reserve Bank of Dallas</w:t>
      </w:r>
      <w:r>
        <w:rPr>
          <w:rFonts w:ascii="Times New Roman" w:cs="Times New Roman" w:eastAsia="Times New Roman" w:hAnsi="Times New Roman"/>
          <w:sz w:val="18"/>
          <w:szCs w:val="18"/>
          <w:color w:val="auto"/>
        </w:rPr>
        <w:t>. The Bank has a line of credit with the Federal Reserve Bank of Dallas (the “FRB”). The amount of the line is determined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 monthly basis by the FRB. The line is collateralized by a blanket floating lien on all agriculture, commercial and consumer loans. The amount of the line was $668.2 million and $654.0 million at June 30, 2025 and December 31, 2024, respectively, with no outstanding balance. We had no FRB borrowings during the three and six months ended June 30, 2025 or 2024.</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Lines of Credit</w:t>
      </w:r>
      <w:r>
        <w:rPr>
          <w:rFonts w:ascii="Times New Roman" w:cs="Times New Roman" w:eastAsia="Times New Roman" w:hAnsi="Times New Roman"/>
          <w:sz w:val="18"/>
          <w:szCs w:val="18"/>
          <w:color w:val="auto"/>
        </w:rPr>
        <w:t>. The Bank has uncollateralized lines of credit with multiple banks as a source of funding for liquidity management. The total amount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lines was $138.6 million and $140.0 million as of June 30, 2025 and December 31, 2024, respectively. As of June 30, 2025, we had $1.4 million in short-term borrowings. There were no short-term borrowings as of December 31, 2024.</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Subordinated Debt</w:t>
      </w:r>
      <w:r>
        <w:rPr>
          <w:rFonts w:ascii="Times New Roman" w:cs="Times New Roman" w:eastAsia="Times New Roman" w:hAnsi="Times New Roman"/>
          <w:sz w:val="18"/>
          <w:szCs w:val="18"/>
          <w:color w:val="auto"/>
        </w:rPr>
        <w:t>. In December 2018, the Company issued $14.1 million of subordinated notes that have a maturity date of December 2030 and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average fixed rate of 6.41% for the first seven years. After the fixed rate period, these notes will float at the </w:t>
      </w:r>
      <w:r>
        <w:rPr>
          <w:rFonts w:ascii="Times New Roman" w:cs="Times New Roman" w:eastAsia="Times New Roman" w:hAnsi="Times New Roman"/>
          <w:sz w:val="18"/>
          <w:szCs w:val="18"/>
          <w:i w:val="1"/>
          <w:iCs w:val="1"/>
          <w:color w:val="auto"/>
        </w:rPr>
        <w:t>Wall Street Journal</w:t>
      </w:r>
      <w:r>
        <w:rPr>
          <w:rFonts w:ascii="Times New Roman" w:cs="Times New Roman" w:eastAsia="Times New Roman" w:hAnsi="Times New Roman"/>
          <w:sz w:val="18"/>
          <w:szCs w:val="18"/>
          <w:color w:val="auto"/>
        </w:rPr>
        <w:t xml:space="preserve"> prime rate, with a floor of 4.0% and a ceiling of 7.5%. These notes pay interest quarterly, are unsecured, and may be called by the Company at any time after the remaining maturity is five years or less. Additionally, these notes are intended to qualify for Tier 2 capital treatment, subject to regulatory limitations.</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29, 2020, the Company issued $50.0 million in subordinated notes. Proceeds were reduced by approximately $926 thousand in debt issuance costs. These notes have a maturity date of September 2030 with a fixed rate of 4.50% for the first five years. After the expiration of the fixed rate period, these notes will reset quarterly at a variable rate equal to the then current three-month Secured Overnight Financing Rate, as published by the Federal Reserve Bank of New York, plus 438 basis points. These notes pay interest semi-annually, are unsecured, and may be called by the Company at any time after the remaining maturity is five years or less. Additionally, these notes are intended to qualify for Tier 2 capital treatment, subject to regulatory limitations.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the total amount of subordinated debt outstanding was $64.1 million less approximately $46 thousand of remaining debt issuance costs for a total balance of $64.1 million.</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Junior Subordinated Deferrable Interest Debentures and Trust Preferred Securities</w:t>
      </w:r>
      <w:r>
        <w:rPr>
          <w:rFonts w:ascii="Times New Roman" w:cs="Times New Roman" w:eastAsia="Times New Roman" w:hAnsi="Times New Roman"/>
          <w:sz w:val="18"/>
          <w:szCs w:val="18"/>
          <w:color w:val="auto"/>
        </w:rPr>
        <w:t>. Between March 2004 and June 2007, the Company formed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wholly-owned statutory business trusts solely for the purpose of issuing trust preferred securities, the proceeds of which were invested in junior subordinated deferrable interest debentures. The trusts are not consolidated and the debentures issued by the Company to the trusts are reflected in the Company’s consolidated balance sheets. The Company records interest expense on the debentures in its consolidated financial statements. The amount of debentures outstanding was $46.4 million at June 30, 2025 and December 31, 2024. The Company has the right, as has been exercised in the past, to defer payments of interest on the securities for up to twenty consecutive quarters. During such time, corporate dividends may not be paid. The Company is current in its interest payments on the debentures.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chart below indicates certain information, as of June 30, 2025, about each of the statutory trusts and the junior subordinated deferrable interest debentures, including the date the junior subordinated deferrable interest debentures were issued, outstanding amounts of trust preferred securities and junior subordinated deferrable interest debentures, the maturity date of the junior subordinated deferrable interest debentures, and the interest rates on the junior subordinated deferrable interest debentures.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61"/>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tcPr>
          <w:p>
            <w:pPr>
              <w:spacing w:after="0"/>
              <w:rPr>
                <w:sz w:val="13"/>
                <w:szCs w:val="13"/>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Stated</w:t>
            </w:r>
          </w:p>
        </w:tc>
        <w:tc>
          <w:tcPr>
            <w:tcW w:w="208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Maturity Date of</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 Rate of</w:t>
            </w:r>
          </w:p>
        </w:tc>
      </w:tr>
      <w:tr>
        <w:trPr>
          <w:trHeight w:val="216"/>
        </w:trPr>
        <w:tc>
          <w:tcPr>
            <w:tcW w:w="10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 of</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Trust Preferred</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Trust Preferred</w:t>
            </w:r>
          </w:p>
        </w:tc>
      </w:tr>
      <w:tr>
        <w:trPr>
          <w:trHeight w:val="206"/>
        </w:trPr>
        <w:tc>
          <w:tcPr>
            <w:tcW w:w="10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Issue</w:t>
            </w:r>
          </w:p>
        </w:tc>
        <w:tc>
          <w:tcPr>
            <w:tcW w:w="10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Trust Preferred</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Securities and</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and</w:t>
            </w:r>
          </w:p>
        </w:tc>
      </w:tr>
      <w:tr>
        <w:trPr>
          <w:trHeight w:val="255"/>
        </w:trPr>
        <w:tc>
          <w:tcPr>
            <w:tcW w:w="2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Trust</w:t>
            </w:r>
          </w:p>
        </w:tc>
        <w:tc>
          <w:tcPr>
            <w:tcW w:w="100" w:type="dxa"/>
            <w:vAlign w:val="bottom"/>
          </w:tcPr>
          <w:p>
            <w:pPr>
              <w:spacing w:after="0"/>
              <w:rPr>
                <w:sz w:val="22"/>
                <w:szCs w:val="22"/>
                <w:color w:val="auto"/>
              </w:rPr>
            </w:pPr>
          </w:p>
        </w:tc>
        <w:tc>
          <w:tcPr>
            <w:tcW w:w="19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20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Debentures</w:t>
            </w:r>
          </w:p>
        </w:tc>
        <w:tc>
          <w:tcPr>
            <w:tcW w:w="220" w:type="dxa"/>
            <w:vAlign w:val="bottom"/>
          </w:tcPr>
          <w:p>
            <w:pPr>
              <w:spacing w:after="0"/>
              <w:rPr>
                <w:sz w:val="22"/>
                <w:szCs w:val="22"/>
                <w:color w:val="auto"/>
              </w:rPr>
            </w:pPr>
          </w:p>
        </w:tc>
        <w:tc>
          <w:tcPr>
            <w:tcW w:w="1300" w:type="dxa"/>
            <w:vAlign w:val="bottom"/>
            <w:tcBorders>
              <w:bottom w:val="single" w:sz="8" w:color="auto"/>
            </w:tcBorders>
          </w:tcPr>
          <w:p>
            <w:pPr>
              <w:jc w:val="center"/>
              <w:spacing w:after="0" w:line="247" w:lineRule="exact"/>
              <w:rPr>
                <w:sz w:val="20"/>
                <w:szCs w:val="20"/>
                <w:color w:val="auto"/>
              </w:rPr>
            </w:pPr>
            <w:r>
              <w:rPr>
                <w:rFonts w:ascii="Times New Roman" w:cs="Times New Roman" w:eastAsia="Times New Roman" w:hAnsi="Times New Roman"/>
                <w:sz w:val="17"/>
                <w:szCs w:val="17"/>
                <w:b w:val="1"/>
                <w:bCs w:val="1"/>
                <w:color w:val="auto"/>
              </w:rPr>
              <w:t>Debentures</w:t>
            </w:r>
            <w:r>
              <w:rPr>
                <w:rFonts w:ascii="Times New Roman" w:cs="Times New Roman" w:eastAsia="Times New Roman" w:hAnsi="Times New Roman"/>
                <w:sz w:val="28"/>
                <w:szCs w:val="28"/>
                <w:b w:val="1"/>
                <w:bCs w:val="1"/>
                <w:color w:val="auto"/>
                <w:vertAlign w:val="superscript"/>
              </w:rPr>
              <w:t>(1)</w:t>
            </w:r>
          </w:p>
        </w:tc>
        <w:tc>
          <w:tcPr>
            <w:tcW w:w="100" w:type="dxa"/>
            <w:vAlign w:val="bottom"/>
          </w:tcPr>
          <w:p>
            <w:pPr>
              <w:spacing w:after="0"/>
              <w:rPr>
                <w:sz w:val="22"/>
                <w:szCs w:val="22"/>
                <w:color w:val="auto"/>
              </w:rPr>
            </w:pPr>
          </w:p>
        </w:tc>
        <w:tc>
          <w:tcPr>
            <w:tcW w:w="2080" w:type="dxa"/>
            <w:vAlign w:val="bottom"/>
            <w:tcBorders>
              <w:bottom w:val="single" w:sz="8" w:color="auto"/>
            </w:tcBorders>
          </w:tcPr>
          <w:p>
            <w:pPr>
              <w:jc w:val="center"/>
              <w:spacing w:after="0" w:line="247" w:lineRule="exact"/>
              <w:rPr>
                <w:sz w:val="20"/>
                <w:szCs w:val="20"/>
                <w:color w:val="auto"/>
              </w:rPr>
            </w:pPr>
            <w:r>
              <w:rPr>
                <w:rFonts w:ascii="Times New Roman" w:cs="Times New Roman" w:eastAsia="Times New Roman" w:hAnsi="Times New Roman"/>
                <w:sz w:val="17"/>
                <w:szCs w:val="17"/>
                <w:b w:val="1"/>
                <w:bCs w:val="1"/>
                <w:color w:val="auto"/>
                <w:w w:val="97"/>
              </w:rPr>
              <w:t>Debentures</w:t>
            </w:r>
            <w:r>
              <w:rPr>
                <w:rFonts w:ascii="Times New Roman" w:cs="Times New Roman" w:eastAsia="Times New Roman" w:hAnsi="Times New Roman"/>
                <w:sz w:val="28"/>
                <w:szCs w:val="28"/>
                <w:b w:val="1"/>
                <w:bCs w:val="1"/>
                <w:color w:val="auto"/>
                <w:w w:val="97"/>
                <w:vertAlign w:val="superscript"/>
              </w:rPr>
              <w:t>(2)(3)</w:t>
            </w:r>
          </w:p>
        </w:tc>
      </w:tr>
      <w:tr>
        <w:trPr>
          <w:trHeight w:val="216"/>
        </w:trPr>
        <w:tc>
          <w:tcPr>
            <w:tcW w:w="10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080" w:type="dxa"/>
            <w:vAlign w:val="bottom"/>
          </w:tcPr>
          <w:p>
            <w:pPr>
              <w:spacing w:after="0"/>
              <w:rPr>
                <w:sz w:val="18"/>
                <w:szCs w:val="18"/>
                <w:color w:val="auto"/>
              </w:rPr>
            </w:pPr>
          </w:p>
        </w:tc>
      </w:tr>
      <w:tr>
        <w:trPr>
          <w:trHeight w:val="198"/>
        </w:trPr>
        <w:tc>
          <w:tcPr>
            <w:tcW w:w="10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3-mo. CME Term SOFR +</w:t>
            </w:r>
          </w:p>
        </w:tc>
      </w:tr>
      <w:tr>
        <w:trPr>
          <w:trHeight w:val="234"/>
        </w:trPr>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Plains Financial Capital Trust III</w:t>
            </w:r>
          </w:p>
        </w:tc>
        <w:tc>
          <w:tcPr>
            <w:tcW w:w="20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2004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10,310</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2034</w:t>
            </w: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291 bps; 7.19%</w:t>
            </w:r>
          </w:p>
        </w:tc>
      </w:tr>
      <w:tr>
        <w:trPr>
          <w:trHeight w:val="198"/>
        </w:trPr>
        <w:tc>
          <w:tcPr>
            <w:tcW w:w="10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3-mo. CME Term SOFR +</w:t>
            </w:r>
          </w:p>
        </w:tc>
      </w:tr>
      <w:tr>
        <w:trPr>
          <w:trHeight w:val="234"/>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South Plains Financial Capital Trust IV</w:t>
            </w:r>
          </w:p>
        </w:tc>
        <w:tc>
          <w:tcPr>
            <w:tcW w:w="20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2005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20,619</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2035</w:t>
            </w:r>
          </w:p>
        </w:tc>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165 bps; 5.97%</w:t>
            </w:r>
          </w:p>
        </w:tc>
      </w:tr>
      <w:tr>
        <w:trPr>
          <w:trHeight w:val="198"/>
        </w:trPr>
        <w:tc>
          <w:tcPr>
            <w:tcW w:w="10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3-mo. CME Term SOFR +</w:t>
            </w:r>
          </w:p>
        </w:tc>
      </w:tr>
      <w:tr>
        <w:trPr>
          <w:trHeight w:val="234"/>
        </w:trPr>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Plains Financial Capital Trust V</w:t>
            </w:r>
          </w:p>
        </w:tc>
        <w:tc>
          <w:tcPr>
            <w:tcW w:w="20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2007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15,464</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2037</w:t>
            </w: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176 bps; 6.08%</w:t>
            </w:r>
          </w:p>
        </w:tc>
      </w:tr>
      <w:tr>
        <w:trPr>
          <w:trHeight w:val="27"/>
        </w:trPr>
        <w:tc>
          <w:tcPr>
            <w:tcW w:w="10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r>
      <w:tr>
        <w:trPr>
          <w:trHeight w:val="216"/>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46,393</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
        </w:trPr>
        <w:tc>
          <w:tcPr>
            <w:tcW w:w="1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redeemed at the Company’s option.</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payable quarterly with principal due at maturity.</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 as of last reset date, prior to June 30,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Liquidity refers to the measure of our ability to meet the cash flow requirements of depositors and borrowers, while at the same time meeting our operating, capital and strategic cash flow needs, all at a reasonable cost. We continuously monitor our liquidity position to ensure that assets and liabilities are managed in a manner that will meet all short-term and long-term cash requirements. We manage our liquidity position to meet the daily cash flow needs of customers, while maintaining an appropriate balance between assets and liabilities to meet the return on investment objectives of our shareholders.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liquidity position is supported by management of liquid assets and access to alternative sources of funds. Our liquid assets include cash, interest-bearing deposits in correspondent banks, federal funds sold, and fair value of unpledged investment securities. Other available sources of liquidity include wholesale deposits, and additional borrowings from correspondent banks, FHLB advances, and the Federal Reserve discount window. At June 30, 2025, the Bank had the capacity to borrow funds from the FHLB and the Federal Reserve discount window of up to approximately $1.3 billion and $668.2 million, respectively.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short-term and long-term liquidity requirements are primarily met through cash flow from operations, redeployment of prepaying and maturing balances in our loan and investment portfolios, and increases in customer deposits. Other alternative sources of funds will supplement these primary sources to the extent necessary to meet additional liquidity requirements on either a short-term or long-term basis.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believes that the Company has adequate liquidity to meet its obligations. However, if general economic conditions, potential recession in the United States and our market areas, the impacts related to or resulting from bank failures and any uncertainty in the banking industry, including the associated impact to the Company and other financial institutions of any regulatory changes or other mitigation efforts taken by government agencies in response thereto, increased competition for deposits and related changes in deposit customer behavior, changes in market interest rates, the resurgence of elevated levels of inflation or inflationary pressures in the United States and our market areas, or other events, cause these sources of external funding to become restricted or are eliminated, the Company may not be able to raise adequate funds or may incur substantially higher funding costs or operating restrictions in order to raise the necessary funds to support the Company’s operations and growth.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stockholders’ equity increased to $454.1 million as of June 30, 2025, compared to $438.9 million as of December 31, 2024, an increase of $15.1 million, or 3.4%. The increase from December 31, 2024 was primarily the result of $26.9 million in net income for the six months ended June 30, 2025 and an increase in accumulated other comprehensive income (“AOCI”) of $375 thousand related to fair value changes in available for sale securities and related fair value hedges, partially offset by $4.9 million of dividends paid and $8.5 million in repurchases of common stock for the six months ended June 30, 2025.</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various regulatory capital requirements administered by the federal and state banking regulators. Failure to meet regulatory capital requirements may result in certain mandatory and possible additional discretionary actions by regulators that, if undertaken, could have a direct material effect on our financial statements. Under capital adequacy guidelines and the regulatory framework for “prompt corrective action” (described below), we must meet specific capital guidelines that involve quantitative measures of our assets, liabilities and certain off-balance sheet items as calculated under regulatory accounting policies. The capital amounts and classifications are subject to qualitative judgments by the federal banking regulators about components, risk weightings and other factors. Qualitative measures established by regulation to ensure capital adequacy required us to maintain minimum amounts and ratio of common equity tier 1 (“CET1”) capital, tier 1 capital and total capital to risk-weighted assets and of tier 1 capital to average consolidated assets, referred to as the “leverage ratio.”</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risk-based capital ratios measure the adequacy of a bank’s capital against the riskiness of its assets and off-balance sheet activities. Failure to maintain adequate capital is a basis for “prompt corrective action” or other regulatory enforcement action. In assessing a bank’s capital adequacy, regulators also consider other factors such as interest rate risk exposure; liquidity, funding and market risks; quality and level of earnings; concentrations of credit, quality of loans and investments; risks of any nontraditional activities; effectiveness of bank policies; and management’s overall ability to monitor and control risks.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2025 and December 31, 2024, both we and the Bank met all the capital adequacy requirements to which we and the Bank were subject. At June 30, 2025, we and the Bank were “well capitalized” under the regulatory framework for prompt corrective action. Management believes that no conditions or events have occurred since June 30, 2025 that would materially adversely change such capital classifications. From time to time, we may need to raise additional capital to support our and the Bank’s further growth and to maintain our “well capitalized” status.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reflects the Company’s (on a consolidated basis) and the Bank’s capital ratios as of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20" w:type="dxa"/>
            <w:vAlign w:val="bottom"/>
            <w:gridSpan w:val="4"/>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80" w:type="dxa"/>
            <w:vAlign w:val="bottom"/>
          </w:tcPr>
          <w:p>
            <w:pPr>
              <w:spacing w:after="0"/>
              <w:rPr>
                <w:sz w:val="21"/>
                <w:szCs w:val="21"/>
                <w:color w:val="auto"/>
              </w:rPr>
            </w:pPr>
          </w:p>
        </w:tc>
        <w:tc>
          <w:tcPr>
            <w:tcW w:w="2420" w:type="dxa"/>
            <w:vAlign w:val="bottom"/>
            <w:gridSpan w:val="4"/>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9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Consolidated</w:t>
            </w: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594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8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647,191</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18.17%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631,713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17.86%</w:t>
            </w:r>
          </w:p>
        </w:tc>
        <w:tc>
          <w:tcPr>
            <w:tcW w:w="0" w:type="dxa"/>
            <w:vAlign w:val="bottom"/>
          </w:tcPr>
          <w:p>
            <w:pPr>
              <w:spacing w:after="0"/>
              <w:rPr>
                <w:sz w:val="1"/>
                <w:szCs w:val="1"/>
                <w:color w:val="auto"/>
              </w:rPr>
            </w:pPr>
          </w:p>
        </w:tc>
      </w:tr>
      <w:tr>
        <w:trPr>
          <w:trHeight w:val="216"/>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538,588</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15.12%</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523,535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14.80%</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CET 1 capital (to risk-weighted assets)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493,588</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478,535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13.53%</w:t>
            </w:r>
          </w:p>
        </w:tc>
        <w:tc>
          <w:tcPr>
            <w:tcW w:w="0" w:type="dxa"/>
            <w:vAlign w:val="bottom"/>
          </w:tcPr>
          <w:p>
            <w:pPr>
              <w:spacing w:after="0"/>
              <w:rPr>
                <w:sz w:val="1"/>
                <w:szCs w:val="1"/>
                <w:color w:val="auto"/>
              </w:rPr>
            </w:pPr>
          </w:p>
        </w:tc>
      </w:tr>
      <w:tr>
        <w:trPr>
          <w:trHeight w:val="216"/>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538,588</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12.12%</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523,535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12.04%</w:t>
            </w: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9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City Bank:</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527,722</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14.82%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520,788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14.73%</w:t>
            </w:r>
          </w:p>
        </w:tc>
        <w:tc>
          <w:tcPr>
            <w:tcW w:w="0" w:type="dxa"/>
            <w:vAlign w:val="bottom"/>
          </w:tcPr>
          <w:p>
            <w:pPr>
              <w:spacing w:after="0"/>
              <w:rPr>
                <w:sz w:val="1"/>
                <w:szCs w:val="1"/>
                <w:color w:val="auto"/>
              </w:rPr>
            </w:pPr>
          </w:p>
        </w:tc>
      </w:tr>
      <w:tr>
        <w:trPr>
          <w:trHeight w:val="216"/>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483,178</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13.57%</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476,574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13.48%</w:t>
            </w:r>
          </w:p>
        </w:tc>
        <w:tc>
          <w:tcPr>
            <w:tcW w:w="0" w:type="dxa"/>
            <w:vAlign w:val="bottom"/>
          </w:tcPr>
          <w:p>
            <w:pPr>
              <w:spacing w:after="0"/>
              <w:rPr>
                <w:sz w:val="1"/>
                <w:szCs w:val="1"/>
                <w:color w:val="auto"/>
              </w:rPr>
            </w:pPr>
          </w:p>
        </w:tc>
      </w:tr>
      <w:tr>
        <w:trPr>
          <w:trHeight w:val="216"/>
        </w:trPr>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CET 1 capital (to risk-weighted assets)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483,178</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476,574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13.48%</w:t>
            </w:r>
          </w:p>
        </w:tc>
        <w:tc>
          <w:tcPr>
            <w:tcW w:w="0" w:type="dxa"/>
            <w:vAlign w:val="bottom"/>
          </w:tcPr>
          <w:p>
            <w:pPr>
              <w:spacing w:after="0"/>
              <w:rPr>
                <w:sz w:val="1"/>
                <w:szCs w:val="1"/>
                <w:color w:val="auto"/>
              </w:rPr>
            </w:pPr>
          </w:p>
        </w:tc>
      </w:tr>
      <w:tr>
        <w:trPr>
          <w:trHeight w:val="234"/>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483,178</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10.88%</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476,574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10.96%</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Community Bank Leverage Ratio</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17, 2019, the federal banking agencies jointly finalized a rule to be effective January 1, 2020 and intended to simplify the regulatory capital requirements described above for qualifying community banking organizations that opt into the Community Bank Leverage Ratio (“CBLR”) framework, as required by Section 201 of the EGRRCPA. The final rule became effective on January 1, 2020, and the CBLR framework became available for banks to use beginning with their March 31, 2020 Call Reports. Under the final rule, if a qualifying community banking organization opts into the CBLR framework and meets all requirements under the framework, it will be considered to have met the well-capitalized ratio requirements under the “prompt corrective action” regulations described above and will not be required to report or calculate risk-based capital. In order to qualify for the CBLR framework, a community banking organization must have a tier 1 leverage ratio of greater than 9%, less than $10 billion in total consolidated assets, and limited amounts of off-balance sheet exposures and trading assets and liabilities. Although the Company and the Bank are qualifying community banking organizations, the Company and the Bank have elected not to opt in to the CBLR framework at this time and will continue to follow the Basel III capital requirements as described in Part I, Item 1, “Business,” under the subheading “Supervision and Regulation—Regulatory Capital Requirements,” in the 2024 Annual Report on Form 10-K.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repurchased stock in accordance with its previously-announced stock repurchase program during the three and six months ended June 30, 2025. For the three months ended June 30, 2025, we repurchased 9,046 shares of common stock for a total of $276 thousand. For the six months ended June 30, 2025, we repurchased 259,046 share of common stock for a total of $8.5 million. These shares were retired immediately upon repurchase and not included in treasury stock. See Part II, Item 2, “Unregistered Sales of Equity Securities and Use of Proceeds,” of this Form 10-Q for further information.</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Sensitivity and Market Risk</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a financial institution, our primary component of market risk is interest rate volatility. Our interest rate risk policy provides management with the guidelines for effective funds management, and we have established a measurement system for monitoring our net interest rate sensitivity position. We have historically managed our sensitivity position within our established guidelines.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rate sensitivity involves the relationships between rate-sensitive assets and liabilities and is an indication of the probable effects of interest rate fluctuations on the Company’s net interest income. Interest rate-sensitive assets and liabilities are those with yields or rates that are subject to change within a future time period due to maturity or changes in market rates. The model is used to project future net interest income under a set of possible interest rate movements. The Company’s Investment/Asset Liability Committee (“ALCO Committee”) reviews this information to determine compliance with the limits set by the Bank’s board of directors.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Fluctuations in interest rates will ultimately impact both the level of income and expense recorded on most of our assets and liabilities, and the market value of all interest-earning assets and interest-bearing liabilities, other than those which have a short term to maturity. Interest rate risk is the potential of economic losses due to future interest rate changes. These economic losses can be reflected as a loss of future net interest income and/or a loss of current fair market values. The objective is to measure the effect on net interest income and to adjust the balance sheet to minimize the inherent risk while at the same time maximizing income.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manage our exposure to interest rates by structuring our balance sheet in the ordinary course of business. Based upon the nature of our operations, we are not subject to foreign exchange or commodity price risk. We do not own any trading assets.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exposure to interest rate risk is managed by the ALCO Committee, in accordance with policies approved by the Bank’s board of directors. The ALCO Committee formulates strategies based on appropriate levels of interest rate risk. In determining the appropriate level of interest rate risk, the ALCO Committee considers the impact on earnings and capital on the current outlook on interest rates, potential changes in interest rates, regional economies, liquidity, business strategies and other factors. The ALCO Committee meets regularly to review, among other things, the sensitivity of assets and liabilities to interest rate changes, the book and market values of assets and liabilities, commitments to originate loans and the maturities of investments and borrowings. Additionally, the ALCO Committee reviews liquidity, cash flow flexibility, maturities of deposits and consumer and commercial deposit activity. Management employs methodologies to manage interest rate risk, which include an analysis of relationships between interest-earning assets and interest-bearing liabilities and an interest rate shock simulation model.</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use interest rate risk simulation models and shock analyses to test the interest rate sensitivity of net interest income and fair value of equity, and the impact of changes in interest rates on other financial metrics. Contractual maturities and re-pricing opportunities of loans are incorporated in the model. The average lives of non-maturity deposit accounts are based on decay assumptions and are incorporated into the model. All of the assumptions used in our analyses are inherently uncertain and, as a result, the model cannot precisely measure future net interest income or precisely predict the impact of fluctuations in market interest rates on net interest income. Actual results will differ from the model’s simulated results due to timing, magnitude and frequency of interest rate changes as well as changes in market conditions and the application and timing of various management strategies.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 quarterly basis, we run a simulation model for a static balance sheet and other scenarios. These models test the impact on net interest income from changes in market interest rates under various scenarios. Under the static model, rates are shocked instantaneously and ramped rates change over a 12-month and 24-month horizon based upon parallel and non-parallel yield curve shifts. Parallel shock scenarios assume instantaneous parallel movements in the yield curve compared to a flat yield curve scenario. Non-parallel simulation involves analysis of interest income and expense under various changes in the shape of the yield curve. Our internal policy regarding internal rate risk simulations currently specifies that for gradual parallel shifts of the yield curve, estimated net interest income at risk for the subsequent one-year period should not decline by more than 7.5% for a 100 basis point shift, 15% for a 200 basis point shift, and 22.5% for a 300 basis point shift.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simulated change in net interest income over a 12-month horizon as of the dates indicated update: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8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60" w:type="dxa"/>
            <w:vAlign w:val="bottom"/>
          </w:tcPr>
          <w:p>
            <w:pPr>
              <w:spacing w:after="0"/>
              <w:rPr>
                <w:sz w:val="18"/>
                <w:szCs w:val="18"/>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4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880" w:type="dxa"/>
            <w:vAlign w:val="bottom"/>
            <w:gridSpan w:val="2"/>
          </w:tcPr>
          <w:p>
            <w:pPr>
              <w:jc w:val="center"/>
              <w:ind w:left="3273"/>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r>
      <w:tr>
        <w:trPr>
          <w:trHeight w:val="194"/>
        </w:trPr>
        <w:tc>
          <w:tcPr>
            <w:tcW w:w="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54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Percent Change in</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Percent Change in</w:t>
            </w:r>
          </w:p>
        </w:tc>
        <w:tc>
          <w:tcPr>
            <w:tcW w:w="220" w:type="dxa"/>
            <w:vAlign w:val="bottom"/>
          </w:tcPr>
          <w:p>
            <w:pPr>
              <w:spacing w:after="0"/>
              <w:rPr>
                <w:sz w:val="16"/>
                <w:szCs w:val="16"/>
                <w:color w:val="auto"/>
              </w:rPr>
            </w:pPr>
          </w:p>
        </w:tc>
      </w:tr>
      <w:tr>
        <w:trPr>
          <w:trHeight w:val="198"/>
        </w:trPr>
        <w:tc>
          <w:tcPr>
            <w:tcW w:w="4300" w:type="dxa"/>
            <w:vAlign w:val="bottom"/>
            <w:gridSpan w:val="3"/>
          </w:tcPr>
          <w:p>
            <w:pPr>
              <w:ind w:left="40"/>
              <w:spacing w:after="0" w:line="198" w:lineRule="exact"/>
              <w:rPr>
                <w:sz w:val="20"/>
                <w:szCs w:val="20"/>
                <w:color w:val="auto"/>
              </w:rPr>
            </w:pPr>
            <w:r>
              <w:rPr>
                <w:rFonts w:ascii="Times New Roman" w:cs="Times New Roman" w:eastAsia="Times New Roman" w:hAnsi="Times New Roman"/>
                <w:sz w:val="18"/>
                <w:szCs w:val="18"/>
                <w:b w:val="1"/>
                <w:bCs w:val="1"/>
                <w:color w:val="auto"/>
              </w:rPr>
              <w:t>Change in Interest Rates (Basis Points)</w:t>
            </w:r>
          </w:p>
        </w:tc>
        <w:tc>
          <w:tcPr>
            <w:tcW w:w="3340" w:type="dxa"/>
            <w:vAlign w:val="bottom"/>
          </w:tcPr>
          <w:p>
            <w:pPr>
              <w:spacing w:after="0"/>
              <w:rPr>
                <w:sz w:val="17"/>
                <w:szCs w:val="17"/>
                <w:color w:val="auto"/>
              </w:rPr>
            </w:pPr>
          </w:p>
        </w:tc>
        <w:tc>
          <w:tcPr>
            <w:tcW w:w="1800" w:type="dxa"/>
            <w:vAlign w:val="bottom"/>
            <w:gridSpan w:val="3"/>
          </w:tcPr>
          <w:p>
            <w:pPr>
              <w:jc w:val="center"/>
              <w:ind w:right="260"/>
              <w:spacing w:after="0" w:line="198" w:lineRule="exact"/>
              <w:rPr>
                <w:sz w:val="20"/>
                <w:szCs w:val="20"/>
                <w:color w:val="auto"/>
              </w:rPr>
            </w:pPr>
            <w:r>
              <w:rPr>
                <w:rFonts w:ascii="Times New Roman" w:cs="Times New Roman" w:eastAsia="Times New Roman" w:hAnsi="Times New Roman"/>
                <w:sz w:val="18"/>
                <w:szCs w:val="18"/>
                <w:b w:val="1"/>
                <w:bCs w:val="1"/>
                <w:color w:val="auto"/>
              </w:rPr>
              <w:t>Net Interest Income</w:t>
            </w:r>
          </w:p>
        </w:tc>
        <w:tc>
          <w:tcPr>
            <w:tcW w:w="1800" w:type="dxa"/>
            <w:vAlign w:val="bottom"/>
            <w:gridSpan w:val="3"/>
          </w:tcPr>
          <w:p>
            <w:pPr>
              <w:jc w:val="center"/>
              <w:ind w:right="160"/>
              <w:spacing w:after="0" w:line="198" w:lineRule="exact"/>
              <w:rPr>
                <w:sz w:val="20"/>
                <w:szCs w:val="20"/>
                <w:color w:val="auto"/>
              </w:rPr>
            </w:pPr>
            <w:r>
              <w:rPr>
                <w:rFonts w:ascii="Times New Roman" w:cs="Times New Roman" w:eastAsia="Times New Roman" w:hAnsi="Times New Roman"/>
                <w:sz w:val="18"/>
                <w:szCs w:val="18"/>
                <w:b w:val="1"/>
                <w:bCs w:val="1"/>
                <w:color w:val="auto"/>
                <w:w w:val="99"/>
              </w:rPr>
              <w:t>Net Interest Income</w:t>
            </w:r>
          </w:p>
        </w:tc>
      </w:tr>
      <w:tr>
        <w:trPr>
          <w:trHeight w:val="28"/>
        </w:trPr>
        <w:tc>
          <w:tcPr>
            <w:tcW w:w="40" w:type="dxa"/>
            <w:vAlign w:val="bottom"/>
          </w:tcPr>
          <w:p>
            <w:pPr>
              <w:spacing w:after="0"/>
              <w:rPr>
                <w:sz w:val="2"/>
                <w:szCs w:val="2"/>
                <w:color w:val="auto"/>
              </w:rPr>
            </w:pPr>
          </w:p>
        </w:tc>
        <w:tc>
          <w:tcPr>
            <w:tcW w:w="3000" w:type="dxa"/>
            <w:vAlign w:val="bottom"/>
            <w:tcBorders>
              <w:top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+300</w:t>
            </w:r>
          </w:p>
        </w:tc>
        <w:tc>
          <w:tcPr>
            <w:tcW w:w="126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(3.35)%</w:t>
            </w:r>
          </w:p>
        </w:tc>
        <w:tc>
          <w:tcPr>
            <w:tcW w:w="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+200</w:t>
            </w:r>
          </w:p>
        </w:tc>
        <w:tc>
          <w:tcPr>
            <w:tcW w:w="1260" w:type="dxa"/>
            <w:vAlign w:val="bottom"/>
          </w:tcPr>
          <w:p>
            <w:pPr>
              <w:spacing w:after="0"/>
              <w:rPr>
                <w:sz w:val="18"/>
                <w:szCs w:val="18"/>
                <w:color w:val="auto"/>
              </w:rPr>
            </w:pPr>
          </w:p>
        </w:tc>
        <w:tc>
          <w:tcPr>
            <w:tcW w:w="51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(2.11)%</w:t>
            </w: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16"/>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+100</w:t>
            </w:r>
          </w:p>
        </w:tc>
        <w:tc>
          <w:tcPr>
            <w:tcW w:w="1260" w:type="dxa"/>
            <w:vAlign w:val="bottom"/>
            <w:shd w:val="clear" w:color="auto" w:fill="CCEEFF"/>
          </w:tcPr>
          <w:p>
            <w:pPr>
              <w:spacing w:after="0"/>
              <w:rPr>
                <w:sz w:val="18"/>
                <w:szCs w:val="18"/>
                <w:color w:val="auto"/>
              </w:rPr>
            </w:pPr>
          </w:p>
        </w:tc>
        <w:tc>
          <w:tcPr>
            <w:tcW w:w="51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w:t>
            </w:r>
          </w:p>
        </w:tc>
        <w:tc>
          <w:tcPr>
            <w:tcW w:w="1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-100</w:t>
            </w:r>
          </w:p>
        </w:tc>
        <w:tc>
          <w:tcPr>
            <w:tcW w:w="1260" w:type="dxa"/>
            <w:vAlign w:val="bottom"/>
          </w:tcPr>
          <w:p>
            <w:pPr>
              <w:spacing w:after="0"/>
              <w:rPr>
                <w:sz w:val="18"/>
                <w:szCs w:val="18"/>
                <w:color w:val="auto"/>
              </w:rPr>
            </w:pPr>
          </w:p>
        </w:tc>
        <w:tc>
          <w:tcPr>
            <w:tcW w:w="51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(0.21)%</w:t>
            </w:r>
          </w:p>
        </w:tc>
        <w:tc>
          <w:tcPr>
            <w:tcW w:w="1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-200</w:t>
            </w:r>
          </w:p>
        </w:tc>
        <w:tc>
          <w:tcPr>
            <w:tcW w:w="1260" w:type="dxa"/>
            <w:vAlign w:val="bottom"/>
            <w:shd w:val="clear" w:color="auto" w:fill="CCEEFF"/>
          </w:tcPr>
          <w:p>
            <w:pPr>
              <w:spacing w:after="0"/>
              <w:rPr>
                <w:sz w:val="18"/>
                <w:szCs w:val="18"/>
                <w:color w:val="auto"/>
              </w:rPr>
            </w:pPr>
          </w:p>
        </w:tc>
        <w:tc>
          <w:tcPr>
            <w:tcW w:w="51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0.17%</w:t>
            </w:r>
          </w:p>
        </w:tc>
        <w:tc>
          <w:tcPr>
            <w:tcW w:w="1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1.69%</w:t>
            </w:r>
          </w:p>
        </w:tc>
      </w:tr>
      <w:tr>
        <w:trPr>
          <w:trHeight w:val="570"/>
        </w:trPr>
        <w:tc>
          <w:tcPr>
            <w:tcW w:w="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340" w:type="dxa"/>
            <w:vAlign w:val="bottom"/>
          </w:tcPr>
          <w:p>
            <w:pPr>
              <w:jc w:val="right"/>
              <w:ind w:right="1853"/>
              <w:spacing w:after="0"/>
              <w:rPr>
                <w:sz w:val="20"/>
                <w:szCs w:val="20"/>
                <w:color w:val="auto"/>
              </w:rPr>
            </w:pPr>
            <w:r>
              <w:rPr>
                <w:rFonts w:ascii="Times New Roman" w:cs="Times New Roman" w:eastAsia="Times New Roman" w:hAnsi="Times New Roman"/>
                <w:sz w:val="14"/>
                <w:szCs w:val="14"/>
                <w:color w:val="auto"/>
              </w:rPr>
              <w:t>45</w:t>
            </w: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4"/>
        </w:trPr>
        <w:tc>
          <w:tcPr>
            <w:tcW w:w="40" w:type="dxa"/>
            <w:vAlign w:val="bottom"/>
            <w:tcBorders>
              <w:bottom w:val="single" w:sz="8" w:color="auto"/>
            </w:tcBorders>
          </w:tcPr>
          <w:p>
            <w:pPr>
              <w:spacing w:after="0"/>
              <w:rPr>
                <w:sz w:val="3"/>
                <w:szCs w:val="3"/>
                <w:color w:val="auto"/>
              </w:rPr>
            </w:pPr>
          </w:p>
        </w:tc>
        <w:tc>
          <w:tcPr>
            <w:tcW w:w="30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33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Inflation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consolidated financial statements and related notes included elsewhere in this Form 10-Q have been prepared in accordance with GAAP. GAAP requires the measurement of financial position and operating results in terms of historical dollars, without considering changes in the relative value of money over time due to inflation or recession.</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asset and liability structure is substantially different from that of an industrial company in that virtually all assets and liabilities of the Company are monetary in nature. Management believes the impact of inflation on financial results depends upon the Company’s ability to react to changes in interest rates and by such reaction, reduce the inflationary impact on performance. Interest rates do not necessarily move in the same direction, or at the same magnitude, as the prices of other goods and services. However, other operating expenses do reflect general levels of inflation. Management seeks to manage the relationship between interest rate-sensitive assets and liabilities in order to protect against wide net interest income fluctuations, including those resulting from inflation. Various information shown elsewhere in this Report will assist in the understanding of how well the Company is positioned to react to changing interest rates and inflationary trends. In particular, additional information related to the Company’s interest rate-sensitive assets and liabilities is contained in this Item 2, “Management’s Discussion and Analysis of Financial Condition and Results of Operations” of this Report under the heading “Interest Rate Sensitivity and Market Risk.”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accounting and reporting policies conform to GAAP and the prevailing practices in the banking industry. However, we also evaluate our performance based on certain additional financial measures discussed in this Report as being non-GAAP financial measures. 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as in effect from time to time in the U.S. in our consolidated statements of comprehensive income (loss), balance sheets or statements of cash flows. Non-GAAP financial measures do not include operating and other statistical measures or ratios or statistical measures calculated using exclusively either financial measures calculated in accordance with GAAP, operating measures or other measures that are not non-GAAP financial measures or both.</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non-GAAP financial measures that we discuss in this Report should not be considered in isolation or as a substitute for the most directly comparable or other financial measures calculated in accordance with GAAP. Moreover, the manner in which we calculate the non-GAAP financial measures that we discuss in this Report may differ from that of other companies reporting measures with similar names. It is important to understand how other banking organizations calculate their financial measures with names similar to the non-GAAP financial measures we have discussed in this Report when comparing such non-GAAP financial measures.</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Tangible Book Value Per Common Share</w:t>
      </w:r>
      <w:r>
        <w:rPr>
          <w:rFonts w:ascii="Times New Roman" w:cs="Times New Roman" w:eastAsia="Times New Roman" w:hAnsi="Times New Roman"/>
          <w:sz w:val="18"/>
          <w:szCs w:val="18"/>
          <w:color w:val="auto"/>
        </w:rPr>
        <w:t>. Tangible book value per share is a non-GAAP measure generally used by investors, financial analysts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bankers to evaluate financial institutions. The most directly comparable GAAP financial measure for tangible book value per common share is book value per common share. We believe that the tangible book value per common share measure is important to many investors in the marketplace who are interested in changes from period to period in book value per common share exclusive of changes in intangible assets. Goodwill and other intangible assets have the effect of increasing total book value while not increasing our tangible book value.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Tangible Common Equity to Tangible Assets</w:t>
      </w:r>
      <w:r>
        <w:rPr>
          <w:rFonts w:ascii="Times New Roman" w:cs="Times New Roman" w:eastAsia="Times New Roman" w:hAnsi="Times New Roman"/>
          <w:sz w:val="18"/>
          <w:szCs w:val="18"/>
          <w:color w:val="auto"/>
        </w:rPr>
        <w:t>. Tangible common equity to tangible assets is a non-GAAP measure generally used by investors,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analysts and investment bankers to evaluate financial institutions. We calculate tangible common equity, as described above, and tangible assets as total assets less goodwill, core deposit intangibles and other intangible assets, net of accumulated amortization. The most directly comparable GAAP financial measure for tangible common equity to tangible assets is total common stockholders’ equity to total assets. We believe that this measure is important to many investors in the marketplace who are interested in the relative changes from period to period of tangible common equity to tangible assets, each exclusive of changes in intangible assets. Goodwill and other intangible assets have the effect of increasing both total stockholders’ equity and assets while not increasing our tangible common equity or tangible assets.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reconciles, as of the dates set forth below, total stockholders’ equity to tangible common equity and total assets to tangible assets and then presents book value per common share, tangible book value per common share, total stockholders’ equity to total assets, and tangible common equity to tangible assets: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00" w:type="dxa"/>
            <w:vAlign w:val="bottom"/>
          </w:tcPr>
          <w:p>
            <w:pPr>
              <w:spacing w:after="0"/>
              <w:rPr>
                <w:sz w:val="21"/>
                <w:szCs w:val="21"/>
                <w:color w:val="auto"/>
              </w:rPr>
            </w:pPr>
          </w:p>
        </w:tc>
        <w:tc>
          <w:tcPr>
            <w:tcW w:w="138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80" w:type="dxa"/>
            <w:vAlign w:val="bottom"/>
          </w:tcPr>
          <w:p>
            <w:pPr>
              <w:spacing w:after="0"/>
              <w:rPr>
                <w:sz w:val="21"/>
                <w:szCs w:val="21"/>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1"/>
                <w:szCs w:val="21"/>
                <w:color w:val="auto"/>
              </w:rPr>
            </w:pPr>
          </w:p>
        </w:tc>
      </w:tr>
      <w:tr>
        <w:trPr>
          <w:trHeight w:val="216"/>
        </w:trPr>
        <w:tc>
          <w:tcPr>
            <w:tcW w:w="86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(Dollars in</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16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454,074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438,949</w:t>
            </w:r>
          </w:p>
        </w:tc>
      </w:tr>
      <w:tr>
        <w:trPr>
          <w:trHeight w:val="223"/>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Less: Goodwill and other intangibles</w:t>
            </w:r>
          </w:p>
        </w:tc>
        <w:tc>
          <w:tcPr>
            <w:tcW w:w="180" w:type="dxa"/>
            <w:vAlign w:val="bottom"/>
          </w:tcPr>
          <w:p>
            <w:pPr>
              <w:spacing w:after="0"/>
              <w:rPr>
                <w:sz w:val="19"/>
                <w:szCs w:val="19"/>
                <w:color w:val="auto"/>
              </w:rPr>
            </w:pP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(20,732)</w:t>
            </w:r>
          </w:p>
        </w:tc>
        <w:tc>
          <w:tcPr>
            <w:tcW w:w="1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(21,035)</w:t>
            </w:r>
          </w:p>
        </w:tc>
      </w:tr>
      <w:tr>
        <w:trPr>
          <w:trHeight w:val="256"/>
        </w:trPr>
        <w:tc>
          <w:tcPr>
            <w:tcW w:w="8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Tangible common equity</w:t>
            </w: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433,342</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417,914</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10"/>
        </w:trPr>
        <w:tc>
          <w:tcPr>
            <w:tcW w:w="8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4,363,674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4,232,239</w:t>
            </w:r>
          </w:p>
        </w:tc>
      </w:tr>
      <w:tr>
        <w:trPr>
          <w:trHeight w:val="223"/>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Less: Goodwill and other intangibles</w:t>
            </w:r>
          </w:p>
        </w:tc>
        <w:tc>
          <w:tcPr>
            <w:tcW w:w="180" w:type="dxa"/>
            <w:vAlign w:val="bottom"/>
          </w:tcPr>
          <w:p>
            <w:pPr>
              <w:spacing w:after="0"/>
              <w:rPr>
                <w:sz w:val="19"/>
                <w:szCs w:val="19"/>
                <w:color w:val="auto"/>
              </w:rPr>
            </w:pP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(20,732)</w:t>
            </w:r>
          </w:p>
        </w:tc>
        <w:tc>
          <w:tcPr>
            <w:tcW w:w="1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(21,035)</w:t>
            </w:r>
          </w:p>
        </w:tc>
      </w:tr>
      <w:tr>
        <w:trPr>
          <w:trHeight w:val="256"/>
        </w:trPr>
        <w:tc>
          <w:tcPr>
            <w:tcW w:w="8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Tangible assets</w:t>
            </w: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4,342,942</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4,211,204</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09"/>
        </w:trPr>
        <w:tc>
          <w:tcPr>
            <w:tcW w:w="8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57"/>
        </w:trPr>
        <w:tc>
          <w:tcPr>
            <w:tcW w:w="8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outstanding</w:t>
            </w:r>
          </w:p>
        </w:tc>
        <w:tc>
          <w:tcPr>
            <w:tcW w:w="1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16,230,475</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16,455,826</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09"/>
        </w:trPr>
        <w:tc>
          <w:tcPr>
            <w:tcW w:w="8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equity to total assets</w:t>
            </w:r>
          </w:p>
        </w:tc>
        <w:tc>
          <w:tcPr>
            <w:tcW w:w="1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10.41%</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10.37%</w:t>
            </w:r>
          </w:p>
        </w:tc>
      </w:tr>
      <w:tr>
        <w:trPr>
          <w:trHeight w:val="21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Tangible common equity to tangible assets</w:t>
            </w:r>
          </w:p>
        </w:tc>
        <w:tc>
          <w:tcPr>
            <w:tcW w:w="180" w:type="dxa"/>
            <w:vAlign w:val="bottom"/>
          </w:tcPr>
          <w:p>
            <w:pPr>
              <w:spacing w:after="0"/>
              <w:rPr>
                <w:sz w:val="18"/>
                <w:szCs w:val="18"/>
                <w:color w:val="auto"/>
              </w:rPr>
            </w:pP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9.98%</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9.92%</w:t>
            </w: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Book value per share</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26.67</w:t>
            </w:r>
          </w:p>
        </w:tc>
      </w:tr>
      <w:tr>
        <w:trPr>
          <w:trHeight w:val="234"/>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Tangible book value per share</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25.40</w:t>
            </w:r>
          </w:p>
        </w:tc>
      </w:tr>
    </w:tbl>
    <w:p>
      <w:pPr>
        <w:spacing w:after="0" w:line="200" w:lineRule="exact"/>
        <w:rPr>
          <w:sz w:val="20"/>
          <w:szCs w:val="20"/>
          <w:color w:val="auto"/>
        </w:rPr>
      </w:pPr>
    </w:p>
    <w:p>
      <w:pPr>
        <w:sectPr>
          <w:pgSz w:w="11900" w:h="16838" w:orient="portrait"/>
          <w:cols w:equalWidth="0" w:num="1">
            <w:col w:w="11240"/>
          </w:cols>
          <w:pgMar w:left="320" w:top="116" w:right="339" w:bottom="552"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552"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accounting and reporting policies conform to GAAP and conform to general practices within the industry in which we operate. To prepare consolidated financial statements in conformity with GAAP, management makes estimates, assumptions and judgments based on available information. These estimates, assumptions and judgments affect the amounts reported in the consolidated financial statements and accompanying notes. These estimates, assumptions and judgments are based on information available as of the date of the consolidated financial statements and, as this information changes, actual results could differ from the estimates, assumptions and judgments reflected in the consolidated financial statements. In particular, management has identified several accounting policies that, due to the estimates, assumptions and judgments inherent in those policies, are critical in understanding our consolidated financial statements. We evaluate our estimates on an ongoing basis.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is a discussion of the critical accounting policies and significant estimates that we believe require us to make the most complex or subjective decisions or assessments. Additional information about these policies can be found in Note 1 of the Company’s consolidated financial statements as of December 31, 2024.</w:t>
      </w:r>
    </w:p>
    <w:p>
      <w:pPr>
        <w:spacing w:after="0" w:line="1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Allowance for Credit Losses. </w:t>
      </w:r>
      <w:r>
        <w:rPr>
          <w:rFonts w:ascii="Times New Roman" w:cs="Times New Roman" w:eastAsia="Times New Roman" w:hAnsi="Times New Roman"/>
          <w:sz w:val="18"/>
          <w:szCs w:val="18"/>
          <w:color w:val="auto"/>
        </w:rPr>
        <w:t>The allowance for credit losses includes credit losses on loans as well as the off-balance-sheet credit exposure, which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reported as a component of other liabilities on our consolidated balance sheets. The ACL for loans is established for future expected credit losses through a provision for credit losses charged to earnings. Expected losses are calculated using comparable and quantifiable information both internal and external about past events, including historical experience, current conditions, and reasonable and supportable forecasts that affect the collectability of the reported amount. Expected credit losses are estimated over the contractual term of the loans and adjusted for expected prepayments when appropriate. The ACL for loans is affected by charge-offs, recoveries and the provision for credit losses on loans.</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ACL for loans is evaluated on a quarterly basis by management and is based upon management’s review of the collectability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 The determination of the adequacy of the ACL for loans is based on estimates that are particularly susceptible to significant changes in the economic environment and market conditions. Loan losses are charged against the allowance when management believes the uncollectibility of a loan balance is confirmed.</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Mortgage Servicing Rights. </w:t>
      </w:r>
      <w:r>
        <w:rPr>
          <w:rFonts w:ascii="Times New Roman" w:cs="Times New Roman" w:eastAsia="Times New Roman" w:hAnsi="Times New Roman"/>
          <w:sz w:val="18"/>
          <w:szCs w:val="18"/>
          <w:color w:val="auto"/>
        </w:rPr>
        <w:t>When mortgage loans are sold with servicing retained, servicing rights are initially recorded at fair value with the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of comprehensive income (loss) effect recorded in net gain on sale of loans. Fair value is based on market prices for comparable mortgage servicing contracts, when available, or alternatively, is based on a valuation model administered by a third-party that calculates present value of estimated future servicing income. The fair values of servicing rights are subject to significant fluctuations in valuation model assumptions as a result of changes in estimated and actual prepayment speeds and default rates and losses. Estimating prepayment speed and/or discount rates within ranges that market participants would use in determining the fair value of the MSR requires significant management judgment.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1, Summary of Significant Accounting Policies, in the notes to the consolidated financial statements included elsewhere in this Form 10-Q regarding the impact of new accounting pronouncements.</w:t>
      </w:r>
    </w:p>
    <w:p>
      <w:pPr>
        <w:spacing w:after="0" w:line="158"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 about Market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manages market risk, which, as a financial institution is primarily interest rate volatility, through the ALCO Committee of the Bank, in accordance with policies approved by its board of directors. The Company uses an interest rate risk simulation model and shock analysis to test the interest rate sensitivity of net interest income and fair value of equity, and the impact of changes in interest rates on other financial metrics. See “Management’s Discussion and Analysis of Financial Condition and Results of Operations—Interest Rate Sensitivity and Market Risk” herein for a discussion of how we manage market risk.</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Form 10-Q, the Company carried out an evaluation, under the supervision and with the participation of its management, including its Chief Executive Officer and Chief Financial Officer, of the effectiveness of the design and operation of its disclosure controls and procedures. In designing and evaluating the disclosure controls and procedures, management recognizes that any controls and procedures, no matter how well designed and operated, can provide only reasonable assurance of achieving the desired control objectives, and management was required to apply judgment in evaluating its controls and procedures. Based on this evaluation, the Company’s Chief Executive Officer and Chief Financial Officer concluded that the Company’s disclosure controls and procedures (as defined in Rules 13a-15(e) and 15d-15(e) under the Securities Exchange Act of 1934, as amended, or the Exchange Act) were effective as of the end of the period covered by this Form 10-Q.</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Internal Control over Financial Reporting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such term is defined in Rules 13a-15(f) and 15d-15(f) under the Exchange Act) that occurred during the three months ended June 30, 2025 that have materially affected, or are reasonably likely to materially affect, the Company’s internal control over financial reporting.</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and its subsidiaries are subject to various legal actions, as described in our Annual Report on Form 10-K for the year ended December 31, 2024 (the “2024 Annual Report on Form 10-K”) filed with the SEC on March 7, 2025. Except as described in our 2024 Annual Report on Form 10-K, we are not presently involved in any other litigation, nor to our knowledge is any litigation threatened against us, that in management’s opinion would result in any material adverse effect on our financial position or results of operations or that is not expected to be covered by insurance.</w:t>
      </w:r>
    </w:p>
    <w:p>
      <w:pPr>
        <w:spacing w:after="0" w:line="176"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evaluating an investment in any of our securities, investors should consider carefully, among other things, information under the heading “Cautionary Notice Regarding Forward-Looking Statements” in Part I, Item 2, “Management’s Discussion and Analysis of Financial Condition and Results of Operations,” of this Form 10-Q and the risk factors previously disclosed under the heading “Risk Factors” in Part I, Item 1A of our 2024 Annual Report on Form 10-K. Management believes there have been no material changes in the risk factors disclosed by the Company in Part I, Item 1A, “Risk Factors,” of the 2024 Annual Report on Form 10-K. Additional risks and uncertainties not currently known to us or that we currently deem to be immaterial also may materially adversely affect our business, financial condition and/or operating results.</w:t>
      </w:r>
    </w:p>
    <w:p>
      <w:pPr>
        <w:spacing w:after="0" w:line="183"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 Purchases of Equity Securities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21, 2025, the Company’s board of directors approved a stock repurchase program pursuant to which the Company may, from time to time, purchase up to $15.0 million of its outstanding shares of common stock (the “Program”). The shares can be repurchased from time to time through various means, including open market purchases and privately negotiated transactions. Open market repurchases under the Program will be conducted in accordance with the limitations set forth in Rule 10b-18 promulgated under the Securities Exchange Act of 1934, as amended (the “Exchange Act”), and other applicable legal requirements. Repurchases under the Program may also be made pursuant to a trading plan under Rule 10b5-1 under the Exchange Act, which would permit shares to be repurchased by the Company when the Company might otherwise be precluded from doing so because of self-imposed trading blackout periods or other regulatory restrictions. The extent to which the Company repurchases its shares, and the manner, timing and amount of such repurchases, will depend upon a variety of factors, including the performance of the Company’s stock price, general market and economic conditions, regulatory requirements, availability of funds, and other relevant considerations, as determined by the Company. The Company may, in its discretion, begin, suspend or terminate repurchases at any time prior to the Program’s expiration, without any prior notice. The Program does not obligate the Company to repurchase any particular number or amount of shares of the Company’s common stock and there is no guarantee as to the exact number or value of shares that will be repurchased by the Company under the Program.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share repurchase activity for the three months ended June 30,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Maximum Dollar Amount</w:t>
            </w:r>
          </w:p>
        </w:tc>
      </w:tr>
      <w:tr>
        <w:trPr>
          <w:trHeight w:val="216"/>
        </w:trPr>
        <w:tc>
          <w:tcPr>
            <w:tcW w:w="10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Total Dollar Amount</w:t>
            </w:r>
          </w:p>
        </w:tc>
        <w:tc>
          <w:tcPr>
            <w:tcW w:w="80" w:type="dxa"/>
            <w:vAlign w:val="bottom"/>
          </w:tcPr>
          <w:p>
            <w:pPr>
              <w:spacing w:after="0"/>
              <w:rPr>
                <w:sz w:val="18"/>
                <w:szCs w:val="18"/>
                <w:color w:val="auto"/>
              </w:rPr>
            </w:pPr>
          </w:p>
        </w:tc>
        <w:tc>
          <w:tcPr>
            <w:tcW w:w="21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Remaining Available for</w:t>
            </w:r>
          </w:p>
        </w:tc>
      </w:tr>
      <w:tr>
        <w:trPr>
          <w:trHeight w:val="216"/>
        </w:trPr>
        <w:tc>
          <w:tcPr>
            <w:tcW w:w="10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Total Shares</w:t>
            </w:r>
          </w:p>
        </w:tc>
        <w:tc>
          <w:tcPr>
            <w:tcW w:w="12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Purchased Pursuant to</w:t>
            </w:r>
          </w:p>
        </w:tc>
        <w:tc>
          <w:tcPr>
            <w:tcW w:w="80" w:type="dxa"/>
            <w:vAlign w:val="bottom"/>
          </w:tcPr>
          <w:p>
            <w:pPr>
              <w:spacing w:after="0"/>
              <w:rPr>
                <w:sz w:val="18"/>
                <w:szCs w:val="18"/>
                <w:color w:val="auto"/>
              </w:rPr>
            </w:pPr>
          </w:p>
        </w:tc>
        <w:tc>
          <w:tcPr>
            <w:tcW w:w="21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Repurchase Pursuant to</w:t>
            </w:r>
          </w:p>
        </w:tc>
      </w:tr>
      <w:tr>
        <w:trPr>
          <w:trHeight w:val="245"/>
        </w:trPr>
        <w:tc>
          <w:tcPr>
            <w:tcW w:w="100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Repurchased</w:t>
            </w: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222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Publicly-Announced Plans</w:t>
            </w:r>
          </w:p>
        </w:tc>
        <w:tc>
          <w:tcPr>
            <w:tcW w:w="22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Publicly-Announced Plans</w:t>
            </w: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April 2025</w:t>
            </w:r>
          </w:p>
        </w:tc>
        <w:tc>
          <w:tcPr>
            <w:tcW w:w="330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9,046</w:t>
            </w:r>
          </w:p>
        </w:tc>
        <w:tc>
          <w:tcPr>
            <w:tcW w:w="1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275,584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6,474,416</w:t>
            </w:r>
          </w:p>
        </w:tc>
        <w:tc>
          <w:tcPr>
            <w:tcW w:w="100" w:type="dxa"/>
            <w:vAlign w:val="bottom"/>
            <w:shd w:val="clear" w:color="auto" w:fill="CCEEFF"/>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May 2025</w:t>
            </w:r>
          </w:p>
        </w:tc>
        <w:tc>
          <w:tcPr>
            <w:tcW w:w="3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6,474,416</w:t>
            </w: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June 2025</w:t>
            </w:r>
          </w:p>
        </w:tc>
        <w:tc>
          <w:tcPr>
            <w:tcW w:w="3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6,474,416</w:t>
            </w:r>
          </w:p>
        </w:tc>
      </w:tr>
      <w:tr>
        <w:trPr>
          <w:trHeight w:val="27"/>
        </w:trPr>
        <w:tc>
          <w:tcPr>
            <w:tcW w:w="1000" w:type="dxa"/>
            <w:vAlign w:val="bottom"/>
            <w:shd w:val="clear" w:color="auto" w:fill="CCEEFF"/>
          </w:tcPr>
          <w:p>
            <w:pPr>
              <w:spacing w:after="0"/>
              <w:rPr>
                <w:sz w:val="2"/>
                <w:szCs w:val="2"/>
                <w:color w:val="auto"/>
              </w:rPr>
            </w:pPr>
          </w:p>
        </w:tc>
        <w:tc>
          <w:tcPr>
            <w:tcW w:w="330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9,046</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5"/>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4560" w:type="dxa"/>
            <w:vAlign w:val="bottom"/>
            <w:gridSpan w:val="3"/>
          </w:tcPr>
          <w:p>
            <w:pPr>
              <w:jc w:val="right"/>
              <w:ind w:right="1960"/>
              <w:spacing w:after="0"/>
              <w:rPr>
                <w:sz w:val="20"/>
                <w:szCs w:val="20"/>
                <w:color w:val="auto"/>
              </w:rPr>
            </w:pPr>
            <w:r>
              <w:rPr>
                <w:rFonts w:ascii="Times New Roman" w:cs="Times New Roman" w:eastAsia="Times New Roman" w:hAnsi="Times New Roman"/>
                <w:sz w:val="18"/>
                <w:szCs w:val="18"/>
                <w:b w:val="1"/>
                <w:bCs w:val="1"/>
                <w:color w:val="auto"/>
              </w:rPr>
              <w:t>Defaults upon Senior Securities</w:t>
            </w: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quarter ended June 30, 2025, no director or officer of the Company adopted, modified, or terminated a “Rule 10b5-1 trading arrangement” or a “non-Rule 10b5-1 trading arrangement,” as each term is defined in Item 408 of Regulation S-K.</w:t>
      </w:r>
    </w:p>
    <w:p>
      <w:pPr>
        <w:sectPr>
          <w:pgSz w:w="11900" w:h="16838" w:orient="portrait"/>
          <w:cols w:equalWidth="0" w:num="1">
            <w:col w:w="11240"/>
          </w:cols>
          <w:pgMar w:left="320" w:top="116" w:right="339" w:bottom="1440"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56" w:name="page57"/>
    <w:bookmarkEnd w:id="56"/>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980" w:type="dxa"/>
            <w:vAlign w:val="bottom"/>
          </w:tcPr>
          <w:p>
            <w:pPr>
              <w:spacing w:after="0"/>
              <w:rPr>
                <w:sz w:val="13"/>
                <w:szCs w:val="13"/>
                <w:color w:val="auto"/>
              </w:rPr>
            </w:pPr>
          </w:p>
        </w:tc>
      </w:tr>
      <w:tr>
        <w:trPr>
          <w:trHeight w:val="385"/>
        </w:trPr>
        <w:tc>
          <w:tcPr>
            <w:tcW w:w="6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56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10"/>
        </w:trPr>
        <w:tc>
          <w:tcPr>
            <w:tcW w:w="240" w:type="dxa"/>
            <w:vAlign w:val="bottom"/>
          </w:tcPr>
          <w:p>
            <w:pPr>
              <w:spacing w:after="0"/>
              <w:rPr>
                <w:sz w:val="24"/>
                <w:szCs w:val="24"/>
                <w:color w:val="auto"/>
              </w:rPr>
            </w:pPr>
          </w:p>
        </w:tc>
        <w:tc>
          <w:tcPr>
            <w:tcW w:w="86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60" w:type="dxa"/>
            <w:vAlign w:val="bottom"/>
          </w:tcPr>
          <w:p>
            <w:pPr>
              <w:spacing w:after="0"/>
              <w:rPr>
                <w:sz w:val="24"/>
                <w:szCs w:val="24"/>
                <w:color w:val="auto"/>
              </w:rPr>
            </w:pPr>
          </w:p>
        </w:tc>
        <w:tc>
          <w:tcPr>
            <w:tcW w:w="9980" w:type="dxa"/>
            <w:vAlign w:val="bottom"/>
          </w:tcPr>
          <w:p>
            <w:pPr>
              <w:spacing w:after="0"/>
              <w:rPr>
                <w:sz w:val="24"/>
                <w:szCs w:val="24"/>
                <w:color w:val="auto"/>
              </w:rPr>
            </w:pPr>
          </w:p>
        </w:tc>
      </w:tr>
      <w:tr>
        <w:trPr>
          <w:trHeight w:val="245"/>
        </w:trPr>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Borders>
              <w:bottom w:val="single" w:sz="8" w:color="CCEEFF"/>
            </w:tcBorders>
          </w:tcPr>
          <w:p>
            <w:pPr>
              <w:spacing w:after="0"/>
              <w:rPr>
                <w:sz w:val="21"/>
                <w:szCs w:val="21"/>
                <w:color w:val="auto"/>
              </w:rPr>
            </w:pPr>
          </w:p>
        </w:tc>
        <w:tc>
          <w:tcPr>
            <w:tcW w:w="9980" w:type="dxa"/>
            <w:vAlign w:val="bottom"/>
            <w:tcBorders>
              <w:bottom w:val="single" w:sz="8" w:color="auto"/>
            </w:tcBorders>
          </w:tcPr>
          <w:p>
            <w:pPr>
              <w:ind w:left="45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42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hyperlink>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Amended and Restated Certificate of Formation of South Plains Financial, Inc. (incorporated by reference to Exhibit 3.1 to the</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140" w:type="dxa"/>
            <w:vAlign w:val="bottom"/>
            <w:tcBorders>
              <w:top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Company’s Registration Statement on Form S-1 filed with the SEC on April 12, 2019) (File No. 333-230851).</w:t>
            </w:r>
          </w:p>
        </w:tc>
      </w:tr>
      <w:tr>
        <w:trPr>
          <w:trHeight w:val="216"/>
        </w:trPr>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80" w:type="dxa"/>
            <w:vAlign w:val="bottom"/>
          </w:tcPr>
          <w:p>
            <w:pPr>
              <w:spacing w:after="0"/>
              <w:rPr>
                <w:sz w:val="18"/>
                <w:szCs w:val="18"/>
                <w:color w:val="auto"/>
              </w:rPr>
            </w:pPr>
          </w:p>
        </w:tc>
      </w:tr>
      <w:tr>
        <w:trPr>
          <w:trHeight w:val="176"/>
        </w:trPr>
        <w:tc>
          <w:tcPr>
            <w:tcW w:w="42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w:t>
              </w:r>
            </w:hyperlink>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14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Second Amended and Restated Bylaws of South Plains Financial, Inc. (incorporated by reference to Exhibit 3.1 to the Company’s Current</w:t>
            </w: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140" w:type="dxa"/>
            <w:vAlign w:val="bottom"/>
            <w:tcBorders>
              <w:top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Report on Form 8-K filed with the SEC on November 1, 2021) (File No. 001-38895).</w:t>
            </w:r>
          </w:p>
        </w:tc>
      </w:tr>
      <w:tr>
        <w:trPr>
          <w:trHeight w:val="216"/>
        </w:trPr>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80" w:type="dxa"/>
            <w:vAlign w:val="bottom"/>
          </w:tcPr>
          <w:p>
            <w:pPr>
              <w:spacing w:after="0"/>
              <w:rPr>
                <w:sz w:val="18"/>
                <w:szCs w:val="18"/>
                <w:color w:val="auto"/>
              </w:rPr>
            </w:pPr>
          </w:p>
        </w:tc>
      </w:tr>
      <w:tr>
        <w:trPr>
          <w:trHeight w:val="196"/>
        </w:trPr>
        <w:tc>
          <w:tcPr>
            <w:tcW w:w="5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14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Certification by Chief Executive Officer pursuant to Rule 13a-14(a) under the Securities Exchange Act of 1934, as amended.</w:t>
            </w:r>
          </w:p>
        </w:tc>
      </w:tr>
      <w:tr>
        <w:trPr>
          <w:trHeight w:val="216"/>
        </w:trPr>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980" w:type="dxa"/>
            <w:vAlign w:val="bottom"/>
            <w:tcBorders>
              <w:top w:val="single" w:sz="8" w:color="CCEEFF"/>
            </w:tcBorders>
          </w:tcPr>
          <w:p>
            <w:pPr>
              <w:spacing w:after="0"/>
              <w:rPr>
                <w:sz w:val="18"/>
                <w:szCs w:val="18"/>
                <w:color w:val="auto"/>
              </w:rPr>
            </w:pPr>
          </w:p>
        </w:tc>
      </w:tr>
      <w:tr>
        <w:trPr>
          <w:trHeight w:val="196"/>
        </w:trPr>
        <w:tc>
          <w:tcPr>
            <w:tcW w:w="5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14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Certification by Chief Financial Officer pursuant to Rule 13a-14(a) under the Securities Exchange Act of 1934, as amended.</w:t>
            </w:r>
          </w:p>
        </w:tc>
      </w:tr>
      <w:tr>
        <w:trPr>
          <w:trHeight w:val="216"/>
        </w:trPr>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980" w:type="dxa"/>
            <w:vAlign w:val="bottom"/>
            <w:tcBorders>
              <w:top w:val="single" w:sz="8" w:color="CCEEFF"/>
            </w:tcBorders>
          </w:tcPr>
          <w:p>
            <w:pPr>
              <w:spacing w:after="0"/>
              <w:rPr>
                <w:sz w:val="18"/>
                <w:szCs w:val="18"/>
                <w:color w:val="auto"/>
              </w:rPr>
            </w:pPr>
          </w:p>
        </w:tc>
      </w:tr>
      <w:tr>
        <w:trPr>
          <w:trHeight w:val="196"/>
        </w:trPr>
        <w:tc>
          <w:tcPr>
            <w:tcW w:w="6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14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Section 1350 Certification of Chief Executive Officer.</w:t>
            </w:r>
          </w:p>
        </w:tc>
      </w:tr>
      <w:tr>
        <w:trPr>
          <w:trHeight w:val="216"/>
        </w:trPr>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980" w:type="dxa"/>
            <w:vAlign w:val="bottom"/>
            <w:tcBorders>
              <w:top w:val="single" w:sz="8" w:color="CCEEFF"/>
            </w:tcBorders>
          </w:tcPr>
          <w:p>
            <w:pPr>
              <w:spacing w:after="0"/>
              <w:rPr>
                <w:sz w:val="18"/>
                <w:szCs w:val="18"/>
                <w:color w:val="auto"/>
              </w:rPr>
            </w:pPr>
          </w:p>
        </w:tc>
      </w:tr>
      <w:tr>
        <w:trPr>
          <w:trHeight w:val="196"/>
        </w:trPr>
        <w:tc>
          <w:tcPr>
            <w:tcW w:w="6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14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Section 1350 Certification of Chief Financial Officer.</w:t>
            </w:r>
          </w:p>
        </w:tc>
      </w:tr>
      <w:tr>
        <w:trPr>
          <w:trHeight w:val="216"/>
        </w:trPr>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980" w:type="dxa"/>
            <w:vAlign w:val="bottom"/>
            <w:tcBorders>
              <w:top w:val="single" w:sz="8" w:color="CCEEFF"/>
            </w:tcBorders>
          </w:tcPr>
          <w:p>
            <w:pPr>
              <w:spacing w:after="0"/>
              <w:rPr>
                <w:sz w:val="18"/>
                <w:szCs w:val="18"/>
                <w:color w:val="auto"/>
              </w:rPr>
            </w:pPr>
          </w:p>
        </w:tc>
      </w:tr>
      <w:tr>
        <w:trPr>
          <w:trHeight w:val="198"/>
        </w:trPr>
        <w:tc>
          <w:tcPr>
            <w:tcW w:w="4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140" w:type="dxa"/>
            <w:vAlign w:val="bottom"/>
            <w:gridSpan w:val="2"/>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The following material from South Plains Financial, Inc.’s Form 10-Q for the quarter ended June 30, 2025, formatted in XBRL</w:t>
            </w:r>
          </w:p>
        </w:tc>
      </w:tr>
      <w:tr>
        <w:trPr>
          <w:trHeight w:val="216"/>
        </w:trPr>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(eXtensible  Business  Reporting  Language),  filed  herewith:  (i)  Consolidated  Balance  Sheets,  (ii)  Consolidated  Statements  of</w:t>
            </w:r>
          </w:p>
        </w:tc>
      </w:tr>
      <w:tr>
        <w:trPr>
          <w:trHeight w:val="216"/>
        </w:trPr>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Comprehensive Income, (iii) Consolidated Statements of Changes in Stockholders’ Equity, (iv) Consolidated Statements of Cash Flows,</w:t>
            </w:r>
          </w:p>
        </w:tc>
      </w:tr>
      <w:tr>
        <w:trPr>
          <w:trHeight w:val="234"/>
        </w:trPr>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 (v) Notes to Unaudited Consolidated Financial Statements.</w:t>
            </w:r>
          </w:p>
        </w:tc>
      </w:tr>
      <w:tr>
        <w:trPr>
          <w:trHeight w:val="216"/>
        </w:trPr>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980" w:type="dxa"/>
            <w:vAlign w:val="bottom"/>
          </w:tcPr>
          <w:p>
            <w:pPr>
              <w:spacing w:after="0"/>
              <w:rPr>
                <w:sz w:val="18"/>
                <w:szCs w:val="18"/>
                <w:color w:val="auto"/>
              </w:rPr>
            </w:pPr>
          </w:p>
        </w:tc>
      </w:tr>
      <w:tr>
        <w:trPr>
          <w:trHeight w:val="216"/>
        </w:trPr>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bl>
    <w:p>
      <w:pPr>
        <w:spacing w:after="0" w:line="198"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Filed with this Form 10-Q</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222222"/>
        </w:rPr>
        <w:t>**</w:t>
      </w:r>
      <w:r>
        <w:rPr>
          <w:sz w:val="20"/>
          <w:szCs w:val="20"/>
          <w:color w:val="auto"/>
        </w:rPr>
        <w:tab/>
      </w:r>
      <w:r>
        <w:rPr>
          <w:rFonts w:ascii="Times New Roman" w:cs="Times New Roman" w:eastAsia="Times New Roman" w:hAnsi="Times New Roman"/>
          <w:sz w:val="17"/>
          <w:szCs w:val="17"/>
          <w:color w:val="222222"/>
        </w:rPr>
        <w:t>Furnished with this Form 10-Q</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South Plains Financial, Inc.</w:t>
      </w:r>
    </w:p>
    <w:p>
      <w:pPr>
        <w:spacing w:after="0" w:line="229" w:lineRule="exact"/>
        <w:rPr>
          <w:sz w:val="20"/>
          <w:szCs w:val="20"/>
          <w:color w:val="auto"/>
        </w:rPr>
      </w:pPr>
    </w:p>
    <w:p>
      <w:pPr>
        <w:spacing w:after="0"/>
        <w:tabs>
          <w:tab w:leader="none" w:pos="560" w:val="left"/>
          <w:tab w:leader="none" w:pos="5620" w:val="left"/>
          <w:tab w:leader="none" w:pos="7860" w:val="left"/>
        </w:tabs>
        <w:rPr>
          <w:sz w:val="20"/>
          <w:szCs w:val="20"/>
          <w:color w:val="auto"/>
        </w:rPr>
      </w:pPr>
      <w:r>
        <w:rPr>
          <w:rFonts w:ascii="Times New Roman" w:cs="Times New Roman" w:eastAsia="Times New Roman" w:hAnsi="Times New Roman"/>
          <w:sz w:val="18"/>
          <w:szCs w:val="18"/>
          <w:color w:val="auto"/>
        </w:rPr>
        <w:t>Date:</w:t>
        <w:tab/>
        <w:t>August 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1"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Curtis C. Griffith</w:t>
      </w:r>
    </w:p>
    <w:p>
      <w:pPr>
        <w:spacing w:after="0" w:line="23"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7" w:lineRule="exact"/>
        <w:rPr>
          <w:sz w:val="20"/>
          <w:szCs w:val="20"/>
          <w:color w:val="auto"/>
        </w:rPr>
      </w:pPr>
    </w:p>
    <w:p>
      <w:pPr>
        <w:spacing w:after="0"/>
        <w:tabs>
          <w:tab w:leader="none" w:pos="560" w:val="left"/>
          <w:tab w:leader="none" w:pos="5620" w:val="left"/>
          <w:tab w:leader="none" w:pos="7800" w:val="left"/>
        </w:tabs>
        <w:rPr>
          <w:sz w:val="20"/>
          <w:szCs w:val="20"/>
          <w:color w:val="auto"/>
        </w:rPr>
      </w:pPr>
      <w:r>
        <w:rPr>
          <w:rFonts w:ascii="Times New Roman" w:cs="Times New Roman" w:eastAsia="Times New Roman" w:hAnsi="Times New Roman"/>
          <w:sz w:val="18"/>
          <w:szCs w:val="18"/>
          <w:color w:val="auto"/>
        </w:rPr>
        <w:t>Date:</w:t>
        <w:tab/>
        <w:t>August 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1"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Steven B. Crockett</w:t>
      </w:r>
    </w:p>
    <w:p>
      <w:pPr>
        <w:spacing w:after="0" w:line="23"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Curtis C. Griffith, certify that:</w:t>
      </w:r>
    </w:p>
    <w:p>
      <w:pPr>
        <w:spacing w:after="0" w:line="225" w:lineRule="exact"/>
        <w:rPr>
          <w:sz w:val="20"/>
          <w:szCs w:val="20"/>
          <w:color w:val="auto"/>
        </w:rPr>
      </w:pPr>
    </w:p>
    <w:p>
      <w:pPr>
        <w:ind w:left="34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South Plains Financial, Inc. (the “registrant”) for the quarter ended June 30, 2025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060" w:val="left"/>
          <w:tab w:leader="none" w:pos="7680" w:val="left"/>
        </w:tabs>
        <w:rPr>
          <w:sz w:val="20"/>
          <w:szCs w:val="20"/>
          <w:color w:val="auto"/>
        </w:rPr>
      </w:pPr>
      <w:r>
        <w:rPr>
          <w:rFonts w:ascii="Times New Roman" w:cs="Times New Roman" w:eastAsia="Times New Roman" w:hAnsi="Times New Roman"/>
          <w:sz w:val="18"/>
          <w:szCs w:val="18"/>
          <w:color w:val="auto"/>
        </w:rPr>
        <w:t>Date: August 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Curtis C. Griffith</w:t>
      </w:r>
    </w:p>
    <w:p>
      <w:pPr>
        <w:spacing w:after="0" w:line="2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B. Crockett, certify that:</w:t>
      </w:r>
    </w:p>
    <w:p>
      <w:pPr>
        <w:spacing w:after="0" w:line="225" w:lineRule="exact"/>
        <w:rPr>
          <w:sz w:val="20"/>
          <w:szCs w:val="20"/>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South Plains Financial, Inc. (the “registrant”) for the quarter ended June 30, 2025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620" w:val="left"/>
          <w:tab w:leader="none" w:pos="7900" w:val="left"/>
        </w:tabs>
        <w:rPr>
          <w:sz w:val="20"/>
          <w:szCs w:val="20"/>
          <w:color w:val="auto"/>
        </w:rPr>
      </w:pPr>
      <w:r>
        <w:rPr>
          <w:rFonts w:ascii="Times New Roman" w:cs="Times New Roman" w:eastAsia="Times New Roman" w:hAnsi="Times New Roman"/>
          <w:sz w:val="18"/>
          <w:szCs w:val="18"/>
          <w:color w:val="auto"/>
        </w:rPr>
        <w:t>Date: August 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Steven B. Crockett</w:t>
      </w:r>
    </w:p>
    <w:p>
      <w:pPr>
        <w:spacing w:after="0" w:line="27"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South Plains Financial, Inc. (the “Company”) for the quarter ended June 30, 2025 (the “Report”), as filed with the Securities and Exchange Commission on the date hereof, I certify, pursuant to 18 U.S.C. § 1350, as adopted pursuant to § 906 of the Sarbanes-Oxley Act of 2002, that to the best of my knowledge:</w:t>
      </w:r>
    </w:p>
    <w:p>
      <w:pPr>
        <w:spacing w:after="0" w:line="176"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5620" w:val="left"/>
          <w:tab w:leader="none" w:pos="7960" w:val="left"/>
        </w:tabs>
        <w:rPr>
          <w:sz w:val="20"/>
          <w:szCs w:val="20"/>
          <w:color w:val="auto"/>
        </w:rPr>
      </w:pPr>
      <w:r>
        <w:rPr>
          <w:rFonts w:ascii="Times New Roman" w:cs="Times New Roman" w:eastAsia="Times New Roman" w:hAnsi="Times New Roman"/>
          <w:sz w:val="18"/>
          <w:szCs w:val="18"/>
          <w:color w:val="auto"/>
        </w:rPr>
        <w:t>Date: August 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Curtis C. Griffith</w:t>
      </w:r>
    </w:p>
    <w:p>
      <w:pPr>
        <w:spacing w:after="0" w:line="27"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South Plains Financial, Inc. (the “Company”) for the quarter ended June 30, 2025 (the “Report”), as filed with the Securities and Exchange Commission on the date hereof, I certify, pursuant to 18 U.S.C. § 1350, as adopted pursuant to § 906 of the Sarbanes-Oxley Act of 2002, that to the best of my knowledge:</w:t>
      </w:r>
    </w:p>
    <w:p>
      <w:pPr>
        <w:spacing w:after="0" w:line="176"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5620" w:val="left"/>
          <w:tab w:leader="none" w:pos="7900" w:val="left"/>
        </w:tabs>
        <w:rPr>
          <w:sz w:val="20"/>
          <w:szCs w:val="20"/>
          <w:color w:val="auto"/>
        </w:rPr>
      </w:pPr>
      <w:r>
        <w:rPr>
          <w:rFonts w:ascii="Times New Roman" w:cs="Times New Roman" w:eastAsia="Times New Roman" w:hAnsi="Times New Roman"/>
          <w:sz w:val="18"/>
          <w:szCs w:val="18"/>
          <w:color w:val="auto"/>
        </w:rPr>
        <w:t>Date: August 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Steven B. Crockett</w:t>
      </w:r>
    </w:p>
    <w:p>
      <w:pPr>
        <w:spacing w:after="0" w:line="27"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57" Type="http://schemas.openxmlformats.org/officeDocument/2006/relationships/hyperlink" Target="https://www.sec.gov/Archives/edgar/data/1163668/000114036119007042/s002614x4_ex3-1.htm" TargetMode="External"/><Relationship Id="rId58" Type="http://schemas.openxmlformats.org/officeDocument/2006/relationships/hyperlink" Target="https://www.sec.gov/Archives/edgar/data/1163668/000114036121036078/brhc10030259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2025-08-05T15:36:32Z</dcterms:created>
  <dcterms:modified xsi:type="dcterms:W3CDTF">2025-08-05T15:36:32Z</dcterms:modified>
</cp:coreProperties>
</file>