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193040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83820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January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213360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South Plains Financial, Inc.</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201930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001-38895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35" w:right="339" w:bottom="1440" w:gutter="0" w:footer="0" w:header="0"/>
          <w:type w:val="continuous"/>
        </w:sectPr>
      </w:pPr>
    </w:p>
    <w:p>
      <w:pPr>
        <w:spacing w:after="0" w:line="18"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980" w:space="720"/>
            <w:col w:w="25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243205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20, 2022, South Plains Financial, Inc. issued a press release announcing the declaration of a quarterly cash dividend of $0.11 per share on its outstanding common stock. The dividend will be paid on February 14, 2022 to shareholders of record as of the close of business on January 31, 2022. A copy of the press release is attached hereto as Exhibit 99.1 and is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000" w:hanging="66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tabs>
          <w:tab w:leader="none" w:pos="9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January 20, 2022, announcing South Plains Financial, Inc. quarterly cash dividend.</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January 20, 2022</w:t>
      </w:r>
      <w:r>
        <w:rPr>
          <w:sz w:val="20"/>
          <w:szCs w:val="20"/>
          <w:color w:val="auto"/>
        </w:rPr>
        <w:tab/>
      </w:r>
      <w:r>
        <w:rPr>
          <w:rFonts w:ascii="Arial" w:cs="Arial" w:eastAsia="Arial" w:hAnsi="Arial"/>
          <w:sz w:val="16"/>
          <w:szCs w:val="16"/>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Announces $0.02 Increase to Quarterly Cash Dividend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LUBBOCK, Texas, January 20, 2022 (GLOBE NEWSWIRE) – South Plains Financial, Inc. (NASDAQ:SPFI) (“South Plains”), the parent company of City Bank, today announced that its Board of Directors has declared a quarterly cash dividend of $0.11 per share of common stock, an increase of $0.02 per share of common stock over the most recent quarterly cash dividend declared in October 2021. The dividend is payable on February 14, 2022 to shareholders of record as of the close of business on January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South Plains Financial, Inc.</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7"/>
          <w:szCs w:val="17"/>
          <w:u w:val="single" w:color="auto"/>
          <w:color w:val="auto"/>
        </w:rPr>
        <w:t>https://www.spfi.bank</w:t>
      </w:r>
      <w:r>
        <w:rPr>
          <w:rFonts w:ascii="Arial" w:cs="Arial" w:eastAsia="Arial" w:hAnsi="Arial"/>
          <w:sz w:val="17"/>
          <w:szCs w:val="17"/>
          <w:color w:val="auto"/>
        </w:rPr>
        <w:t xml:space="preserve"> for more information.</w:t>
      </w:r>
    </w:p>
    <w:p>
      <w:pPr>
        <w:spacing w:after="0" w:line="39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Contact:</w:t>
        <w:tab/>
        <w:t>Mikella Newsom, Chief Risk Officer and Secretary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investors@city.bank</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(866) 771-3347</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2022-01-20T16:04:29Z</dcterms:created>
  <dcterms:modified xsi:type="dcterms:W3CDTF">2022-01-20T16:04:29Z</dcterms:modified>
</cp:coreProperties>
</file>