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Griffith Curtis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SPFI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16.51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2,382,521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94,593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held by the ESOP and allocated to the Reporting Person's account.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Curtis C.  03/16/2020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Griffith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4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195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2020-03-16T15:38:49Z</dcterms:created>
  <dcterms:modified xsi:type="dcterms:W3CDTF">2020-03-16T15:38:49Z</dcterms:modified>
</cp:coreProperties>
</file>