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Griffith Curtis C</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20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17"/>
                <w:szCs w:val="17"/>
                <w:color w:val="0000FF"/>
              </w:rPr>
              <w:t>5219 CITY BANK PARKWAY</w:t>
            </w:r>
          </w:p>
        </w:tc>
        <w:tc>
          <w:tcPr>
            <w:tcW w:w="13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LUBBOCK</w:t>
            </w:r>
          </w:p>
        </w:tc>
        <w:tc>
          <w:tcPr>
            <w:tcW w:w="1300" w:type="dxa"/>
            <w:vAlign w:val="bottom"/>
          </w:tcPr>
          <w:p>
            <w:pPr>
              <w:ind w:left="200"/>
              <w:spacing w:after="0"/>
              <w:rPr>
                <w:sz w:val="20"/>
                <w:szCs w:val="20"/>
                <w:color w:val="auto"/>
              </w:rPr>
            </w:pPr>
            <w:r>
              <w:rPr>
                <w:rFonts w:ascii="Arial" w:cs="Arial" w:eastAsia="Arial" w:hAnsi="Arial"/>
                <w:sz w:val="17"/>
                <w:szCs w:val="17"/>
                <w:color w:val="0000FF"/>
              </w:rPr>
              <w:t>TX</w:t>
            </w:r>
          </w:p>
        </w:tc>
        <w:tc>
          <w:tcPr>
            <w:tcW w:w="1320" w:type="dxa"/>
            <w:vAlign w:val="bottom"/>
          </w:tcPr>
          <w:p>
            <w:pPr>
              <w:ind w:left="120"/>
              <w:spacing w:after="0"/>
              <w:rPr>
                <w:sz w:val="20"/>
                <w:szCs w:val="20"/>
                <w:color w:val="auto"/>
              </w:rPr>
            </w:pPr>
            <w:r>
              <w:rPr>
                <w:rFonts w:ascii="Arial" w:cs="Arial" w:eastAsia="Arial" w:hAnsi="Arial"/>
                <w:sz w:val="17"/>
                <w:szCs w:val="17"/>
                <w:color w:val="0000FF"/>
              </w:rPr>
              <w:t>79407-3544</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200"/>
              <w:spacing w:after="0"/>
              <w:rPr>
                <w:sz w:val="20"/>
                <w:szCs w:val="20"/>
                <w:color w:val="auto"/>
              </w:rPr>
            </w:pPr>
            <w:r>
              <w:rPr>
                <w:rFonts w:ascii="Arial" w:cs="Arial" w:eastAsia="Arial" w:hAnsi="Arial"/>
                <w:sz w:val="13"/>
                <w:szCs w:val="13"/>
                <w:color w:val="auto"/>
              </w:rPr>
              <w:t>(State)</w:t>
            </w: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2"/>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SOUTH PLAINS FINANCIAL, INC. </w:t>
              </w:r>
            </w:hyperlink>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500" w:type="dxa"/>
            <w:vAlign w:val="bottom"/>
            <w:vMerge w:val="restart"/>
          </w:tcPr>
          <w:p>
            <w:pPr>
              <w:ind w:left="280"/>
              <w:spacing w:after="0" w:line="54" w:lineRule="exact"/>
              <w:rPr>
                <w:sz w:val="20"/>
                <w:szCs w:val="20"/>
                <w:color w:val="auto"/>
              </w:rPr>
            </w:pPr>
            <w:r>
              <w:rPr>
                <w:rFonts w:ascii="Arial" w:cs="Arial" w:eastAsia="Arial" w:hAnsi="Arial"/>
                <w:sz w:val="6"/>
                <w:szCs w:val="6"/>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vMerge w:val="restart"/>
          </w:tcPr>
          <w:p>
            <w:pPr>
              <w:ind w:left="140"/>
              <w:spacing w:after="0" w:line="54" w:lineRule="exact"/>
              <w:rPr>
                <w:sz w:val="20"/>
                <w:szCs w:val="20"/>
                <w:color w:val="auto"/>
              </w:rPr>
            </w:pPr>
            <w:r>
              <w:rPr>
                <w:rFonts w:ascii="Arial" w:cs="Arial" w:eastAsia="Arial" w:hAnsi="Arial"/>
                <w:sz w:val="6"/>
                <w:szCs w:val="6"/>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24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SPFI </w:t>
              </w:r>
              <w:r>
                <w:rPr>
                  <w:rFonts w:ascii="Arial" w:cs="Arial" w:eastAsia="Arial" w:hAnsi="Arial"/>
                  <w:sz w:val="1"/>
                  <w:szCs w:val="1"/>
                  <w:color w:val="000000"/>
                </w:rPr>
                <w:t>]</w:t>
              </w:r>
            </w:hyperlink>
          </w:p>
        </w:tc>
        <w:tc>
          <w:tcPr>
            <w:tcW w:w="50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9"/>
                <w:szCs w:val="19"/>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3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vMerge w:val="continue"/>
          </w:tcPr>
          <w:p>
            <w:pPr>
              <w:spacing w:after="0"/>
              <w:rPr>
                <w:sz w:val="4"/>
                <w:szCs w:val="4"/>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4"/>
                <w:szCs w:val="4"/>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3"/>
        </w:trPr>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2800" w:type="dxa"/>
            <w:vAlign w:val="bottom"/>
            <w:gridSpan w:val="3"/>
            <w:vMerge w:val="restart"/>
          </w:tcPr>
          <w:p>
            <w:pPr>
              <w:ind w:left="520"/>
              <w:spacing w:after="0"/>
              <w:rPr>
                <w:sz w:val="20"/>
                <w:szCs w:val="20"/>
                <w:color w:val="auto"/>
              </w:rPr>
            </w:pPr>
            <w:r>
              <w:rPr>
                <w:rFonts w:ascii="Arial" w:cs="Arial" w:eastAsia="Arial" w:hAnsi="Arial"/>
                <w:sz w:val="17"/>
                <w:szCs w:val="17"/>
                <w:color w:val="0000FF"/>
              </w:rPr>
              <w:t>Chairman &amp; CEO</w:t>
            </w:r>
          </w:p>
        </w:tc>
        <w:tc>
          <w:tcPr>
            <w:tcW w:w="0" w:type="dxa"/>
            <w:vAlign w:val="bottom"/>
          </w:tcPr>
          <w:p>
            <w:pPr>
              <w:spacing w:after="0"/>
              <w:rPr>
                <w:sz w:val="1"/>
                <w:szCs w:val="1"/>
                <w:color w:val="auto"/>
              </w:rPr>
            </w:pPr>
          </w:p>
        </w:tc>
      </w:tr>
      <w:tr>
        <w:trPr>
          <w:trHeight w:val="154"/>
        </w:trPr>
        <w:tc>
          <w:tcPr>
            <w:tcW w:w="3320" w:type="dxa"/>
            <w:vAlign w:val="bottom"/>
            <w:gridSpan w:val="2"/>
            <w:vMerge w:val="restart"/>
          </w:tcPr>
          <w:p>
            <w:pPr>
              <w:ind w:left="80"/>
              <w:spacing w:after="0"/>
              <w:rPr>
                <w:sz w:val="20"/>
                <w:szCs w:val="20"/>
                <w:color w:val="auto"/>
              </w:rPr>
            </w:pPr>
            <w:r>
              <w:rPr>
                <w:rFonts w:ascii="Arial" w:cs="Arial" w:eastAsia="Arial" w:hAnsi="Arial"/>
                <w:sz w:val="17"/>
                <w:szCs w:val="17"/>
                <w:color w:val="0000FF"/>
              </w:rPr>
              <w:t>03/11/2020</w:t>
            </w: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3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32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4"/>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72" w:lineRule="exact"/>
        <w:rPr>
          <w:sz w:val="20"/>
          <w:szCs w:val="20"/>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6"/>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940" w:type="dxa"/>
            <w:vAlign w:val="bottom"/>
            <w:gridSpan w:val="3"/>
          </w:tcPr>
          <w:p>
            <w:pPr>
              <w:ind w:left="440"/>
              <w:spacing w:after="0"/>
              <w:rPr>
                <w:sz w:val="20"/>
                <w:szCs w:val="20"/>
                <w:color w:val="auto"/>
              </w:rPr>
            </w:pPr>
            <w:r>
              <w:rPr>
                <w:rFonts w:ascii="Arial" w:cs="Arial" w:eastAsia="Arial" w:hAnsi="Arial"/>
                <w:sz w:val="17"/>
                <w:szCs w:val="17"/>
                <w:color w:val="0000FF"/>
              </w:rPr>
              <w:t>03/11/2020</w:t>
            </w: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0000FF"/>
              </w:rPr>
              <w:t>P</w:t>
            </w:r>
          </w:p>
        </w:tc>
        <w:tc>
          <w:tcPr>
            <w:tcW w:w="840" w:type="dxa"/>
            <w:vAlign w:val="bottom"/>
          </w:tcPr>
          <w:p>
            <w:pPr>
              <w:jc w:val="right"/>
              <w:ind w:right="171"/>
              <w:spacing w:after="0"/>
              <w:rPr>
                <w:sz w:val="20"/>
                <w:szCs w:val="20"/>
                <w:color w:val="auto"/>
              </w:rPr>
            </w:pPr>
            <w:r>
              <w:rPr>
                <w:rFonts w:ascii="Arial" w:cs="Arial" w:eastAsia="Arial" w:hAnsi="Arial"/>
                <w:sz w:val="17"/>
                <w:szCs w:val="17"/>
                <w:color w:val="0000FF"/>
              </w:rPr>
              <w:t>1,000</w:t>
            </w:r>
          </w:p>
        </w:tc>
        <w:tc>
          <w:tcPr>
            <w:tcW w:w="440" w:type="dxa"/>
            <w:vAlign w:val="bottom"/>
          </w:tcPr>
          <w:p>
            <w:pPr>
              <w:jc w:val="center"/>
              <w:spacing w:after="0"/>
              <w:rPr>
                <w:sz w:val="20"/>
                <w:szCs w:val="20"/>
                <w:color w:val="auto"/>
              </w:rPr>
            </w:pPr>
            <w:r>
              <w:rPr>
                <w:rFonts w:ascii="Arial" w:cs="Arial" w:eastAsia="Arial" w:hAnsi="Arial"/>
                <w:sz w:val="17"/>
                <w:szCs w:val="17"/>
                <w:color w:val="0000FF"/>
              </w:rPr>
              <w:t>A</w:t>
            </w:r>
          </w:p>
        </w:tc>
        <w:tc>
          <w:tcPr>
            <w:tcW w:w="920" w:type="dxa"/>
            <w:vAlign w:val="bottom"/>
            <w:gridSpan w:val="3"/>
          </w:tcPr>
          <w:p>
            <w:pPr>
              <w:jc w:val="center"/>
              <w:ind w:righ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17.623</w:t>
            </w: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92"/>
              </w:rPr>
              <w:t>2,379,521</w:t>
            </w:r>
          </w:p>
        </w:tc>
        <w:tc>
          <w:tcPr>
            <w:tcW w:w="920" w:type="dxa"/>
            <w:vAlign w:val="bottom"/>
          </w:tcPr>
          <w:p>
            <w:pPr>
              <w:jc w:val="center"/>
              <w:ind w:right="34"/>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03/12/2020</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Arial" w:cs="Arial" w:eastAsia="Arial" w:hAnsi="Arial"/>
                <w:sz w:val="13"/>
                <w:szCs w:val="13"/>
                <w:color w:val="0000FF"/>
              </w:rPr>
              <w:t>P</w:t>
            </w:r>
          </w:p>
        </w:tc>
        <w:tc>
          <w:tcPr>
            <w:tcW w:w="840" w:type="dxa"/>
            <w:vAlign w:val="bottom"/>
            <w:tcBorders>
              <w:bottom w:val="single" w:sz="8" w:color="2C2C2C"/>
            </w:tcBorders>
          </w:tcPr>
          <w:p>
            <w:pPr>
              <w:jc w:val="right"/>
              <w:ind w:right="171"/>
              <w:spacing w:after="0"/>
              <w:rPr>
                <w:sz w:val="20"/>
                <w:szCs w:val="20"/>
                <w:color w:val="auto"/>
              </w:rPr>
            </w:pPr>
            <w:r>
              <w:rPr>
                <w:rFonts w:ascii="Arial" w:cs="Arial" w:eastAsia="Arial" w:hAnsi="Arial"/>
                <w:sz w:val="17"/>
                <w:szCs w:val="17"/>
                <w:color w:val="0000FF"/>
              </w:rPr>
              <w:t>2,000</w:t>
            </w: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16.5479</w:t>
            </w:r>
            <w:r>
              <w:rPr>
                <w:rFonts w:ascii="Arial" w:cs="Arial" w:eastAsia="Arial" w:hAnsi="Arial"/>
                <w:sz w:val="22"/>
                <w:szCs w:val="22"/>
                <w:color w:val="008000"/>
                <w:w w:val="92"/>
                <w:vertAlign w:val="superscript"/>
              </w:rPr>
              <w:t>(1)</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2,381,521</w:t>
            </w:r>
          </w:p>
        </w:tc>
        <w:tc>
          <w:tcPr>
            <w:tcW w:w="920" w:type="dxa"/>
            <w:vAlign w:val="bottom"/>
            <w:tcBorders>
              <w:bottom w:val="single" w:sz="8" w:color="2C2C2C"/>
            </w:tcBorders>
          </w:tcPr>
          <w:p>
            <w:pPr>
              <w:jc w:val="center"/>
              <w:ind w:right="34"/>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94,593</w:t>
            </w:r>
          </w:p>
        </w:tc>
        <w:tc>
          <w:tcPr>
            <w:tcW w:w="920" w:type="dxa"/>
            <w:vAlign w:val="bottom"/>
            <w:vMerge w:val="restart"/>
          </w:tcPr>
          <w:p>
            <w:pPr>
              <w:jc w:val="center"/>
              <w:ind w:right="34"/>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ESOP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560" w:firstLine="7"/>
        <w:spacing w:after="0" w:line="328" w:lineRule="auto"/>
        <w:tabs>
          <w:tab w:leader="none" w:pos="173"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Represents the volume-weighted average price. These shares were purchased in multiple transactions at prices ranging from $16.4200 to $16.7780. Upon request by the staff of the Securities and Exchange Commission, the Issuer or any security holder of the Issuer, the Reporting Person undertakes to provide full information regarding the number of shares purchased at each separate price.</w:t>
      </w: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by the ESOP and allocated to the Reporting Person's account. Reflects ESOP allocations that have occurred since the date of the reporting person's last ownership report.</w:t>
      </w:r>
    </w:p>
    <w:p>
      <w:pPr>
        <w:spacing w:after="0" w:line="77"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By Mikella D. Newsom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3017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Curtis C</w:t>
      </w:r>
      <w:r>
        <w:rPr>
          <w:sz w:val="20"/>
          <w:szCs w:val="20"/>
          <w:color w:val="auto"/>
        </w:rPr>
        <w:tab/>
      </w:r>
      <w:r>
        <w:rPr>
          <w:rFonts w:ascii="Arial" w:cs="Arial" w:eastAsia="Arial" w:hAnsi="Arial"/>
          <w:sz w:val="15"/>
          <w:szCs w:val="15"/>
          <w:color w:val="0000FF"/>
        </w:rPr>
        <w:t>03/13/2020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340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401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5195" TargetMode="External"/><Relationship Id="rId13"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2020-03-13T13:43:20Z</dcterms:created>
  <dcterms:modified xsi:type="dcterms:W3CDTF">2020-03-13T13:43:20Z</dcterms:modified>
</cp:coreProperties>
</file>