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September 30,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 to 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001-38895</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0"/>
              <w:jc w:val="center"/>
              <w:rPr/>
            </w:pPr>
            <w:r>
              <w:rPr/>
              <w:t> </w:t>
            </w:r>
            <w:r>
              <w:rPr>
                <w:rFonts w:ascii="Times New Roman" w:hAnsi="Times New Roman"/>
                <w:b/>
                <w:sz w:val="20"/>
              </w:rPr>
              <w:t>Texas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48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79407</w:t>
            </w:r>
          </w:p>
        </w:tc>
      </w:tr>
      <w:tr>
        <w:trPr/>
        <w:tc>
          <w:tcPr>
            <w:tcW w:w="48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(806) 792-7101</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8535" w:type="dxa"/>
        <w:jc w:val="left"/>
        <w:tblInd w:w="-15"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$1.00 par value per share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245"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November 3, 2023, the registrant had 16,482,279 shares of common stock, par value $1.00 per share, outstanding.</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TABLE OF CONTENTS</w:t>
      </w:r>
      <w:bookmarkStart w:id="0" w:name="TABLEOFCONTENTS"/>
      <w:bookmarkEnd w:id="0"/>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8505" w:type="dxa"/>
        <w:jc w:val="center"/>
        <w:tblInd w:w="0" w:type="dxa"/>
        <w:tblLayout w:type="fixed"/>
        <w:tblCellMar>
          <w:top w:w="0" w:type="dxa"/>
          <w:left w:w="0" w:type="dxa"/>
          <w:bottom w:w="0" w:type="dxa"/>
          <w:right w:w="0" w:type="dxa"/>
        </w:tblCellMar>
      </w:tblPr>
      <w:tblGrid>
        <w:gridCol w:w="785"/>
        <w:gridCol w:w="7280"/>
        <w:gridCol w:w="440"/>
      </w:tblGrid>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Page</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 I.</w:t>
            </w:r>
          </w:p>
        </w:tc>
        <w:tc>
          <w:tcPr>
            <w:tcW w:w="7280" w:type="dxa"/>
            <w:tcBorders/>
            <w:shd w:fill="CCEEFF" w:val="clear"/>
            <w:vAlign w:val="center"/>
          </w:tcPr>
          <w:p>
            <w:pPr>
              <w:pStyle w:val="TableContents"/>
              <w:bidi w:val="0"/>
              <w:spacing w:before="0" w:after="0"/>
              <w:jc w:val="left"/>
              <w:rPr/>
            </w:pPr>
            <w:hyperlink w:anchor="PARTI.FINANCIALINFORMATIO">
              <w:r>
                <w:rPr>
                  <w:rStyle w:val="InternetLink"/>
                  <w:rFonts w:ascii="Times New Roman;Times;serif" w:hAnsi="Times New Roman;Times;serif"/>
                  <w:color w:val="000000"/>
                  <w:sz w:val="20"/>
                </w:rPr>
                <w:t>FINANCIAL INFORMATION</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3</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1.</w:t>
            </w:r>
          </w:p>
        </w:tc>
        <w:tc>
          <w:tcPr>
            <w:tcW w:w="7280" w:type="dxa"/>
            <w:tcBorders/>
            <w:vAlign w:val="center"/>
          </w:tcPr>
          <w:p>
            <w:pPr>
              <w:pStyle w:val="TableContents"/>
              <w:bidi w:val="0"/>
              <w:spacing w:before="0" w:after="0"/>
              <w:jc w:val="left"/>
              <w:rPr/>
            </w:pPr>
            <w:hyperlink w:anchor="ConsolidatedFinancialStat">
              <w:r>
                <w:rPr>
                  <w:rStyle w:val="InternetLink"/>
                  <w:rFonts w:ascii="Times New Roman;Times;serif" w:hAnsi="Times New Roman;Times;serif"/>
                  <w:color w:val="000000"/>
                  <w:sz w:val="20"/>
                </w:rPr>
                <w:t>Consolidated Financial Statements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3</w:t>
            </w:r>
          </w:p>
        </w:tc>
      </w:tr>
      <w:tr>
        <w:trPr/>
        <w:tc>
          <w:tcPr>
            <w:tcW w:w="78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180" w:right="0" w:hanging="0"/>
              <w:jc w:val="left"/>
              <w:rPr/>
            </w:pPr>
            <w:hyperlink w:anchor="BALANCESHEETS">
              <w:r>
                <w:rPr>
                  <w:rStyle w:val="InternetLink"/>
                  <w:rFonts w:ascii="Times New Roman;Times;serif" w:hAnsi="Times New Roman;Times;serif"/>
                  <w:color w:val="000000"/>
                  <w:sz w:val="20"/>
                </w:rPr>
                <w:t>Consolidated Balance Sheets (Unaudited)</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3</w:t>
            </w:r>
          </w:p>
        </w:tc>
      </w:tr>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180" w:right="0" w:hanging="0"/>
              <w:jc w:val="left"/>
              <w:rPr/>
            </w:pPr>
            <w:hyperlink w:anchor="STATEMENTSOFCOMPREHENSIVE">
              <w:r>
                <w:rPr>
                  <w:rStyle w:val="InternetLink"/>
                  <w:rFonts w:ascii="Times New Roman;Times;serif" w:hAnsi="Times New Roman;Times;serif"/>
                  <w:color w:val="000000"/>
                  <w:sz w:val="20"/>
                </w:rPr>
                <w:t>Consolidated Statements of Comprehensive Income (Loss) (Unaudited)</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4</w:t>
            </w:r>
          </w:p>
        </w:tc>
      </w:tr>
      <w:tr>
        <w:trPr/>
        <w:tc>
          <w:tcPr>
            <w:tcW w:w="78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180" w:right="0" w:hanging="0"/>
              <w:jc w:val="left"/>
              <w:rPr/>
            </w:pPr>
            <w:hyperlink w:anchor="STATEMENTSOFCHANGESINSTOC">
              <w:r>
                <w:rPr>
                  <w:rStyle w:val="InternetLink"/>
                  <w:rFonts w:ascii="Times New Roman;Times;serif" w:hAnsi="Times New Roman;Times;serif"/>
                  <w:color w:val="000000"/>
                  <w:sz w:val="20"/>
                </w:rPr>
                <w:t>Consolidated Statements of Changes in Stockholders’ Equity (Unaudited)</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6</w:t>
            </w:r>
          </w:p>
        </w:tc>
      </w:tr>
      <w:tr>
        <w:trPr/>
        <w:tc>
          <w:tcPr>
            <w:tcW w:w="78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180" w:right="0" w:hanging="0"/>
              <w:jc w:val="left"/>
              <w:rPr/>
            </w:pPr>
            <w:hyperlink w:anchor="STATEMENTSOFCASHFLOWS">
              <w:r>
                <w:rPr>
                  <w:rStyle w:val="InternetLink"/>
                  <w:rFonts w:ascii="Times New Roman;Times;serif" w:hAnsi="Times New Roman;Times;serif"/>
                  <w:color w:val="000000"/>
                  <w:sz w:val="20"/>
                </w:rPr>
                <w:t>Consolidated Statements of Cash Flows (Unaudited)</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7</w:t>
            </w:r>
          </w:p>
        </w:tc>
      </w:tr>
      <w:tr>
        <w:trPr/>
        <w:tc>
          <w:tcPr>
            <w:tcW w:w="78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180" w:right="0" w:hanging="0"/>
              <w:jc w:val="left"/>
              <w:rPr/>
            </w:pPr>
            <w:hyperlink w:anchor="NOTESTOCONSOL">
              <w:r>
                <w:rPr>
                  <w:rStyle w:val="InternetLink"/>
                  <w:rFonts w:ascii="Times New Roman;Times;serif" w:hAnsi="Times New Roman;Times;serif"/>
                  <w:color w:val="000000"/>
                  <w:sz w:val="20"/>
                </w:rPr>
                <w:t>Notes to Consolidated Financial Statements (Unaudited)</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8</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2.</w:t>
            </w:r>
          </w:p>
        </w:tc>
        <w:tc>
          <w:tcPr>
            <w:tcW w:w="7280" w:type="dxa"/>
            <w:tcBorders/>
            <w:vAlign w:val="center"/>
          </w:tcPr>
          <w:p>
            <w:pPr>
              <w:pStyle w:val="TableContents"/>
              <w:bidi w:val="0"/>
              <w:spacing w:before="0" w:after="0"/>
              <w:jc w:val="left"/>
              <w:rPr/>
            </w:pPr>
            <w:hyperlink w:anchor="ManagementsDiscussionandA">
              <w:r>
                <w:rPr>
                  <w:rStyle w:val="InternetLink"/>
                  <w:rFonts w:ascii="Times New Roman;Times;serif" w:hAnsi="Times New Roman;Times;serif"/>
                  <w:color w:val="000000"/>
                  <w:sz w:val="20"/>
                </w:rPr>
                <w:t>Management’s Discussion and Analysis of Financial Condition and Results of Operations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31</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3.</w:t>
            </w:r>
          </w:p>
        </w:tc>
        <w:tc>
          <w:tcPr>
            <w:tcW w:w="7280" w:type="dxa"/>
            <w:tcBorders/>
            <w:shd w:fill="CCEEFF" w:val="clear"/>
            <w:vAlign w:val="center"/>
          </w:tcPr>
          <w:p>
            <w:pPr>
              <w:pStyle w:val="TableContents"/>
              <w:bidi w:val="0"/>
              <w:spacing w:before="0" w:after="0"/>
              <w:jc w:val="left"/>
              <w:rPr/>
            </w:pPr>
            <w:hyperlink w:anchor="QuantitativeandQualitativ">
              <w:r>
                <w:rPr>
                  <w:rStyle w:val="InternetLink"/>
                  <w:rFonts w:ascii="Times New Roman;Times;serif" w:hAnsi="Times New Roman;Times;serif"/>
                  <w:color w:val="000000"/>
                  <w:sz w:val="20"/>
                </w:rPr>
                <w:t>Quantitative and Qualitative Disclosures About Market Risk</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54</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4.</w:t>
            </w:r>
          </w:p>
        </w:tc>
        <w:tc>
          <w:tcPr>
            <w:tcW w:w="7280" w:type="dxa"/>
            <w:tcBorders/>
            <w:vAlign w:val="center"/>
          </w:tcPr>
          <w:p>
            <w:pPr>
              <w:pStyle w:val="TableContents"/>
              <w:bidi w:val="0"/>
              <w:spacing w:before="0" w:after="0"/>
              <w:jc w:val="left"/>
              <w:rPr/>
            </w:pPr>
            <w:hyperlink w:anchor="ControlsandProcedures">
              <w:r>
                <w:rPr>
                  <w:rStyle w:val="InternetLink"/>
                  <w:rFonts w:ascii="Times New Roman;Times;serif" w:hAnsi="Times New Roman;Times;serif"/>
                  <w:color w:val="000000"/>
                  <w:sz w:val="20"/>
                </w:rPr>
                <w:t>Controls and Procedures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55</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 II.</w:t>
            </w:r>
          </w:p>
        </w:tc>
        <w:tc>
          <w:tcPr>
            <w:tcW w:w="7280" w:type="dxa"/>
            <w:tcBorders/>
            <w:shd w:fill="CCEEFF" w:val="clear"/>
            <w:vAlign w:val="center"/>
          </w:tcPr>
          <w:p>
            <w:pPr>
              <w:pStyle w:val="TableContents"/>
              <w:bidi w:val="0"/>
              <w:spacing w:before="0" w:after="0"/>
              <w:jc w:val="left"/>
              <w:rPr/>
            </w:pPr>
            <w:hyperlink w:anchor="PARTII.OTHERINFORMATION">
              <w:r>
                <w:rPr>
                  <w:rStyle w:val="InternetLink"/>
                  <w:rFonts w:ascii="Times New Roman;Times;serif" w:hAnsi="Times New Roman;Times;serif"/>
                  <w:color w:val="000000"/>
                  <w:sz w:val="20"/>
                </w:rPr>
                <w:t>OTHER INFORMATION</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1.</w:t>
            </w:r>
          </w:p>
        </w:tc>
        <w:tc>
          <w:tcPr>
            <w:tcW w:w="7280" w:type="dxa"/>
            <w:tcBorders/>
            <w:vAlign w:val="center"/>
          </w:tcPr>
          <w:p>
            <w:pPr>
              <w:pStyle w:val="TableContents"/>
              <w:bidi w:val="0"/>
              <w:spacing w:before="0" w:after="0"/>
              <w:jc w:val="left"/>
              <w:rPr/>
            </w:pPr>
            <w:hyperlink w:anchor="LegalProceedings">
              <w:r>
                <w:rPr>
                  <w:rStyle w:val="InternetLink"/>
                  <w:rFonts w:ascii="Times New Roman;Times;serif" w:hAnsi="Times New Roman;Times;serif"/>
                  <w:color w:val="000000"/>
                  <w:sz w:val="20"/>
                </w:rPr>
                <w:t>Legal Proceedings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1A.</w:t>
            </w:r>
          </w:p>
        </w:tc>
        <w:tc>
          <w:tcPr>
            <w:tcW w:w="7280" w:type="dxa"/>
            <w:tcBorders/>
            <w:shd w:fill="CCEEFF" w:val="clear"/>
            <w:vAlign w:val="center"/>
          </w:tcPr>
          <w:p>
            <w:pPr>
              <w:pStyle w:val="TableContents"/>
              <w:bidi w:val="0"/>
              <w:spacing w:before="0" w:after="0"/>
              <w:jc w:val="left"/>
              <w:rPr/>
            </w:pPr>
            <w:hyperlink w:anchor="RiskFactors">
              <w:r>
                <w:rPr>
                  <w:rStyle w:val="InternetLink"/>
                  <w:rFonts w:ascii="Times New Roman;Times;serif" w:hAnsi="Times New Roman;Times;serif"/>
                  <w:color w:val="000000"/>
                  <w:sz w:val="20"/>
                </w:rPr>
                <w:t>Risk Factors</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2.</w:t>
            </w:r>
          </w:p>
        </w:tc>
        <w:tc>
          <w:tcPr>
            <w:tcW w:w="7280" w:type="dxa"/>
            <w:tcBorders/>
            <w:vAlign w:val="center"/>
          </w:tcPr>
          <w:p>
            <w:pPr>
              <w:pStyle w:val="TableContents"/>
              <w:bidi w:val="0"/>
              <w:spacing w:before="0" w:after="0"/>
              <w:jc w:val="left"/>
              <w:rPr/>
            </w:pPr>
            <w:hyperlink w:anchor="UnregisteredSalesofEquity">
              <w:r>
                <w:rPr>
                  <w:rStyle w:val="InternetLink"/>
                  <w:rFonts w:ascii="Times New Roman;Times;serif" w:hAnsi="Times New Roman;Times;serif"/>
                  <w:color w:val="000000"/>
                  <w:sz w:val="20"/>
                </w:rPr>
                <w:t>Unregistered Sales of Equity Securities and Use of Proceeds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3.</w:t>
            </w:r>
          </w:p>
        </w:tc>
        <w:tc>
          <w:tcPr>
            <w:tcW w:w="7280" w:type="dxa"/>
            <w:tcBorders/>
            <w:shd w:fill="CCEEFF" w:val="clear"/>
            <w:vAlign w:val="center"/>
          </w:tcPr>
          <w:p>
            <w:pPr>
              <w:pStyle w:val="TableContents"/>
              <w:bidi w:val="0"/>
              <w:spacing w:before="0" w:after="0"/>
              <w:jc w:val="left"/>
              <w:rPr/>
            </w:pPr>
            <w:hyperlink w:anchor="DefaultsuponSeniorSecurit">
              <w:r>
                <w:rPr>
                  <w:rStyle w:val="InternetLink"/>
                  <w:rFonts w:ascii="Times New Roman;Times;serif" w:hAnsi="Times New Roman;Times;serif"/>
                  <w:color w:val="000000"/>
                  <w:sz w:val="20"/>
                </w:rPr>
                <w:t>Defaults Upon Senior Securities</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4.</w:t>
            </w:r>
          </w:p>
        </w:tc>
        <w:tc>
          <w:tcPr>
            <w:tcW w:w="7280" w:type="dxa"/>
            <w:tcBorders/>
            <w:vAlign w:val="center"/>
          </w:tcPr>
          <w:p>
            <w:pPr>
              <w:pStyle w:val="TableContents"/>
              <w:bidi w:val="0"/>
              <w:spacing w:before="0" w:after="0"/>
              <w:jc w:val="left"/>
              <w:rPr/>
            </w:pPr>
            <w:hyperlink w:anchor="MineSafetyDisclosures">
              <w:r>
                <w:rPr>
                  <w:rStyle w:val="InternetLink"/>
                  <w:rFonts w:ascii="Times New Roman;Times;serif" w:hAnsi="Times New Roman;Times;serif"/>
                  <w:color w:val="000000"/>
                  <w:sz w:val="20"/>
                </w:rPr>
                <w:t>Mine Safety Disclosures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785" w:type="dxa"/>
            <w:tcBorders/>
            <w:shd w:fill="CCEEFF" w:val="clear"/>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5.</w:t>
            </w:r>
          </w:p>
        </w:tc>
        <w:tc>
          <w:tcPr>
            <w:tcW w:w="7280" w:type="dxa"/>
            <w:tcBorders/>
            <w:shd w:fill="CCEEFF" w:val="clear"/>
            <w:vAlign w:val="center"/>
          </w:tcPr>
          <w:p>
            <w:pPr>
              <w:pStyle w:val="TableContents"/>
              <w:bidi w:val="0"/>
              <w:spacing w:before="0" w:after="0"/>
              <w:jc w:val="left"/>
              <w:rPr/>
            </w:pPr>
            <w:hyperlink w:anchor="OtherInformation">
              <w:r>
                <w:rPr>
                  <w:rStyle w:val="InternetLink"/>
                  <w:rFonts w:ascii="Times New Roman;Times;serif" w:hAnsi="Times New Roman;Times;serif"/>
                  <w:color w:val="000000"/>
                  <w:sz w:val="20"/>
                </w:rPr>
                <w:t>Other Information</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57</w:t>
            </w:r>
          </w:p>
        </w:tc>
      </w:tr>
      <w:tr>
        <w:trPr/>
        <w:tc>
          <w:tcPr>
            <w:tcW w:w="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Item 6.</w:t>
            </w:r>
          </w:p>
        </w:tc>
        <w:tc>
          <w:tcPr>
            <w:tcW w:w="7280" w:type="dxa"/>
            <w:tcBorders/>
            <w:vAlign w:val="center"/>
          </w:tcPr>
          <w:p>
            <w:pPr>
              <w:pStyle w:val="TableContents"/>
              <w:bidi w:val="0"/>
              <w:spacing w:before="0" w:after="0"/>
              <w:jc w:val="left"/>
              <w:rPr/>
            </w:pPr>
            <w:hyperlink w:anchor="Exhibits">
              <w:r>
                <w:rPr>
                  <w:rStyle w:val="InternetLink"/>
                  <w:rFonts w:ascii="Times New Roman;Times;serif" w:hAnsi="Times New Roman;Times;serif"/>
                  <w:color w:val="000000"/>
                  <w:sz w:val="20"/>
                </w:rPr>
                <w:t>Exhibits</w:t>
              </w:r>
            </w:hyperlink>
          </w:p>
        </w:tc>
        <w:tc>
          <w:tcPr>
            <w:tcW w:w="440" w:type="dxa"/>
            <w:tcBorders/>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58</w:t>
            </w:r>
          </w:p>
        </w:tc>
      </w:tr>
      <w:tr>
        <w:trPr/>
        <w:tc>
          <w:tcPr>
            <w:tcW w:w="8065" w:type="dxa"/>
            <w:gridSpan w:val="2"/>
            <w:tcBorders/>
            <w:shd w:fill="CCEEFF" w:val="clear"/>
            <w:vAlign w:val="center"/>
          </w:tcPr>
          <w:p>
            <w:pPr>
              <w:pStyle w:val="TableContents"/>
              <w:bidi w:val="0"/>
              <w:spacing w:before="0" w:after="0"/>
              <w:jc w:val="left"/>
              <w:rPr/>
            </w:pPr>
            <w:hyperlink w:anchor="SIGNATURES">
              <w:r>
                <w:rPr>
                  <w:rStyle w:val="InternetLink"/>
                  <w:rFonts w:ascii="Times New Roman;Times;serif" w:hAnsi="Times New Roman;Times;serif"/>
                  <w:color w:val="000000"/>
                  <w:sz w:val="20"/>
                </w:rPr>
                <w:t>Signatures</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59</w:t>
            </w:r>
          </w:p>
        </w:tc>
      </w:tr>
    </w:tbl>
    <w:p>
      <w:pPr>
        <w:pStyle w:val="TextBody"/>
        <w:bidi w:val="0"/>
        <w:spacing w:before="0" w:after="0"/>
        <w:jc w:val="center"/>
        <w:rPr/>
      </w:pPr>
      <w:r>
        <w:rPr/>
      </w:r>
    </w:p>
    <w:p>
      <w:pPr>
        <w:pStyle w:val="HorizontalLine"/>
        <w:bidi w:val="0"/>
        <w:spacing w:before="200" w:after="200"/>
        <w:jc w:val="center"/>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bookmarkStart w:id="1" w:name="PARTI.FINANCIALINFORMATIO"/>
      <w:bookmarkEnd w:id="1"/>
    </w:p>
    <w:p>
      <w:pPr>
        <w:pStyle w:val="Normal"/>
        <w:bidi w:val="0"/>
        <w:spacing w:before="0" w:after="0"/>
        <w:jc w:val="left"/>
        <w:rPr>
          <w:sz w:val="4"/>
          <w:szCs w:val="4"/>
        </w:rPr>
      </w:pPr>
      <w:r>
        <w:rPr>
          <w:sz w:val="4"/>
          <w:szCs w:val="4"/>
        </w:rPr>
      </w:r>
      <w:bookmarkStart w:id="2" w:name="ConsolidatedFinancialStat"/>
      <w:bookmarkStart w:id="3" w:name="ConsolidatedFinancialStat"/>
      <w:bookmarkEnd w:id="3"/>
    </w:p>
    <w:tbl>
      <w:tblPr>
        <w:tblW w:w="3580" w:type="dxa"/>
        <w:jc w:val="left"/>
        <w:tblInd w:w="0" w:type="dxa"/>
        <w:tblLayout w:type="fixed"/>
        <w:tblCellMar>
          <w:top w:w="0" w:type="dxa"/>
          <w:left w:w="0" w:type="dxa"/>
          <w:bottom w:w="0" w:type="dxa"/>
          <w:right w:w="0" w:type="dxa"/>
        </w:tblCellMar>
      </w:tblPr>
      <w:tblGrid>
        <w:gridCol w:w="620"/>
        <w:gridCol w:w="2960"/>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4" w:name="BALANCESHEETS"/>
      <w:bookmarkEnd w:id="4"/>
      <w:r>
        <w:rPr>
          <w:rFonts w:ascii="Times New Roman" w:hAnsi="Times New Roman"/>
          <w:b/>
          <w:color w:val="000000"/>
          <w:sz w:val="20"/>
          <w:shd w:fill="FFFFFF" w:val="clear"/>
        </w:rPr>
        <w:t>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17"/>
        <w:gridCol w:w="60"/>
        <w:gridCol w:w="130"/>
        <w:gridCol w:w="1025"/>
        <w:gridCol w:w="80"/>
        <w:gridCol w:w="60"/>
        <w:gridCol w:w="128"/>
        <w:gridCol w:w="1007"/>
        <w:gridCol w:w="98"/>
      </w:tblGrid>
      <w:tr>
        <w:trPr/>
        <w:tc>
          <w:tcPr>
            <w:tcW w:w="76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8" w:type="dxa"/>
            <w:tcBorders/>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u w:val="single"/>
              </w:rPr>
            </w:pPr>
            <w:r>
              <w:rPr>
                <w:rFonts w:ascii="Times New Roman" w:hAnsi="Times New Roman"/>
                <w:sz w:val="20"/>
                <w:u w:val="single"/>
              </w:rPr>
              <w:t>ASSETS</w:t>
            </w:r>
          </w:p>
        </w:tc>
        <w:tc>
          <w:tcPr>
            <w:tcW w:w="60"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and due from banks</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61,613</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Interest-bearing deposits in banks</w:t>
            </w:r>
          </w:p>
        </w:tc>
        <w:tc>
          <w:tcPr>
            <w:tcW w:w="60"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307,841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173,270</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352,424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584,969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701,711</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Loans held for sale ($14,496 and $10,038 at fair value at September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30,403</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2,993,563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Allowance for credit losses on loans</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(42,075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17" w:type="dxa"/>
            <w:tcBorders/>
            <w:vAlign w:val="bottom"/>
          </w:tcPr>
          <w:p>
            <w:pPr>
              <w:pStyle w:val="TableContents"/>
              <w:bidi w:val="0"/>
              <w:spacing w:before="0" w:after="0"/>
              <w:ind w:left="180" w:right="0" w:hanging="0"/>
              <w:jc w:val="left"/>
              <w:rPr/>
            </w:pPr>
            <w:r>
              <w:rPr/>
              <w:t>Loans held for investment, net</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2,951,488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2,708,793</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interest receivable</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Premises and equipment, net</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56,391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56,337</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Bank-owned life insurance</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74,104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73,174</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19,508</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4,349</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 asset, net</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22,818</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48,181</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4,186,440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3,944,063</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u w:val="single"/>
              </w:rPr>
            </w:pPr>
            <w:r>
              <w:rPr>
                <w:rFonts w:ascii="Times New Roman" w:hAnsi="Times New Roman"/>
                <w:sz w:val="20"/>
                <w:u w:val="single"/>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Noninterest-bearing</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1,046,253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1,150,488</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Interest-bearing</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2,574,361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2,255,942</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deposits</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3,620,614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3,406,430</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58,265</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75,961</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3,814,724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3,587,049</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Common stock, $1.00 par value per share, 30,000,000 shares authorized; 16,600,442 and 17,027,197 issued and outstanding at September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16,600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102,633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112,834</w:t>
            </w:r>
          </w:p>
        </w:tc>
        <w:tc>
          <w:tcPr>
            <w:tcW w:w="98" w:type="dxa"/>
            <w:tcBorders/>
            <w:vAlign w:val="bottom"/>
          </w:tcPr>
          <w:p>
            <w:pPr>
              <w:pStyle w:val="TableContents"/>
              <w:bidi w:val="0"/>
              <w:spacing w:before="0" w:after="283"/>
              <w:jc w:val="left"/>
              <w:rPr/>
            </w:pPr>
            <w:r>
              <w:rPr/>
              <w:t> </w:t>
            </w:r>
          </w:p>
        </w:tc>
      </w:tr>
      <w:tr>
        <w:trPr/>
        <w:tc>
          <w:tcPr>
            <w:tcW w:w="761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337,076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292,261</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other comprehensive loss</w:t>
            </w:r>
          </w:p>
        </w:tc>
        <w:tc>
          <w:tcPr>
            <w:tcW w:w="60"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(84,593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17"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371,716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357,014</w:t>
            </w:r>
          </w:p>
        </w:tc>
        <w:tc>
          <w:tcPr>
            <w:tcW w:w="98" w:type="dxa"/>
            <w:tcBorders/>
            <w:shd w:fill="CCEEFF" w:val="clear"/>
            <w:vAlign w:val="bottom"/>
          </w:tcPr>
          <w:p>
            <w:pPr>
              <w:pStyle w:val="TableContents"/>
              <w:bidi w:val="0"/>
              <w:spacing w:before="0" w:after="283"/>
              <w:jc w:val="left"/>
              <w:rPr/>
            </w:pPr>
            <w:r>
              <w:rPr/>
              <w:t> </w:t>
            </w:r>
          </w:p>
        </w:tc>
      </w:tr>
      <w:tr>
        <w:trPr/>
        <w:tc>
          <w:tcPr>
            <w:tcW w:w="761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right"/>
              <w:rPr/>
            </w:pPr>
            <w:r>
              <w:rPr/>
              <w:t> </w:t>
            </w:r>
          </w:p>
        </w:tc>
        <w:tc>
          <w:tcPr>
            <w:tcW w:w="13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4,186,440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3,944,063</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5" w:name="STATEMENTSOFCOMPREHENSIVE"/>
      <w:bookmarkEnd w:id="5"/>
      <w:r>
        <w:rPr>
          <w:rFonts w:ascii="Times New Roman" w:hAnsi="Times New Roman"/>
          <w:b/>
          <w:color w:val="000000"/>
          <w:sz w:val="20"/>
          <w:shd w:fill="FFFFFF" w:val="clear"/>
        </w:rPr>
        <w:t>STATEMENTS OF COMPREHENSIVE INCOME (LOSS)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left"/>
        <w:rPr/>
      </w:pPr>
      <w:r>
        <w:rPr/>
      </w:r>
    </w:p>
    <w:tbl>
      <w:tblPr>
        <w:tblW w:w="8482" w:type="dxa"/>
        <w:jc w:val="left"/>
        <w:tblInd w:w="0" w:type="dxa"/>
        <w:tblLayout w:type="fixed"/>
        <w:tblCellMar>
          <w:top w:w="0" w:type="dxa"/>
          <w:left w:w="0" w:type="dxa"/>
          <w:bottom w:w="0" w:type="dxa"/>
          <w:right w:w="0" w:type="dxa"/>
        </w:tblCellMar>
      </w:tblPr>
      <w:tblGrid>
        <w:gridCol w:w="4640"/>
        <w:gridCol w:w="60"/>
        <w:gridCol w:w="142"/>
        <w:gridCol w:w="672"/>
        <w:gridCol w:w="91"/>
        <w:gridCol w:w="68"/>
        <w:gridCol w:w="142"/>
        <w:gridCol w:w="672"/>
        <w:gridCol w:w="80"/>
        <w:gridCol w:w="60"/>
        <w:gridCol w:w="125"/>
        <w:gridCol w:w="695"/>
        <w:gridCol w:w="60"/>
        <w:gridCol w:w="60"/>
        <w:gridCol w:w="125"/>
        <w:gridCol w:w="695"/>
        <w:gridCol w:w="95"/>
      </w:tblGrid>
      <w:tr>
        <w:trPr/>
        <w:tc>
          <w:tcPr>
            <w:tcW w:w="4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95"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including fees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46,242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99,260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Securities: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Taxable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5,422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10,142</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Non-taxable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Federal funds sold and interest-bearing deposits in banks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4,031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2,129</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interest income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56,528</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41,108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154,797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114,940</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18,965</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44,768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8,744</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Notes payable &amp; other borrowings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pPr>
            <w:r>
              <w:rPr/>
              <w:t>—</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1,012</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3,037</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1,005</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interest expense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20,839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12,786</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35,689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35,102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102,154</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Provision for credit losses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interest income, after provision for credit losses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36,389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105,021</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Noninterest income: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Service charges on deposit accounts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1,840</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5,149</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Income from insurance activities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8,003</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gain on sales of loans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2,631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17,924</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Bank card services and interchange fees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3,157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9,856</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Other mortgage banking income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10,670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Investment commissions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Fiduciary fees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1,815</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0" w:right="0" w:firstLine="180"/>
              <w:jc w:val="left"/>
              <w:rPr/>
            </w:pPr>
            <w:r>
              <w:rPr/>
              <w:t>Gain on sale of subsidiary</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290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33,778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1,346</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8,649</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noninterest income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12,277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20,937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63,469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Noninterest expense: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Salaries and employee benefits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18,709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22,927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67,620</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Occupancy and equipment, net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11,902</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Professional services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7,795</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Marketing and development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853</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IT and data services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818</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2,902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Bank card expenses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4,050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Appraisal expenses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360" w:right="0" w:hanging="180"/>
              <w:jc w:val="left"/>
              <w:rPr/>
            </w:pPr>
            <w:r>
              <w:rPr/>
              <w:t>Realized loss on sale of securities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3,704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13,289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noninterest expense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31,489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37,401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104,349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111,381</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before income taxes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17,177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57,109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3,683</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11,490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13,494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 (LOSS) (CONTINUED)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left"/>
        <w:rPr/>
      </w:pPr>
      <w:r>
        <w:rPr/>
      </w:r>
    </w:p>
    <w:tbl>
      <w:tblPr>
        <w:tblW w:w="9532" w:type="dxa"/>
        <w:jc w:val="left"/>
        <w:tblInd w:w="0" w:type="dxa"/>
        <w:tblLayout w:type="fixed"/>
        <w:tblCellMar>
          <w:top w:w="0" w:type="dxa"/>
          <w:left w:w="0" w:type="dxa"/>
          <w:bottom w:w="0" w:type="dxa"/>
          <w:right w:w="0" w:type="dxa"/>
        </w:tblCellMar>
      </w:tblPr>
      <w:tblGrid>
        <w:gridCol w:w="5495"/>
        <w:gridCol w:w="60"/>
        <w:gridCol w:w="132"/>
        <w:gridCol w:w="688"/>
        <w:gridCol w:w="84"/>
        <w:gridCol w:w="63"/>
        <w:gridCol w:w="132"/>
        <w:gridCol w:w="688"/>
        <w:gridCol w:w="80"/>
        <w:gridCol w:w="60"/>
        <w:gridCol w:w="125"/>
        <w:gridCol w:w="650"/>
        <w:gridCol w:w="80"/>
        <w:gridCol w:w="60"/>
        <w:gridCol w:w="125"/>
        <w:gridCol w:w="755"/>
        <w:gridCol w:w="255"/>
      </w:tblGrid>
      <w:tr>
        <w:trPr/>
        <w:tc>
          <w:tcPr>
            <w:tcW w:w="5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25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5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Earnings per share: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0.80</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2.61</w:t>
            </w:r>
          </w:p>
        </w:tc>
        <w:tc>
          <w:tcPr>
            <w:tcW w:w="25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0.78</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25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13,494</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25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Other comprehensive loss: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ind w:left="0" w:right="0" w:firstLine="180"/>
              <w:jc w:val="left"/>
              <w:rPr/>
            </w:pPr>
            <w:r>
              <w:rPr/>
              <w:t> </w:t>
            </w:r>
          </w:p>
        </w:tc>
      </w:tr>
      <w:tr>
        <w:trPr/>
        <w:tc>
          <w:tcPr>
            <w:tcW w:w="5495" w:type="dxa"/>
            <w:tcBorders/>
            <w:vAlign w:val="bottom"/>
          </w:tcPr>
          <w:p>
            <w:pPr>
              <w:pStyle w:val="TableContents"/>
              <w:bidi w:val="0"/>
              <w:spacing w:before="0" w:after="283"/>
              <w:jc w:val="left"/>
              <w:rPr/>
            </w:pPr>
            <w:r>
              <w:rPr/>
              <w:t>Unrealized losses on securities available for sale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(30,907</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(39,102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(29,393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(126,076</w:t>
            </w:r>
          </w:p>
        </w:tc>
        <w:tc>
          <w:tcPr>
            <w:tcW w:w="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95" w:type="dxa"/>
            <w:tcBorders/>
            <w:shd w:fill="CCEEFF" w:val="clear"/>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Less: Change in fair value on hedged state and municipal securities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15,681</w:t>
            </w:r>
          </w:p>
        </w:tc>
        <w:tc>
          <w:tcPr>
            <w:tcW w:w="25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pPr>
            <w:r>
              <w:rPr/>
              <w:t>Reclassification adjustment for loss on sale of securities</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3,409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25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Tax effect</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6,051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23,183</w:t>
            </w:r>
          </w:p>
        </w:tc>
        <w:tc>
          <w:tcPr>
            <w:tcW w:w="25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pPr>
            <w:r>
              <w:rPr/>
              <w:t>Other comprehensive loss</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(22,765</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(26,678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(19,485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(87,212</w:t>
            </w:r>
          </w:p>
        </w:tc>
        <w:tc>
          <w:tcPr>
            <w:tcW w:w="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95"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(9,271</w:t>
            </w:r>
          </w:p>
        </w:tc>
        <w:tc>
          <w:tcPr>
            <w:tcW w:w="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(11,220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(41,593</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6" w:name="STATEMENTSOFCHANGESINSTOC"/>
      <w:bookmarkEnd w:id="6"/>
      <w:r>
        <w:rPr>
          <w:rFonts w:ascii="Times New Roman" w:hAnsi="Times New Roman"/>
          <w:b/>
          <w:color w:val="000000"/>
          <w:sz w:val="20"/>
          <w:shd w:fill="FFFFFF" w:val="clear"/>
        </w:rPr>
        <w:t>STATEMENTS OF CHANGES IN STOCKHOLDERS’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650"/>
        <w:gridCol w:w="60"/>
        <w:gridCol w:w="60"/>
        <w:gridCol w:w="950"/>
        <w:gridCol w:w="95"/>
        <w:gridCol w:w="60"/>
        <w:gridCol w:w="125"/>
        <w:gridCol w:w="590"/>
        <w:gridCol w:w="95"/>
        <w:gridCol w:w="60"/>
        <w:gridCol w:w="140"/>
        <w:gridCol w:w="780"/>
        <w:gridCol w:w="95"/>
        <w:gridCol w:w="60"/>
        <w:gridCol w:w="125"/>
        <w:gridCol w:w="695"/>
        <w:gridCol w:w="95"/>
        <w:gridCol w:w="60"/>
        <w:gridCol w:w="216"/>
        <w:gridCol w:w="1124"/>
        <w:gridCol w:w="80"/>
        <w:gridCol w:w="60"/>
        <w:gridCol w:w="125"/>
        <w:gridCol w:w="695"/>
        <w:gridCol w:w="110"/>
      </w:tblGrid>
      <w:tr>
        <w:trPr/>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1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Nine Months Ended September 30,</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December 31,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17,760,243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133,215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242,750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407,427</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$0.34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(5,973</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(87,212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(87,212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pPr>
            <w:r>
              <w:rPr/>
              <w:t>Impact of adoption of Topic 842 related to leases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(717</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Exercise of employee stock options and vesting of restricted stock units, net of 16,255 shares for cashless exercise and net of 11,126 shares for taxes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(729,613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(18,197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(18,926</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1,866</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September 30, 2022</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17,064,640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116,565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281,679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(73,510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341,799</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17,027,197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292,261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357,014</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$0.39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(6,609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(6,609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widowControl/>
              <w:bidi w:val="0"/>
              <w:spacing w:before="0" w:after="0"/>
              <w:ind w:left="180" w:right="0" w:hanging="135"/>
              <w:jc w:val="left"/>
              <w:rPr>
                <w:rFonts w:ascii="Times New Roman" w:hAnsi="Times New Roman"/>
                <w:sz w:val="20"/>
              </w:rPr>
            </w:pPr>
            <w:r>
              <w:rPr>
                <w:rFonts w:ascii="Times New Roman" w:hAnsi="Times New Roman"/>
                <w:sz w:val="20"/>
              </w:rPr>
              <w:t xml:space="preserve">Other comprehensive </w:t>
            </w:r>
            <w:r>
              <w:rPr>
                <w:rFonts w:ascii="Times New Roman;Times;serif" w:hAnsi="Times New Roman;Times;serif"/>
                <w:b w:val="false"/>
                <w:i w:val="false"/>
                <w:caps w:val="false"/>
                <w:smallCaps w:val="false"/>
                <w:color w:val="000000"/>
                <w:spacing w:val="0"/>
                <w:sz w:val="20"/>
              </w:rPr>
              <w:t>loss</w:t>
            </w:r>
            <w:r>
              <w:rPr>
                <w:rFonts w:ascii="Times New Roman" w:hAnsi="Times New Roman"/>
                <w:sz w:val="20"/>
              </w:rPr>
              <w:t xml:space="preserve">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(19,485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(19,485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pPr>
            <w:r>
              <w:rPr/>
              <w:t>Impact of adoption of ASU 2016-13 - CECL</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(997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(997</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Exercise of employee stock options and vesting of restricted stock units, net of 26,872 shares for cashless exercise and net of 15,769 shares for taxes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40,720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(467,475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(11,393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(11,860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1,625</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September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16,600,442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102,633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337,076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(84,593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371,716</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Three Months Ended September 30,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2022</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17,417,094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125,332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268,305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(46,832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364,222</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15,458</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$0.12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(2,084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(2,084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(26,678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(26,678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widowControl/>
              <w:bidi w:val="0"/>
              <w:spacing w:before="0" w:after="0"/>
              <w:ind w:left="180" w:right="0" w:hanging="0"/>
              <w:jc w:val="left"/>
              <w:rPr/>
            </w:pPr>
            <w:r>
              <w:rPr/>
              <w:t xml:space="preserve">Exercise of employee stock options and vesting of  restricted stock units, net of 11,431 </w:t>
            </w:r>
            <w:r>
              <w:rPr>
                <w:rFonts w:ascii="Times New Roman;Times;serif" w:hAnsi="Times New Roman;Times;serif"/>
                <w:b w:val="false"/>
                <w:i w:val="false"/>
                <w:caps w:val="false"/>
                <w:smallCaps w:val="false"/>
                <w:color w:val="000000"/>
                <w:spacing w:val="0"/>
                <w:sz w:val="20"/>
              </w:rPr>
              <w:t>shares for cashless exercise and net of</w:t>
            </w:r>
            <w:r>
              <w:rPr/>
              <w:t xml:space="preserve"> 3,997 shares for taxes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13,673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(104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(90</w:t>
            </w:r>
          </w:p>
        </w:tc>
        <w:tc>
          <w:tcPr>
            <w:tcW w:w="110" w:type="dxa"/>
            <w:tcBorders/>
            <w:vAlign w:val="bottom"/>
          </w:tcPr>
          <w:p>
            <w:pPr>
              <w:pStyle w:val="TableContents"/>
              <w:bidi w:val="0"/>
              <w:spacing w:before="0" w:after="283"/>
              <w:jc w:val="left"/>
              <w:rPr/>
            </w:pPr>
            <w:r>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(366,127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(9,352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(9,718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689</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September 30, 2022</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17,064,640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116,565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281,679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(73,510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341,799</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16,952,072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325,772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(61,828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392,029</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13,494</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$0.13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(22,765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(22,765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widowControl/>
              <w:bidi w:val="0"/>
              <w:spacing w:before="0" w:after="0"/>
              <w:ind w:left="180" w:right="0" w:hanging="0"/>
              <w:jc w:val="left"/>
              <w:rPr/>
            </w:pPr>
            <w:r>
              <w:rPr/>
              <w:t xml:space="preserve">Exercise of employee stock options and vesting of restricted stock units, net of 2,732 </w:t>
            </w:r>
            <w:r>
              <w:rPr>
                <w:rFonts w:ascii="Times New Roman;Times;serif" w:hAnsi="Times New Roman;Times;serif"/>
                <w:b w:val="false"/>
                <w:i w:val="false"/>
                <w:caps w:val="false"/>
                <w:smallCaps w:val="false"/>
                <w:color w:val="000000"/>
                <w:spacing w:val="0"/>
                <w:sz w:val="20"/>
              </w:rPr>
              <w:t>shares for cashless exercise and net of 1,877 shares for taxes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2,891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(51</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283"/>
              <w:jc w:val="left"/>
              <w:rPr/>
            </w:pPr>
            <w:r>
              <w:rPr/>
              <w:t>Repurchases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(354,521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(354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(8,958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(9,312</w:t>
            </w:r>
          </w:p>
        </w:tc>
        <w:tc>
          <w:tcPr>
            <w:tcW w:w="110" w:type="dxa"/>
            <w:tcBorders/>
            <w:vAlign w:val="bottom"/>
          </w:tcPr>
          <w:p>
            <w:pPr>
              <w:pStyle w:val="TableContents"/>
              <w:bidi w:val="0"/>
              <w:spacing w:before="0" w:after="283"/>
              <w:jc w:val="left"/>
              <w:rPr/>
            </w:pPr>
            <w:r>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September 30,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16,600,442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102,633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337,076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(84,593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371,716</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7" w:name="STATEMENTSOFCASHFLOWS"/>
      <w:bookmarkEnd w:id="7"/>
      <w:r>
        <w:rPr>
          <w:rFonts w:ascii="Times New Roman" w:hAnsi="Times New Roman"/>
          <w:b/>
          <w:color w:val="000000"/>
          <w:sz w:val="20"/>
          <w:shd w:fill="FFFFFF" w:val="clear"/>
        </w:rPr>
        <w:t>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w:t>
      </w:r>
    </w:p>
    <w:p>
      <w:pPr>
        <w:pStyle w:val="TextBody"/>
        <w:bidi w:val="0"/>
        <w:spacing w:before="0" w:after="0"/>
        <w:jc w:val="left"/>
        <w:rPr/>
      </w:pPr>
      <w:r>
        <w:rPr/>
      </w:r>
    </w:p>
    <w:tbl>
      <w:tblPr>
        <w:tblW w:w="8090" w:type="dxa"/>
        <w:jc w:val="left"/>
        <w:tblInd w:w="0" w:type="dxa"/>
        <w:tblLayout w:type="fixed"/>
        <w:tblCellMar>
          <w:top w:w="0" w:type="dxa"/>
          <w:left w:w="0" w:type="dxa"/>
          <w:bottom w:w="0" w:type="dxa"/>
          <w:right w:w="0" w:type="dxa"/>
        </w:tblCellMar>
      </w:tblPr>
      <w:tblGrid>
        <w:gridCol w:w="6020"/>
        <w:gridCol w:w="60"/>
        <w:gridCol w:w="125"/>
        <w:gridCol w:w="755"/>
        <w:gridCol w:w="95"/>
        <w:gridCol w:w="60"/>
        <w:gridCol w:w="125"/>
        <w:gridCol w:w="755"/>
        <w:gridCol w:w="95"/>
      </w:tblGrid>
      <w:tr>
        <w:trPr/>
        <w:tc>
          <w:tcPr>
            <w:tcW w:w="6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Adjustments to reconcile net income to net cash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credit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0"/>
              <w:jc w:val="left"/>
              <w:rPr/>
            </w:pPr>
            <w:r>
              <w:rPr/>
              <w:t>Provision for foreclosed asset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5,277</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Accretion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3,089</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gains,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0"/>
              <w:jc w:val="left"/>
              <w:rPr/>
            </w:pPr>
            <w:r>
              <w:rPr/>
              <w:t>Gain on sale of subsidiary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(33,778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0"/>
              <w:jc w:val="left"/>
              <w:rPr/>
            </w:pPr>
            <w:r>
              <w:rPr/>
              <w:t>Loss on sale of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gain on sales of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(9,077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(17,924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Proceeds from sales of loans held for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339,220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659,061</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Loans originated for sale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(321,163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(594,246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Deferred income tax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2,093</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Earnings on bank-owned life insurance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1,866</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Change in valuation of mortgage servicing rights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(6,030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change in: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Accrued interest receivable and other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(4,744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26,702</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51,979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118,945</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Activity in securities available for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Purchases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(176,713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360" w:right="0" w:hanging="0"/>
              <w:jc w:val="left"/>
              <w:rPr/>
            </w:pPr>
            <w:r>
              <w:rPr/>
              <w:t>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Maturities, prepayments, and calls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60,772</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Loan originations and principal collections,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(247,869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(252,828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Purchases of premises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(4,682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sales of premises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pPr>
            <w:r>
              <w:rPr/>
              <w:t>Proceeds from sale of subsidiary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36,080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sales of foreclosed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1,884</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(129,760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(369,934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change in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214,184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119,314</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Payments to tax authorities for 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dividends paid on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(6,609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Payments to repurchase common stock</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(11,860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(18,926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195,322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94,130</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change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117,541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(156,859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cash and cash equivalents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486,821</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352,424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329,962</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Supplemental disclosures of cash flow information: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paid on deposits and borrowed funds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49,406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12,953</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pPr>
            <w:r>
              <w:rPr/>
              <w:t>Income taxes paid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16,231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8,488</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Supplemental schedule of noncash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transferred to foreclosed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465</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pPr>
            <w:r>
              <w:rPr/>
              <w:t>Premises and equipment transferred to other real estate owned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Additions to mortgage servicing rights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bookmarkStart w:id="8" w:name="NOTESTOCONSOL"/>
      <w:bookmarkEnd w:id="8"/>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  SUMMARY OF SIGNIFICANT ACCOUNTING POLICIES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
        <w:jc w:val="both"/>
        <w:rPr>
          <w:rFonts w:ascii="Times New Roman" w:hAnsi="Times New Roman"/>
          <w:color w:val="000000"/>
          <w:sz w:val="20"/>
          <w:shd w:fill="FFFFFF" w:val="clear"/>
        </w:rPr>
      </w:pPr>
      <w:r>
        <w:rPr>
          <w:rFonts w:ascii="Times New Roman" w:hAnsi="Times New Roman"/>
          <w:i/>
          <w:color w:val="000000"/>
          <w:sz w:val="20"/>
          <w:u w:val="single"/>
          <w:shd w:fill="FFFFFF" w:val="clear"/>
        </w:rPr>
        <w:t>Nature of Operations</w:t>
      </w:r>
      <w:r>
        <w:rPr>
          <w:rFonts w:ascii="Times New Roman" w:hAnsi="Times New Roman"/>
          <w:color w:val="000000"/>
          <w:sz w:val="20"/>
          <w:shd w:fill="FFFFFF" w:val="clear"/>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September 30, 2023:</w:t>
      </w:r>
    </w:p>
    <w:p>
      <w:pPr>
        <w:pStyle w:val="TextBody"/>
        <w:bidi w:val="0"/>
        <w:spacing w:before="0" w:after="0"/>
        <w:jc w:val="left"/>
        <w:rPr/>
      </w:pPr>
      <w:r>
        <w:rPr/>
      </w:r>
    </w:p>
    <w:tbl>
      <w:tblPr>
        <w:tblW w:w="6055" w:type="dxa"/>
        <w:jc w:val="left"/>
        <w:tblInd w:w="0" w:type="dxa"/>
        <w:tblLayout w:type="fixed"/>
        <w:tblCellMar>
          <w:top w:w="0" w:type="dxa"/>
          <w:left w:w="0" w:type="dxa"/>
          <w:bottom w:w="0" w:type="dxa"/>
          <w:right w:w="0" w:type="dxa"/>
        </w:tblCellMar>
      </w:tblPr>
      <w:tblGrid>
        <w:gridCol w:w="4205"/>
        <w:gridCol w:w="1850"/>
      </w:tblGrid>
      <w:tr>
        <w:trPr/>
        <w:tc>
          <w:tcPr>
            <w:tcW w:w="4205"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Wholly-Owned, Consolidated Subsidiaries:</w:t>
            </w:r>
          </w:p>
        </w:tc>
        <w:tc>
          <w:tcPr>
            <w:tcW w:w="185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City Bank</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Bank subsidiary</w:t>
            </w:r>
          </w:p>
        </w:tc>
      </w:tr>
      <w:tr>
        <w:trPr/>
        <w:tc>
          <w:tcPr>
            <w:tcW w:w="4205" w:type="dxa"/>
            <w:tcBorders/>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Ruidoso Retail, Inc.</w:t>
            </w:r>
          </w:p>
        </w:tc>
        <w:tc>
          <w:tcPr>
            <w:tcW w:w="1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 Provence, LLC</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CBT Brushy Creek, LLC</w:t>
            </w:r>
          </w:p>
        </w:tc>
        <w:tc>
          <w:tcPr>
            <w:tcW w:w="1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CBT Properties, LLC</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Wholly-Owned, Equity Method Subsidiaries:</w:t>
            </w:r>
          </w:p>
        </w:tc>
        <w:tc>
          <w:tcPr>
            <w:tcW w:w="185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South Plains Financial Capital Trusts (SPFCT) III-V</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SPFI entered into a Securities Purchase Agreement (“Agreement”) with Alliant Insurance Services, Inc. (“Alliant”), providing for the sale of Windmark Insurance Agency, Inc. (“Windmark”)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The purchase price may be increased by the net amount of Windmark working capital as provided in the Agreement. This transaction did not meet the criteria for discontinued operations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Basis of Presentation and Consolidation</w:t>
      </w:r>
      <w:r>
        <w:rPr>
          <w:rFonts w:ascii="Times New Roman" w:hAnsi="Times New Roman"/>
          <w:color w:val="000000"/>
          <w:sz w:val="20"/>
          <w:shd w:fill="FFFFFF" w:val="clear"/>
        </w:rPr>
        <w:t xml:space="preserve"> –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in this Quarterly Report on Form 10-Q for the three and nine months ended September 30, 2023 (this “Form 10-Q”)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2022. Operating results for the interim periods disclosed herein are not necessarily indicative of the results that may be expected for a full year or any future period.</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Use of Estimates</w:t>
      </w:r>
      <w:r>
        <w:rPr>
          <w:rFonts w:ascii="Times New Roman" w:hAnsi="Times New Roman"/>
          <w:color w:val="000000"/>
          <w:sz w:val="20"/>
          <w:shd w:fill="FFFFFF" w:val="clear"/>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w:t>
      </w:r>
      <w:r>
        <w:rPr>
          <w:rFonts w:ascii="Times New Roman" w:hAnsi="Times New Roman"/>
          <w:b w:val="false"/>
          <w:i w:val="false"/>
          <w:caps w:val="false"/>
          <w:smallCaps w:val="false"/>
          <w:color w:val="000000"/>
          <w:spacing w:val="0"/>
          <w:sz w:val="20"/>
          <w:shd w:fill="FFFFFF" w:val="clear"/>
        </w:rPr>
        <w:t>(“ACL”)</w:t>
      </w:r>
      <w:r>
        <w:rPr>
          <w:rFonts w:ascii="Times New Roman" w:hAnsi="Times New Roman"/>
          <w:caps w:val="false"/>
          <w:smallCaps w:val="false"/>
          <w:color w:val="000000"/>
          <w:sz w:val="20"/>
          <w:shd w:fill="FFFFFF" w:val="clear"/>
        </w:rPr>
        <w:t xml:space="preserve"> </w:t>
      </w:r>
      <w:r>
        <w:rPr>
          <w:rFonts w:ascii="Times New Roman" w:hAnsi="Times New Roman"/>
          <w:color w:val="000000"/>
          <w:sz w:val="20"/>
          <w:shd w:fill="FFFFFF" w:val="clear"/>
        </w:rPr>
        <w:t>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caps w:val="false"/>
          <w:smallCaps w:val="false"/>
          <w:color w:val="000000"/>
          <w:sz w:val="20"/>
          <w:u w:val="single"/>
          <w:shd w:fill="FFFFFF" w:val="clear"/>
        </w:rPr>
        <w:t>Accounting Changes</w:t>
      </w:r>
      <w:r>
        <w:rPr>
          <w:rFonts w:ascii="Times New Roman" w:hAnsi="Times New Roman"/>
          <w:b w:val="false"/>
          <w:i w:val="false"/>
          <w:caps w:val="false"/>
          <w:smallCaps w:val="false"/>
          <w:color w:val="000000"/>
          <w:sz w:val="20"/>
          <w:shd w:fill="FFFFFF" w:val="clear"/>
        </w:rPr>
        <w:t xml:space="preserve"> – Updates to the Financial Accounting Standards Board (“FASB”) Accounting Standards Codification (“ASC”) are prescribed in Accounting Standards Updates (“ASUs”), which are not authoritative until incorporated into the ASC.</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ASU 2016-13 Financial Instruments - Credit Losses (Topic 326).</w:t>
      </w:r>
      <w:r>
        <w:rPr>
          <w:rFonts w:ascii="Times New Roman" w:hAnsi="Times New Roman"/>
          <w:b w:val="false"/>
          <w:i w:val="false"/>
          <w:caps w:val="false"/>
          <w:smallCaps w:val="false"/>
          <w:color w:val="000000"/>
          <w:spacing w:val="0"/>
          <w:sz w:val="20"/>
          <w:shd w:fill="FFFFFF" w:val="clear"/>
        </w:rPr>
        <w:t> </w:t>
      </w:r>
      <w:r>
        <w:rPr>
          <w:rFonts w:ascii="Times New Roman" w:hAnsi="Times New Roman"/>
          <w:b w:val="false"/>
          <w:i w:val="false"/>
          <w:caps w:val="false"/>
          <w:smallCaps w:val="false"/>
          <w:color w:val="000000"/>
          <w:spacing w:val="0"/>
          <w:sz w:val="20"/>
          <w:shd w:fill="FFFFFF" w:val="clear"/>
        </w:rPr>
        <w:t>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effective January 1, 2023 using the modified retrospective approach. As a result, the Company recognized a one-time, after tax cumulative effect debit adjustment of $997 thousand to retained earnings, increased the ACL for loans by approximately $ thousand and increased the ACL for off-balance sheet credit exposures by approximately $1.2 million.  Results for reporting periods beginning after January 1, 2023 are presented under Topic 326, while prior period amounts continue to be reported in accordance with previously applicable GAAP.</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The Company made the following policy elections related to the adoption of the CECL model. First,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Consolidated Balance Sheets. Second,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impact on the ACL resulting from the adoption of the CECL model is shown below.</w:t>
      </w:r>
      <w:r>
        <w:rPr>
          <w:rFonts w:ascii="Times New Roman" w:hAnsi="Times New Roman"/>
          <w:b w:val="false"/>
          <w:i w:val="false"/>
          <w:caps w:val="false"/>
          <w:smallCaps w:val="false"/>
          <w:color w:val="000000"/>
          <w:spacing w:val="0"/>
          <w:sz w:val="20"/>
          <w:shd w:fill="FFFFFF" w:val="clear"/>
        </w:rPr>
        <w:t xml:space="preserve">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tbl>
      <w:tblPr>
        <w:tblW w:w="8364" w:type="dxa"/>
        <w:jc w:val="left"/>
        <w:tblInd w:w="0" w:type="dxa"/>
        <w:tblLayout w:type="fixed"/>
        <w:tblCellMar>
          <w:top w:w="0" w:type="dxa"/>
          <w:left w:w="0" w:type="dxa"/>
          <w:bottom w:w="0" w:type="dxa"/>
          <w:right w:w="0" w:type="dxa"/>
        </w:tblCellMar>
      </w:tblPr>
      <w:tblGrid>
        <w:gridCol w:w="4760"/>
        <w:gridCol w:w="60"/>
        <w:gridCol w:w="202"/>
        <w:gridCol w:w="958"/>
        <w:gridCol w:w="60"/>
        <w:gridCol w:w="60"/>
        <w:gridCol w:w="154"/>
        <w:gridCol w:w="675"/>
        <w:gridCol w:w="80"/>
        <w:gridCol w:w="60"/>
        <w:gridCol w:w="213"/>
        <w:gridCol w:w="1007"/>
        <w:gridCol w:w="75"/>
      </w:tblGrid>
      <w:tr>
        <w:trPr/>
        <w:tc>
          <w:tcPr>
            <w:tcW w:w="4760" w:type="dxa"/>
            <w:tcBorders/>
            <w:vAlign w:val="bottom"/>
          </w:tcPr>
          <w:p>
            <w:pPr>
              <w:pStyle w:val="TableContents"/>
              <w:bidi w:val="0"/>
              <w:spacing w:before="0" w:after="283"/>
              <w:jc w:val="left"/>
              <w:rPr/>
            </w:pPr>
            <w:r>
              <w:rPr/>
              <w:t> </w:t>
            </w:r>
            <w:r>
              <w:rPr/>
              <w:t xml:space="preserve">(Dollars in </w:t>
            </w:r>
            <w:r>
              <w:rPr>
                <w:rFonts w:ascii="Times New Roman" w:hAnsi="Times New Roman"/>
                <w:sz w:val="20"/>
              </w:rPr>
              <w:t>thousand</w:t>
            </w:r>
            <w:r>
              <w:rPr/>
              <w:t>s)</w:t>
            </w:r>
          </w:p>
        </w:tc>
        <w:tc>
          <w:tcPr>
            <w:tcW w:w="60" w:type="dxa"/>
            <w:tcBorders/>
            <w:vAlign w:val="bottom"/>
          </w:tcPr>
          <w:p>
            <w:pPr>
              <w:pStyle w:val="TableContents"/>
              <w:bidi w:val="0"/>
              <w:spacing w:before="0" w:after="283"/>
              <w:jc w:val="left"/>
              <w:rPr/>
            </w:pPr>
            <w:r>
              <w:rPr/>
              <w:t> </w:t>
            </w:r>
          </w:p>
        </w:tc>
        <w:tc>
          <w:tcPr>
            <w:tcW w:w="3469" w:type="dxa"/>
            <w:gridSpan w:val="10"/>
            <w:tcBorders>
              <w:bottom w:val="single" w:sz="12" w:space="0" w:color="000000"/>
            </w:tcBorders>
            <w:tcMar>
              <w:bottom w:w="28" w:type="dxa"/>
            </w:tcMar>
            <w:vAlign w:val="bottom"/>
          </w:tcPr>
          <w:p>
            <w:pPr>
              <w:pStyle w:val="TableContents"/>
              <w:bidi w:val="0"/>
              <w:spacing w:before="0" w:after="0"/>
              <w:jc w:val="center"/>
              <w:rPr>
                <w:b/>
              </w:rPr>
            </w:pPr>
            <w:r>
              <w:rPr>
                <w:b/>
              </w:rPr>
              <w:t>January 1, 2023</w:t>
            </w:r>
          </w:p>
        </w:tc>
        <w:tc>
          <w:tcPr>
            <w:tcW w:w="7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sz w:val="20"/>
              </w:rPr>
            </w:pPr>
            <w:r>
              <w:rPr>
                <w:rFonts w:ascii="Times New Roman" w:hAnsi="Times New Roman"/>
                <w:b/>
                <w:sz w:val="20"/>
              </w:rPr>
              <w:t>Pre-Adoption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Impact of</w:t>
            </w:r>
          </w:p>
          <w:p>
            <w:pPr>
              <w:pStyle w:val="TableContents"/>
              <w:bidi w:val="0"/>
              <w:spacing w:before="0" w:after="0"/>
              <w:jc w:val="center"/>
              <w:rPr>
                <w:rFonts w:ascii="Times New Roman" w:hAnsi="Times New Roman"/>
                <w:b/>
                <w:sz w:val="20"/>
              </w:rPr>
            </w:pPr>
            <w:r>
              <w:rPr>
                <w:rFonts w:ascii="Times New Roman" w:hAnsi="Times New Roman"/>
                <w:b/>
                <w:sz w:val="20"/>
              </w:rPr>
              <w:t>Adoption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sz w:val="20"/>
              </w:rPr>
            </w:pPr>
            <w:r>
              <w:rPr>
                <w:rFonts w:ascii="Times New Roman" w:hAnsi="Times New Roman"/>
                <w:b/>
                <w:sz w:val="20"/>
              </w:rPr>
              <w:t>Post-Adoption</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13,856</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3,458</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7,894</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3,594</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2,806</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Total allowance for credit losses on loans</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39,390</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Allowance for credit losses for off-balance sheet exposures</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br/>
      </w:r>
      <w:r>
        <w:rPr>
          <w:rFonts w:ascii="Times New Roman" w:hAnsi="Times New Roman"/>
          <w:b w:val="false"/>
          <w:i/>
          <w:caps w:val="false"/>
          <w:smallCaps w:val="false"/>
          <w:color w:val="000000"/>
          <w:spacing w:val="0"/>
          <w:sz w:val="20"/>
          <w:shd w:fill="FFFFFF" w:val="clear"/>
        </w:rPr>
        <w:t>ASU 2022-02 Financial Instruments - Credit Losses (Topic 326): Troubled Debt Restructurings and Vintage Disclosures.</w:t>
      </w:r>
      <w:r>
        <w:rPr>
          <w:rFonts w:ascii="Times New Roman" w:hAnsi="Times New Roman"/>
          <w:b w:val="false"/>
          <w:i w:val="false"/>
          <w:caps w:val="false"/>
          <w:smallCaps w:val="false"/>
          <w:color w:val="000000"/>
          <w:spacing w:val="0"/>
          <w:sz w:val="20"/>
          <w:shd w:fill="FFFFFF" w:val="clear"/>
        </w:rPr>
        <w:t> </w:t>
      </w:r>
      <w:r>
        <w:rPr>
          <w:rFonts w:ascii="Times New Roman" w:hAnsi="Times New Roman"/>
          <w:b w:val="false"/>
          <w:i w:val="false"/>
          <w:caps w:val="false"/>
          <w:smallCaps w:val="false"/>
          <w:color w:val="000000"/>
          <w:spacing w:val="0"/>
          <w:sz w:val="20"/>
          <w:shd w:fill="FFFFFF" w:val="clear"/>
        </w:rPr>
        <w:t>This ASU eliminates guidance for troubled 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consolidated financial statements.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connection with the adoption of the CECL model, the Company revised certain accounting policies and implemented certain accounting policy elections.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Securities</w:t>
      </w:r>
      <w:r>
        <w:rPr>
          <w:rFonts w:ascii="Times New Roman" w:hAnsi="Times New Roman"/>
          <w:caps w:val="false"/>
          <w:smallCaps w:val="false"/>
          <w:color w:val="000000"/>
          <w:sz w:val="20"/>
          <w:u w:val="single"/>
          <w:shd w:fill="FFFFFF" w:val="clear"/>
        </w:rPr>
        <w:t xml:space="preserve"> </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Investment </w:t>
      </w:r>
      <w:r>
        <w:rPr>
          <w:rFonts w:ascii="Times New Roman" w:hAnsi="Times New Roman"/>
          <w:b w:val="false"/>
          <w:i w:val="false"/>
          <w:caps w:val="false"/>
          <w:smallCaps w:val="false"/>
          <w:color w:val="000000"/>
          <w:spacing w:val="0"/>
          <w:sz w:val="20"/>
          <w:shd w:fill="FFFFFF" w:val="clear"/>
        </w:rPr>
        <w:t>securities may be classified into trading, held to maturity (“HTM”) or available for sale (“AFS”)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 of other comprehensive income (loss), net of tax.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Consolidated  Balance Sheets. Interest accrued but not received for a security placed on nonaccrual status is reversed against interest income.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pacing w:val="0"/>
          <w:sz w:val="20"/>
          <w:u w:val="single"/>
          <w:shd w:fill="FFFFFF" w:val="clear"/>
        </w:rPr>
        <w:t>ACL (AFS Securities) </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r>
        <w:rPr>
          <w:rFonts w:ascii="Times New Roman" w:hAnsi="Times New Roman"/>
          <w:color w:val="000000"/>
          <w:sz w:val="20"/>
          <w:shd w:fill="FFFFFF" w:val="clear"/>
        </w:rPr>
        <w:t xml:space="preserve">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Loans</w:t>
      </w:r>
      <w:r>
        <w:rPr>
          <w:rFonts w:ascii="Times New Roman" w:hAnsi="Times New Roman"/>
          <w:color w:val="000000"/>
          <w:sz w:val="20"/>
          <w:shd w:fill="FFFFFF" w:val="clear"/>
        </w:rPr>
        <w:t xml:space="preserve"> – Loans </w:t>
      </w:r>
      <w:r>
        <w:rPr>
          <w:rFonts w:ascii="Times New Roman" w:hAnsi="Times New Roman"/>
          <w:b w:val="false"/>
          <w:i w:val="false"/>
          <w:caps w:val="false"/>
          <w:smallCaps w:val="false"/>
          <w:color w:val="000000"/>
          <w:spacing w:val="0"/>
          <w:sz w:val="20"/>
          <w:shd w:fill="FFFFFF" w:val="clear"/>
        </w:rPr>
        <w:t>that management has the intent and ability to hold for the foreseeable future or until maturity or payoff are reported at their amortized cost. Amortized cost is the outstanding unpaid principal balances, net of any unearned income, charge-offs, unamortized deferred fees and costs on originated loans, and unamortized premiums or discounts on purchased loans.  The Company has made a policy election to exclude accrued interest from the amortized cost basis of loans and report accrued interest separately from the related loan balance in accrued interest receivable on the Consolidated Balance Sheets. Accrued interest receivable is excluded from the estimate of credit losses.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 </w:t>
      </w:r>
    </w:p>
    <w:p>
      <w:pPr>
        <w:pStyle w:val="TextBody"/>
        <w:bidi w:val="0"/>
        <w:spacing w:before="0" w:after="0"/>
        <w:jc w:val="left"/>
        <w:rPr>
          <w:rFonts w:ascii="Times New Roman" w:hAnsi="Times New Roman"/>
          <w:b w:val="false"/>
          <w:i w:val="false"/>
          <w:caps w:val="false"/>
          <w:smallCaps w:val="false"/>
          <w:color w:val="000000"/>
        </w:rPr>
      </w:pPr>
      <w:r>
        <w:rPr>
          <w:rFonts w:ascii="Times New Roman" w:hAnsi="Times New Roman"/>
          <w:b w:val="false"/>
          <w:i w:val="false"/>
          <w:caps w:val="false"/>
          <w:smallCaps w:val="false"/>
          <w:color w:val="00000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ACL (Loans)</w:t>
      </w:r>
      <w:r>
        <w:rPr>
          <w:rFonts w:ascii="Times New Roman" w:hAnsi="Times New Roman"/>
          <w:caps w:val="false"/>
          <w:smallCaps w:val="false"/>
          <w:color w:val="000000"/>
          <w:sz w:val="20"/>
          <w:u w:val="single"/>
          <w:shd w:fill="FFFFFF" w:val="clear"/>
        </w:rPr>
        <w:t xml:space="preserve"> </w:t>
      </w:r>
      <w:r>
        <w:rPr>
          <w:rFonts w:ascii="Times New Roman" w:hAnsi="Times New Roman"/>
          <w:caps w:val="false"/>
          <w:smallCaps w:val="false"/>
          <w:color w:val="000000"/>
          <w:sz w:val="20"/>
          <w:shd w:fill="FFFFFF" w:val="clear"/>
        </w:rPr>
        <w:t xml:space="preserve">– </w:t>
      </w:r>
      <w:r>
        <w:rPr>
          <w:rFonts w:ascii="Times New Roman" w:hAnsi="Times New Roman"/>
          <w:b w:val="false"/>
          <w:caps w:val="false"/>
          <w:smallCaps w:val="false"/>
          <w:color w:val="000000"/>
          <w:sz w:val="20"/>
          <w:shd w:fill="FFFFFF" w:val="clear"/>
        </w:rPr>
        <w:t xml:space="preserve">The </w:t>
      </w:r>
      <w:r>
        <w:rPr>
          <w:rFonts w:ascii="Times New Roman" w:hAnsi="Times New Roman"/>
          <w:b w:val="false"/>
          <w:i w:val="false"/>
          <w:caps w:val="false"/>
          <w:smallCaps w:val="false"/>
          <w:color w:val="000000"/>
          <w:spacing w:val="0"/>
          <w:sz w:val="20"/>
          <w:shd w:fill="FFFFFF" w:val="clear"/>
        </w:rPr>
        <w:t>ACL is a valuation account established by management as an estimate to cover expected credit losses through a provision for credit losses charged to earnings. Credit losses on loans are charged against the allowance when management believes the uncollectibility of a loan balance is confirmed. Subsequent recoveries, if any, are credited to the allowance. 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The ACL is evaluated on a quarterly basis by management. The Company applied a dual credit risk rating (“DCRR”) methodology that estimates each loan’s probability of default and loss given default to calculate the expected credit loss to non-analyzed loans at January 1 and September 30, 2023.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w:t>
      </w:r>
      <w:r>
        <w:rPr>
          <w:rFonts w:ascii="Times New Roman" w:hAnsi="Times New Roman"/>
          <w:b w:val="false"/>
          <w:i w:val="false"/>
          <w:caps w:val="false"/>
          <w:smallCaps w:val="false"/>
          <w:color w:val="000000"/>
          <w:sz w:val="20"/>
          <w:shd w:fill="FFFFFF" w:val="clear"/>
        </w:rPr>
        <w:t>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w:t>
      </w:r>
      <w:r>
        <w:rPr>
          <w:rFonts w:ascii="Times New Roman" w:hAnsi="Times New Roman"/>
          <w:b w:val="false"/>
          <w:i w:val="false"/>
          <w:caps w:val="false"/>
          <w:smallCaps w:val="false"/>
          <w:color w:val="000000"/>
          <w:spacing w:val="0"/>
          <w:sz w:val="20"/>
          <w:shd w:fill="FFFFFF" w:val="clear"/>
        </w:rPr>
        <w:t xml:space="preserv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pStyle w:val="TextBody"/>
        <w:bidi w:val="0"/>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costs to sell.</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pacing w:val="0"/>
          <w:sz w:val="20"/>
          <w:u w:val="single"/>
          <w:shd w:fill="FFFFFF" w:val="clear"/>
        </w:rPr>
        <w:t>ACL (Off-Balance Sheet Credit Exposures)</w:t>
      </w:r>
      <w:r>
        <w:rPr>
          <w:rFonts w:ascii="Times New Roman" w:hAnsi="Times New Roman"/>
          <w:caps w:val="false"/>
          <w:smallCaps w:val="false"/>
          <w:color w:val="000000"/>
          <w:spacing w:val="0"/>
          <w:sz w:val="20"/>
          <w:u w:val="single"/>
          <w:shd w:fill="FFFFFF" w:val="clear"/>
        </w:rPr>
        <w:t> </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The Company estimates expected credit losses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Consolidated Balance Sheets.</w:t>
      </w:r>
      <w:r>
        <w:rPr>
          <w:rFonts w:ascii="Times New Roman" w:hAnsi="Times New Roman"/>
          <w:color w:val="000000"/>
          <w:sz w:val="20"/>
          <w:shd w:fill="FFFFFF" w:val="clear"/>
        </w:rPr>
        <w:t xml:space="preserve">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Acquired Loans</w:t>
      </w:r>
      <w:r>
        <w:rPr>
          <w:rFonts w:ascii="Times New Roman" w:hAnsi="Times New Roman"/>
          <w:caps w:val="false"/>
          <w:smallCaps w:val="false"/>
          <w:color w:val="000000"/>
          <w:sz w:val="20"/>
          <w:shd w:fill="FFFFFF" w:val="clear"/>
        </w:rPr>
        <w:t xml:space="preserve"> – </w:t>
      </w:r>
      <w:r>
        <w:rPr>
          <w:rFonts w:ascii="Times New Roman" w:hAnsi="Times New Roman"/>
          <w:b w:val="false"/>
          <w:caps w:val="false"/>
          <w:smallCaps w:val="false"/>
          <w:color w:val="000000"/>
          <w:sz w:val="20"/>
          <w:shd w:fill="FFFFFF" w:val="clear"/>
        </w:rPr>
        <w:t>Loans</w:t>
      </w:r>
      <w:r>
        <w:rPr>
          <w:rFonts w:ascii="Times New Roman" w:hAnsi="Times New Roman"/>
          <w:b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that the Company acquires in connection with business combinations are recorded at fair value with no carryover of the acquired entity’s related ACL. The fair value of the acquired loans involves estimating the amount and timing of principal and interest cash flows expected to be collected on the loans and discounting those cash flows at a market rate of interest, adjusted for estimated prepayments and credit losses.  In accordance with Topic 326, the fair value adjustment is recorded as premium or discount to the unpaid principal balance of each acquired loan. In addition, the Company also records an ACL on each acquired loan.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Goodwill and Other Intangible Assets </w:t>
      </w:r>
      <w:r>
        <w:rPr>
          <w:rFonts w:ascii="Times New Roman" w:hAnsi="Times New Roman"/>
          <w:caps w:val="false"/>
          <w:smallCaps w:val="false"/>
          <w:color w:val="000000"/>
          <w:sz w:val="20"/>
          <w:shd w:fill="FFFFFF" w:val="clear"/>
        </w:rPr>
        <w:t>–</w:t>
      </w:r>
      <w:r>
        <w:rPr>
          <w:rFonts w:ascii="Times New Roman" w:hAnsi="Times New Roman"/>
          <w:color w:val="000000"/>
          <w:sz w:val="20"/>
          <w:shd w:fill="FFFFFF" w:val="clear"/>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no</w:t>
      </w:r>
      <w:r>
        <w:rPr>
          <w:rFonts w:ascii="Times New Roman" w:hAnsi="Times New Roman"/>
          <w:color w:val="000000"/>
          <w:sz w:val="20"/>
          <w:shd w:fill="FFFFFF" w:val="clear"/>
        </w:rPr>
        <w:t xml:space="preserve"> goodwill impairment recorded for the nine months ended September 30, 2023 and the year ended December 31, 2022.</w:t>
      </w:r>
    </w:p>
    <w:p>
      <w:pPr>
        <w:pStyle w:val="TextBody"/>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bidi w:val="0"/>
        <w:spacing w:before="0" w:after="0"/>
        <w:jc w:val="both"/>
        <w:rPr>
          <w:rFonts w:ascii="Times New Roman" w:hAnsi="Times New Roman"/>
          <w:b w:val="false"/>
          <w:caps w:val="false"/>
          <w:smallCaps w:val="false"/>
          <w:color w:val="000000"/>
          <w:sz w:val="20"/>
          <w:shd w:fill="FFFFFF" w:val="clear"/>
        </w:rPr>
      </w:pPr>
      <w:r>
        <w:rPr>
          <w:rFonts w:ascii="Times New Roman" w:hAnsi="Times New Roman"/>
          <w:b w:val="false"/>
          <w:caps w:val="false"/>
          <w:smallCaps w:val="false"/>
          <w:color w:val="000000"/>
          <w:sz w:val="20"/>
          <w:shd w:fill="FFFFFF" w:val="clear"/>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pStyle w:val="TextBody"/>
        <w:bidi w:val="0"/>
        <w:spacing w:before="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Earnings per Share</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Basic earnings per share is net income divided by the weighted average number of common shares outstanding during the period.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Segment Information</w:t>
      </w:r>
      <w:r>
        <w:rPr>
          <w:rFonts w:ascii="Times New Roman" w:hAnsi="Times New Roman"/>
          <w:b w:val="false"/>
          <w:i w:val="false"/>
          <w:caps w:val="false"/>
          <w:smallCaps w:val="false"/>
          <w:color w:val="000000"/>
          <w:sz w:val="20"/>
          <w:shd w:fill="FFFFFF" w:val="clear"/>
        </w:rPr>
        <w:t xml:space="preserve"> – The Company previously identified two operating segments: banking and insurance. The accounting policies for each of the segments were the same as those described in the summary of significant accounting policies. Effective January 1, 2023, operations and financial performance of the insurance segment were being performed and evaluated on a Company-wide basis based on not being significant to the operating results of the Company. Furthermore, the insurance segment was sold on April 1, 2023. As a result, segment reporting disclosures have been removed.</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Subsequent Events</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pacing w:val="0"/>
          <w:sz w:val="20"/>
          <w:shd w:fill="FFFFFF" w:val="clear"/>
        </w:rPr>
        <w:t>The Company has evaluated subsequent events and transactions from September 30,2023 through the date this Form 10-Q was filed with the SEC for potential recognition or disclosure as required by GAAP.</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  SECURITIES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The amortized cost, related gross unrealized gains and losses,</w:t>
      </w:r>
      <w:r>
        <w:rPr>
          <w:rFonts w:ascii="Times New Roman" w:hAnsi="Times New Roman"/>
          <w:color w:val="000000"/>
          <w:sz w:val="20"/>
          <w:shd w:fill="FFFFFF" w:val="clear"/>
        </w:rPr>
        <w:t xml:space="preserve"> allowance for credit losses, and estimated fair value of securities available for sale at the dates indicated follows (dollars in thousands)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pPr>
      <w:r>
        <w:rPr/>
      </w:r>
    </w:p>
    <w:tbl>
      <w:tblPr>
        <w:tblW w:w="9764" w:type="dxa"/>
        <w:jc w:val="left"/>
        <w:tblInd w:w="0" w:type="dxa"/>
        <w:tblLayout w:type="fixed"/>
        <w:tblCellMar>
          <w:top w:w="0" w:type="dxa"/>
          <w:left w:w="0" w:type="dxa"/>
          <w:bottom w:w="0" w:type="dxa"/>
          <w:right w:w="0" w:type="dxa"/>
        </w:tblCellMar>
      </w:tblPr>
      <w:tblGrid>
        <w:gridCol w:w="4220"/>
        <w:gridCol w:w="60"/>
        <w:gridCol w:w="125"/>
        <w:gridCol w:w="800"/>
        <w:gridCol w:w="60"/>
        <w:gridCol w:w="60"/>
        <w:gridCol w:w="308"/>
        <w:gridCol w:w="642"/>
        <w:gridCol w:w="60"/>
        <w:gridCol w:w="60"/>
        <w:gridCol w:w="134"/>
        <w:gridCol w:w="816"/>
        <w:gridCol w:w="95"/>
        <w:gridCol w:w="60"/>
        <w:gridCol w:w="399"/>
        <w:gridCol w:w="745"/>
        <w:gridCol w:w="60"/>
        <w:gridCol w:w="60"/>
        <w:gridCol w:w="125"/>
        <w:gridCol w:w="800"/>
        <w:gridCol w:w="75"/>
      </w:tblGrid>
      <w:tr>
        <w:trPr/>
        <w:tc>
          <w:tcPr>
            <w:tcW w:w="4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 xml:space="preserve">for Credit </w:t>
            </w:r>
          </w:p>
          <w:p>
            <w:pPr>
              <w:pStyle w:val="TableContents"/>
              <w:bidi w:val="0"/>
              <w:spacing w:before="0" w:after="0"/>
              <w:jc w:val="center"/>
              <w:rPr>
                <w:b/>
              </w:rPr>
            </w:pPr>
            <w:r>
              <w:rPr>
                <w:b/>
              </w:rPr>
              <w:t>Losses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203,433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(42,860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160,573</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Residential mortgage-backed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358,405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(73,054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399"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285,351</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48,219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(8,505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39,714</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pPr>
            <w:r>
              <w:rPr>
                <w:rFonts w:ascii="Times New Roman" w:hAnsi="Times New Roman"/>
                <w:sz w:val="20"/>
              </w:rPr>
              <w:t>Commercial collateralized</w:t>
            </w:r>
            <w:r>
              <w:rPr/>
              <w:t xml:space="preserve">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99"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71,953</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16,763</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9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10,615</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(128,741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9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45"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584,969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245" w:type="dxa"/>
        <w:jc w:val="left"/>
        <w:tblInd w:w="0" w:type="dxa"/>
        <w:tblLayout w:type="fixed"/>
        <w:tblCellMar>
          <w:top w:w="0" w:type="dxa"/>
          <w:left w:w="0" w:type="dxa"/>
          <w:bottom w:w="0" w:type="dxa"/>
          <w:right w:w="0" w:type="dxa"/>
        </w:tblCellMar>
      </w:tblPr>
      <w:tblGrid>
        <w:gridCol w:w="3965"/>
        <w:gridCol w:w="60"/>
        <w:gridCol w:w="125"/>
        <w:gridCol w:w="800"/>
        <w:gridCol w:w="60"/>
        <w:gridCol w:w="60"/>
        <w:gridCol w:w="308"/>
        <w:gridCol w:w="642"/>
        <w:gridCol w:w="60"/>
        <w:gridCol w:w="60"/>
        <w:gridCol w:w="134"/>
        <w:gridCol w:w="816"/>
        <w:gridCol w:w="95"/>
        <w:gridCol w:w="60"/>
        <w:gridCol w:w="125"/>
        <w:gridCol w:w="800"/>
        <w:gridCol w:w="75"/>
      </w:tblGrid>
      <w:tr>
        <w:trPr/>
        <w:tc>
          <w:tcPr>
            <w:tcW w:w="3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(34,401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pPr>
            <w:r>
              <w:rPr>
                <w:rFonts w:ascii="Times New Roman" w:hAnsi="Times New Roman"/>
                <w:sz w:val="20"/>
              </w:rPr>
              <w:t>Residential mortgage</w:t>
            </w:r>
            <w:r>
              <w:rPr/>
              <w:t xml:space="preserve">-backed securities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386,783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(57,938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328,845</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360" w:right="0" w:hanging="180"/>
              <w:jc w:val="left"/>
              <w:rPr/>
            </w:pPr>
            <w:r>
              <w:rPr/>
              <w:t xml:space="preserve">Commercial mortgage-backed securities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(7,194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41,967</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Commercial collateralized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804,469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(102,785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701,711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 of securities at September 30, 2023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pStyle w:val="TextBody"/>
        <w:bidi w:val="0"/>
        <w:spacing w:before="0" w:after="0"/>
        <w:jc w:val="left"/>
        <w:rPr/>
      </w:pPr>
      <w:r>
        <w:rPr/>
      </w:r>
    </w:p>
    <w:tbl>
      <w:tblPr>
        <w:tblW w:w="4460" w:type="dxa"/>
        <w:jc w:val="left"/>
        <w:tblInd w:w="0" w:type="dxa"/>
        <w:tblLayout w:type="fixed"/>
        <w:tblCellMar>
          <w:top w:w="0" w:type="dxa"/>
          <w:left w:w="0" w:type="dxa"/>
          <w:bottom w:w="0" w:type="dxa"/>
          <w:right w:w="0" w:type="dxa"/>
        </w:tblCellMar>
      </w:tblPr>
      <w:tblGrid>
        <w:gridCol w:w="2465"/>
        <w:gridCol w:w="60"/>
        <w:gridCol w:w="140"/>
        <w:gridCol w:w="780"/>
        <w:gridCol w:w="60"/>
        <w:gridCol w:w="60"/>
        <w:gridCol w:w="125"/>
        <w:gridCol w:w="695"/>
        <w:gridCol w:w="75"/>
      </w:tblGrid>
      <w:tr>
        <w:trPr/>
        <w:tc>
          <w:tcPr>
            <w:tcW w:w="2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Available for Sale</w:t>
            </w:r>
          </w:p>
        </w:tc>
        <w:tc>
          <w:tcPr>
            <w:tcW w:w="75" w:type="dxa"/>
            <w:tcBorders/>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Within 1 year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736</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1 year through 5 years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5,830</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5 years through 10 years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15,402</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10 years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149,221</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498,277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413,780</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584,969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both September 30, 2023 and December 31, 2022, the Company had no holdings of securities of any one issuer, other than the U.S. government, its agencies, or its sponsored enterprises, in an amount greater than 10% of stockholders’ equity.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with a carrying value of approximately $400.2 million and $464.1 million at September 30, 2023 and December 31, 2022, respectively, were pledged to collateralize public deposits and for other purposes as required or permitted by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segregates securities with unrealized losses at the periods indicated, by the duration they have been in a loss position for which an allowance for credit losses has not been recorded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45"/>
        <w:gridCol w:w="60"/>
        <w:gridCol w:w="125"/>
        <w:gridCol w:w="800"/>
        <w:gridCol w:w="60"/>
        <w:gridCol w:w="60"/>
        <w:gridCol w:w="147"/>
        <w:gridCol w:w="803"/>
        <w:gridCol w:w="60"/>
        <w:gridCol w:w="60"/>
        <w:gridCol w:w="125"/>
        <w:gridCol w:w="800"/>
        <w:gridCol w:w="60"/>
        <w:gridCol w:w="60"/>
        <w:gridCol w:w="144"/>
        <w:gridCol w:w="806"/>
        <w:gridCol w:w="60"/>
        <w:gridCol w:w="60"/>
        <w:gridCol w:w="125"/>
        <w:gridCol w:w="800"/>
        <w:gridCol w:w="60"/>
        <w:gridCol w:w="60"/>
        <w:gridCol w:w="144"/>
        <w:gridCol w:w="806"/>
        <w:gridCol w:w="75"/>
      </w:tblGrid>
      <w:tr>
        <w:trPr/>
        <w:tc>
          <w:tcPr>
            <w:tcW w:w="3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Less than 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 Months or More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158,247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42,860</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Residential mortgage-backed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285,342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285,351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73,054</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39,714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8,505</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collateralized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2,278</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1,385</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579,377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128,741</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220,421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34,401</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pPr>
            <w:r>
              <w:rPr/>
              <w:t xml:space="preserve">Residential mortgage-backed securities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220,752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328,832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57,938</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pPr>
            <w:r>
              <w:rPr/>
              <w:t xml:space="preserve">Commercial mortgage-backed securities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7,194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7,194</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collateralized mortgage obligations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531,308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697,063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102,785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had 149 securities with an unrealized loss at September 30, 2023,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September 30, 2023,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LOANS HELD FOR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are summarized by category as of the periods presented below (dollars in thousands):</w:t>
      </w:r>
    </w:p>
    <w:p>
      <w:pPr>
        <w:pStyle w:val="TextBody"/>
        <w:bidi w:val="0"/>
        <w:spacing w:before="0" w:after="0"/>
        <w:jc w:val="left"/>
        <w:rPr/>
      </w:pPr>
      <w:r>
        <w:rPr/>
      </w:r>
    </w:p>
    <w:tbl>
      <w:tblPr>
        <w:tblW w:w="5633" w:type="dxa"/>
        <w:jc w:val="left"/>
        <w:tblInd w:w="0" w:type="dxa"/>
        <w:tblLayout w:type="fixed"/>
        <w:tblCellMar>
          <w:top w:w="0" w:type="dxa"/>
          <w:left w:w="0" w:type="dxa"/>
          <w:bottom w:w="0" w:type="dxa"/>
          <w:right w:w="0" w:type="dxa"/>
        </w:tblCellMar>
      </w:tblPr>
      <w:tblGrid>
        <w:gridCol w:w="2945"/>
        <w:gridCol w:w="60"/>
        <w:gridCol w:w="157"/>
        <w:gridCol w:w="1062"/>
        <w:gridCol w:w="80"/>
        <w:gridCol w:w="60"/>
        <w:gridCol w:w="151"/>
        <w:gridCol w:w="1023"/>
        <w:gridCol w:w="95"/>
      </w:tblGrid>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1,046,262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366,405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514,567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484,783</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534,511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460,124</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316,024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77,325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138,469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153,519</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2,993,563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Allowance for credit losses on loans</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(42,075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net</w:t>
            </w:r>
          </w:p>
        </w:tc>
        <w:tc>
          <w:tcPr>
            <w:tcW w:w="60" w:type="dxa"/>
            <w:tcBorders/>
            <w:shd w:fill="CCEEFF" w:val="clear"/>
            <w:vAlign w:val="bottom"/>
          </w:tcPr>
          <w:p>
            <w:pPr>
              <w:pStyle w:val="TableContents"/>
              <w:bidi w:val="0"/>
              <w:spacing w:before="0" w:after="283"/>
              <w:jc w:val="righ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2,951,488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2,708,793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Real Estate</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pStyle w:val="TextBody"/>
        <w:bidi w:val="0"/>
        <w:spacing w:before="0" w:after="0"/>
        <w:jc w:val="both"/>
        <w:rPr>
          <w:rFonts w:ascii="Times New Roman" w:hAnsi="Times New Roman"/>
          <w:i/>
          <w:sz w:val="20"/>
          <w:u w:val="single"/>
        </w:rPr>
      </w:pPr>
      <w:r>
        <w:rPr>
          <w:rFonts w:ascii="Times New Roman" w:hAnsi="Times New Roman"/>
          <w:i/>
          <w:sz w:val="20"/>
          <w:u w:val="single"/>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 General and Specialized</w:t>
      </w:r>
      <w:r>
        <w:rPr>
          <w:rFonts w:ascii="Times New Roman" w:hAnsi="Times New Roman"/>
          <w:color w:val="000000"/>
          <w:sz w:val="20"/>
          <w:shd w:fill="FFFFFF" w:val="clear"/>
        </w:rPr>
        <w:t xml:space="preserve"> – Commercial loans are also subject to underwriting standards and processes similar to commercial real estate loans. These loans are underwritten after evaluating and understanding the borrower’s ability to operate profitably. These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w:t>
      </w:r>
      <w:r>
        <w:rPr>
          <w:rFonts w:ascii="Times New Roman" w:hAnsi="Times New Roman"/>
          <w:b w:val="false"/>
          <w:i w:val="false"/>
          <w:caps w:val="false"/>
          <w:smallCaps w:val="false"/>
          <w:color w:val="000000"/>
          <w:sz w:val="20"/>
          <w:shd w:fill="FFFFFF" w:val="clear"/>
        </w:rPr>
        <w:t>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Consumer</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caps w:val="false"/>
          <w:smallCaps w:val="false"/>
          <w:color w:val="000000"/>
          <w:sz w:val="20"/>
          <w:u w:val="single"/>
          <w:shd w:fill="FFFFFF" w:val="clear"/>
        </w:rPr>
        <w:t>Construction</w:t>
      </w:r>
      <w:r>
        <w:rPr>
          <w:rFonts w:ascii="Times New Roman" w:hAnsi="Times New Roman"/>
          <w:b w:val="false"/>
          <w:i w:val="false"/>
          <w:caps w:val="false"/>
          <w:smallCaps w:val="false"/>
          <w:color w:val="000000"/>
          <w:sz w:val="20"/>
          <w:shd w:fill="FFFFFF" w:val="clear"/>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was $42.1 million at September 30, 2023, compared to $39.3 million at December 31, 2022. The ACL for loans to loans held for investment was 1.41% at September 30, 2023 and 1.43% at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activity in the ACL for loans  for the periods indicated (dollars in thousands). Allocation of a portion of the allowance to one category of loans does not preclude its availability to absorb losses in other categories.</w:t>
      </w:r>
    </w:p>
    <w:p>
      <w:pPr>
        <w:pStyle w:val="TextBody"/>
        <w:bidi w:val="0"/>
        <w:spacing w:before="0" w:after="0"/>
        <w:jc w:val="left"/>
        <w:rPr/>
      </w:pPr>
      <w:r>
        <w:rPr/>
      </w:r>
    </w:p>
    <w:tbl>
      <w:tblPr>
        <w:tblW w:w="9269" w:type="dxa"/>
        <w:jc w:val="left"/>
        <w:tblInd w:w="0" w:type="dxa"/>
        <w:tblLayout w:type="fixed"/>
        <w:tblCellMar>
          <w:top w:w="0" w:type="dxa"/>
          <w:left w:w="0" w:type="dxa"/>
          <w:bottom w:w="0" w:type="dxa"/>
          <w:right w:w="0" w:type="dxa"/>
        </w:tblCellMar>
      </w:tblPr>
      <w:tblGrid>
        <w:gridCol w:w="3905"/>
        <w:gridCol w:w="60"/>
        <w:gridCol w:w="155"/>
        <w:gridCol w:w="735"/>
        <w:gridCol w:w="60"/>
        <w:gridCol w:w="60"/>
        <w:gridCol w:w="212"/>
        <w:gridCol w:w="932"/>
        <w:gridCol w:w="80"/>
        <w:gridCol w:w="60"/>
        <w:gridCol w:w="242"/>
        <w:gridCol w:w="768"/>
        <w:gridCol w:w="80"/>
        <w:gridCol w:w="60"/>
        <w:gridCol w:w="194"/>
        <w:gridCol w:w="756"/>
        <w:gridCol w:w="60"/>
        <w:gridCol w:w="60"/>
        <w:gridCol w:w="125"/>
        <w:gridCol w:w="590"/>
        <w:gridCol w:w="75"/>
      </w:tblGrid>
      <w:tr>
        <w:trPr/>
        <w:tc>
          <w:tcPr>
            <w:tcW w:w="3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 xml:space="preserve">Credit </w:t>
            </w:r>
          </w:p>
          <w:p>
            <w:pPr>
              <w:pStyle w:val="TableContents"/>
              <w:bidi w:val="0"/>
              <w:spacing w:before="0" w:after="0"/>
              <w:jc w:val="center"/>
              <w:rPr>
                <w:rFonts w:ascii="Times New Roman" w:hAnsi="Times New Roman"/>
                <w:b/>
                <w:sz w:val="20"/>
              </w:rPr>
            </w:pPr>
            <w:r>
              <w:rPr>
                <w:rFonts w:ascii="Times New Roman" w:hAnsi="Times New Roman"/>
                <w:b/>
                <w:sz w:val="20"/>
              </w:rPr>
              <w:t>Losses</w:t>
            </w:r>
            <w:r>
              <w:rPr>
                <w:rFonts w:ascii="Times New Roman" w:hAnsi="Times New Roman"/>
                <w:b/>
                <w:i w:val="false"/>
                <w:caps w:val="false"/>
                <w:smallCaps w:val="false"/>
                <w:position w:val="7"/>
                <w:sz w:val="16"/>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Recoveries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September 30, 2023</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14,945</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3,943</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6,370</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8,990</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3,786</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1,022</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3,019</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42,075</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September 30, 2022</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12,611</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10,425</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5,561</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3,892</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1,455</w:t>
            </w:r>
          </w:p>
        </w:tc>
        <w:tc>
          <w:tcPr>
            <w:tcW w:w="75"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2,008</w:t>
            </w:r>
          </w:p>
        </w:tc>
        <w:tc>
          <w:tcPr>
            <w:tcW w:w="75"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39,657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(1) The $(0.7) million provision for credit loss on the Consolidated Statement of Comprehensive Income (Loss) includes a $(0.7) million provision for credit losses on loans and a $- thousand provision for off-balance sheet credit exposures for the three months ended September 30, 2023.</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711"/>
        <w:gridCol w:w="60"/>
        <w:gridCol w:w="155"/>
        <w:gridCol w:w="735"/>
        <w:gridCol w:w="60"/>
        <w:gridCol w:w="60"/>
        <w:gridCol w:w="178"/>
        <w:gridCol w:w="814"/>
        <w:gridCol w:w="95"/>
        <w:gridCol w:w="60"/>
        <w:gridCol w:w="230"/>
        <w:gridCol w:w="895"/>
        <w:gridCol w:w="80"/>
        <w:gridCol w:w="60"/>
        <w:gridCol w:w="188"/>
        <w:gridCol w:w="822"/>
        <w:gridCol w:w="80"/>
        <w:gridCol w:w="60"/>
        <w:gridCol w:w="258"/>
        <w:gridCol w:w="692"/>
        <w:gridCol w:w="60"/>
        <w:gridCol w:w="60"/>
        <w:gridCol w:w="125"/>
        <w:gridCol w:w="590"/>
        <w:gridCol w:w="77"/>
      </w:tblGrid>
      <w:tr>
        <w:trPr/>
        <w:tc>
          <w:tcPr>
            <w:tcW w:w="3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Impact of</w:t>
            </w:r>
          </w:p>
          <w:p>
            <w:pPr>
              <w:pStyle w:val="TableContents"/>
              <w:bidi w:val="0"/>
              <w:spacing w:before="0" w:after="0"/>
              <w:jc w:val="center"/>
              <w:rPr>
                <w:b/>
              </w:rPr>
            </w:pPr>
            <w:r>
              <w:rPr>
                <w:b/>
              </w:rPr>
              <w:t xml:space="preserve">CECL </w:t>
            </w:r>
          </w:p>
          <w:p>
            <w:pPr>
              <w:pStyle w:val="TableContents"/>
              <w:bidi w:val="0"/>
              <w:spacing w:before="0" w:after="0"/>
              <w:jc w:val="center"/>
              <w:rPr>
                <w:b/>
              </w:rPr>
            </w:pPr>
            <w:r>
              <w:rPr>
                <w:b/>
              </w:rPr>
              <w:t>Adoption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Credit</w:t>
            </w:r>
          </w:p>
          <w:p>
            <w:pPr>
              <w:pStyle w:val="TableContents"/>
              <w:bidi w:val="0"/>
              <w:spacing w:before="0" w:after="0"/>
              <w:jc w:val="center"/>
              <w:rPr>
                <w:rFonts w:ascii="Times New Roman" w:hAnsi="Times New Roman"/>
                <w:b/>
                <w:sz w:val="20"/>
              </w:rPr>
            </w:pPr>
            <w:r>
              <w:rPr>
                <w:rFonts w:ascii="Times New Roman" w:hAnsi="Times New Roman"/>
                <w:b/>
                <w:sz w:val="20"/>
              </w:rPr>
              <w:t>Losses</w:t>
            </w:r>
            <w:r>
              <w:rPr>
                <w:rFonts w:ascii="Times New Roman" w:hAnsi="Times New Roman"/>
                <w:b/>
                <w:position w:val="7"/>
                <w:sz w:val="16"/>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Recoveries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7" w:type="dxa"/>
            <w:tcBorders/>
            <w:vAlign w:val="bottom"/>
          </w:tcPr>
          <w:p>
            <w:pPr>
              <w:pStyle w:val="TableContents"/>
              <w:bidi w:val="0"/>
              <w:spacing w:before="0" w:after="283"/>
              <w:jc w:val="left"/>
              <w:rPr/>
            </w:pPr>
            <w:r>
              <w:rPr/>
              <w:t> </w:t>
            </w:r>
          </w:p>
        </w:tc>
      </w:tr>
      <w:tr>
        <w:trPr/>
        <w:tc>
          <w:tcPr>
            <w:tcW w:w="3711"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nine months ended September 30, 2023</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2"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r>
      <w:tr>
        <w:trPr/>
        <w:tc>
          <w:tcPr>
            <w:tcW w:w="371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827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14,945</w:t>
            </w:r>
          </w:p>
        </w:tc>
        <w:tc>
          <w:tcPr>
            <w:tcW w:w="77" w:type="dxa"/>
            <w:tcBorders/>
            <w:shd w:fill="CCEEFF" w:val="clear"/>
            <w:vAlign w:val="bottom"/>
          </w:tcPr>
          <w:p>
            <w:pPr>
              <w:pStyle w:val="TableContents"/>
              <w:bidi w:val="0"/>
              <w:spacing w:before="0" w:after="283"/>
              <w:jc w:val="left"/>
              <w:rPr/>
            </w:pPr>
            <w:r>
              <w:rPr/>
              <w:t> </w:t>
            </w:r>
          </w:p>
        </w:tc>
      </w:tr>
      <w:tr>
        <w:trPr/>
        <w:tc>
          <w:tcPr>
            <w:tcW w:w="371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3,943</w:t>
            </w:r>
          </w:p>
        </w:tc>
        <w:tc>
          <w:tcPr>
            <w:tcW w:w="77" w:type="dxa"/>
            <w:tcBorders/>
            <w:vAlign w:val="bottom"/>
          </w:tcPr>
          <w:p>
            <w:pPr>
              <w:pStyle w:val="TableContents"/>
              <w:bidi w:val="0"/>
              <w:spacing w:before="0" w:after="283"/>
              <w:jc w:val="left"/>
              <w:rPr/>
            </w:pPr>
            <w:r>
              <w:rPr/>
              <w:t> </w:t>
            </w:r>
          </w:p>
        </w:tc>
      </w:tr>
      <w:tr>
        <w:trPr/>
        <w:tc>
          <w:tcPr>
            <w:tcW w:w="371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(2,574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6,370</w:t>
            </w:r>
          </w:p>
        </w:tc>
        <w:tc>
          <w:tcPr>
            <w:tcW w:w="77" w:type="dxa"/>
            <w:tcBorders/>
            <w:shd w:fill="CCEEFF" w:val="clear"/>
            <w:vAlign w:val="bottom"/>
          </w:tcPr>
          <w:p>
            <w:pPr>
              <w:pStyle w:val="TableContents"/>
              <w:bidi w:val="0"/>
              <w:spacing w:before="0" w:after="283"/>
              <w:jc w:val="left"/>
              <w:rPr/>
            </w:pPr>
            <w:r>
              <w:rPr/>
              <w:t> </w:t>
            </w:r>
          </w:p>
        </w:tc>
      </w:tr>
      <w:tr>
        <w:trPr/>
        <w:tc>
          <w:tcPr>
            <w:tcW w:w="371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3711"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8,990</w:t>
            </w:r>
          </w:p>
        </w:tc>
        <w:tc>
          <w:tcPr>
            <w:tcW w:w="77" w:type="dxa"/>
            <w:tcBorders/>
            <w:shd w:fill="CCEEFF" w:val="clear"/>
            <w:vAlign w:val="bottom"/>
          </w:tcPr>
          <w:p>
            <w:pPr>
              <w:pStyle w:val="TableContents"/>
              <w:bidi w:val="0"/>
              <w:spacing w:before="0" w:after="283"/>
              <w:jc w:val="left"/>
              <w:rPr/>
            </w:pPr>
            <w:r>
              <w:rPr/>
              <w:t> </w:t>
            </w:r>
          </w:p>
        </w:tc>
      </w:tr>
      <w:tr>
        <w:trPr/>
        <w:tc>
          <w:tcPr>
            <w:tcW w:w="3711"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3,786</w:t>
            </w:r>
          </w:p>
        </w:tc>
        <w:tc>
          <w:tcPr>
            <w:tcW w:w="77" w:type="dxa"/>
            <w:tcBorders/>
            <w:vAlign w:val="bottom"/>
          </w:tcPr>
          <w:p>
            <w:pPr>
              <w:pStyle w:val="TableContents"/>
              <w:bidi w:val="0"/>
              <w:spacing w:before="0" w:after="283"/>
              <w:jc w:val="left"/>
              <w:rPr/>
            </w:pPr>
            <w:r>
              <w:rPr/>
              <w:t> </w:t>
            </w:r>
          </w:p>
        </w:tc>
      </w:tr>
      <w:tr>
        <w:trPr/>
        <w:tc>
          <w:tcPr>
            <w:tcW w:w="3711"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1,022</w:t>
            </w:r>
          </w:p>
        </w:tc>
        <w:tc>
          <w:tcPr>
            <w:tcW w:w="77" w:type="dxa"/>
            <w:tcBorders/>
            <w:shd w:fill="CCEEFF" w:val="clear"/>
            <w:vAlign w:val="bottom"/>
          </w:tcPr>
          <w:p>
            <w:pPr>
              <w:pStyle w:val="TableContents"/>
              <w:bidi w:val="0"/>
              <w:spacing w:before="0" w:after="283"/>
              <w:jc w:val="left"/>
              <w:rPr/>
            </w:pPr>
            <w:r>
              <w:rPr/>
              <w:t> </w:t>
            </w:r>
          </w:p>
        </w:tc>
      </w:tr>
      <w:tr>
        <w:trPr/>
        <w:tc>
          <w:tcPr>
            <w:tcW w:w="371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before="0" w:after="283"/>
              <w:jc w:val="right"/>
              <w:rPr/>
            </w:pPr>
            <w:r>
              <w:rPr/>
              <w:t>683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3,019</w:t>
            </w:r>
          </w:p>
        </w:tc>
        <w:tc>
          <w:tcPr>
            <w:tcW w:w="77" w:type="dxa"/>
            <w:tcBorders/>
            <w:vAlign w:val="bottom"/>
          </w:tcPr>
          <w:p>
            <w:pPr>
              <w:pStyle w:val="TableContents"/>
              <w:bidi w:val="0"/>
              <w:spacing w:before="0" w:after="283"/>
              <w:jc w:val="left"/>
              <w:rPr/>
            </w:pPr>
            <w:r>
              <w:rPr/>
              <w:t> </w:t>
            </w:r>
          </w:p>
        </w:tc>
      </w:tr>
      <w:tr>
        <w:trPr/>
        <w:tc>
          <w:tcPr>
            <w:tcW w:w="371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14" w:type="dxa"/>
            <w:tcBorders>
              <w:bottom w:val="double" w:sz="8" w:space="0" w:color="000000"/>
            </w:tcBorders>
            <w:shd w:fill="CCEEFF" w:val="clear"/>
            <w:tcMar>
              <w:bottom w:w="28" w:type="dxa"/>
            </w:tcMar>
            <w:vAlign w:val="bottom"/>
          </w:tcPr>
          <w:p>
            <w:pPr>
              <w:pStyle w:val="TableContents"/>
              <w:bidi w:val="0"/>
              <w:spacing w:before="0" w:after="283"/>
              <w:jc w:val="right"/>
              <w:rPr/>
            </w:pPr>
            <w:r>
              <w:rPr/>
              <w:t>102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42,075</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(1) The $4.0 million provision for credit loss on the Consolidated Statement of Comprehensive Income (Loss) includes a $4.1 million provision for credit losses on loans and a $(50) thousand provision for off-balance sheet credit exposures for the nine months ended September 30, 2023.</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9732" w:type="dxa"/>
        <w:jc w:val="left"/>
        <w:tblInd w:w="0" w:type="dxa"/>
        <w:tblLayout w:type="fixed"/>
        <w:tblCellMar>
          <w:top w:w="0" w:type="dxa"/>
          <w:left w:w="0" w:type="dxa"/>
          <w:bottom w:w="0" w:type="dxa"/>
          <w:right w:w="0" w:type="dxa"/>
        </w:tblCellMar>
      </w:tblPr>
      <w:tblGrid>
        <w:gridCol w:w="3860"/>
        <w:gridCol w:w="60"/>
        <w:gridCol w:w="155"/>
        <w:gridCol w:w="735"/>
        <w:gridCol w:w="60"/>
        <w:gridCol w:w="60"/>
        <w:gridCol w:w="215"/>
        <w:gridCol w:w="944"/>
        <w:gridCol w:w="80"/>
        <w:gridCol w:w="60"/>
        <w:gridCol w:w="238"/>
        <w:gridCol w:w="1041"/>
        <w:gridCol w:w="80"/>
        <w:gridCol w:w="60"/>
        <w:gridCol w:w="240"/>
        <w:gridCol w:w="934"/>
        <w:gridCol w:w="60"/>
        <w:gridCol w:w="60"/>
        <w:gridCol w:w="125"/>
        <w:gridCol w:w="590"/>
        <w:gridCol w:w="75"/>
      </w:tblGrid>
      <w:tr>
        <w:trPr/>
        <w:tc>
          <w:tcPr>
            <w:tcW w:w="38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Credit 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Charge-offs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Recoveries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nine months ended September 30, 2022</w:t>
            </w:r>
          </w:p>
        </w:tc>
        <w:tc>
          <w:tcPr>
            <w:tcW w:w="60" w:type="dxa"/>
            <w:tcBorders/>
            <w:vAlign w:val="bottom"/>
          </w:tcPr>
          <w:p>
            <w:pPr>
              <w:pStyle w:val="TableContents"/>
              <w:bidi w:val="0"/>
              <w:spacing w:before="0" w:after="283"/>
              <w:jc w:val="right"/>
              <w:rPr/>
            </w:pPr>
            <w:r>
              <w:rPr/>
              <w:t> </w:t>
            </w:r>
          </w:p>
        </w:tc>
        <w:tc>
          <w:tcPr>
            <w:tcW w:w="89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9"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79"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5"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(5,052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12,611</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10,425</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5,561</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3,892</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1,455</w:t>
            </w:r>
          </w:p>
        </w:tc>
        <w:tc>
          <w:tcPr>
            <w:tcW w:w="7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2,008</w:t>
            </w:r>
          </w:p>
        </w:tc>
        <w:tc>
          <w:tcPr>
            <w:tcW w:w="7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39,657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September 30, 2023, the provision for credit losses on loans of $(0.7) million reflected a reduction due to a decrease of $1.3 million for credit losses on loans individually analyzed, partially offset by an increase in the ACL for loans for office space and net charge-offs of $362 thousand. During the nine months ended September 30, 2023 the provision for credit losses of $4.1 million was driven primarily by organic loan growth experienced over the first nine months of 2023 and net charge-offs of $1.4 million during the period.</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shows the Company’s amortized cost in loans and related ACL for collateral dependent loans by class using the fair value of collateral loss estimation methodology of evaluating expected credit losses at the date indicated (dollars in thousands).</w:t>
      </w:r>
    </w:p>
    <w:p>
      <w:pPr>
        <w:pStyle w:val="TextBody"/>
        <w:bidi w:val="0"/>
        <w:spacing w:before="0" w:after="0"/>
        <w:jc w:val="left"/>
        <w:rPr/>
      </w:pPr>
      <w:r>
        <w:rPr/>
      </w:r>
    </w:p>
    <w:tbl>
      <w:tblPr>
        <w:tblW w:w="8475" w:type="dxa"/>
        <w:jc w:val="left"/>
        <w:tblInd w:w="0" w:type="dxa"/>
        <w:tblLayout w:type="fixed"/>
        <w:tblCellMar>
          <w:top w:w="0" w:type="dxa"/>
          <w:left w:w="0" w:type="dxa"/>
          <w:bottom w:w="0" w:type="dxa"/>
          <w:right w:w="0" w:type="dxa"/>
        </w:tblCellMar>
      </w:tblPr>
      <w:tblGrid>
        <w:gridCol w:w="2090"/>
        <w:gridCol w:w="60"/>
        <w:gridCol w:w="235"/>
        <w:gridCol w:w="940"/>
        <w:gridCol w:w="60"/>
        <w:gridCol w:w="60"/>
        <w:gridCol w:w="406"/>
        <w:gridCol w:w="754"/>
        <w:gridCol w:w="60"/>
        <w:gridCol w:w="60"/>
        <w:gridCol w:w="390"/>
        <w:gridCol w:w="725"/>
        <w:gridCol w:w="60"/>
        <w:gridCol w:w="60"/>
        <w:gridCol w:w="256"/>
        <w:gridCol w:w="994"/>
        <w:gridCol w:w="60"/>
        <w:gridCol w:w="60"/>
        <w:gridCol w:w="347"/>
        <w:gridCol w:w="723"/>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Real Estate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Equipment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Accounts</w:t>
            </w:r>
          </w:p>
          <w:p>
            <w:pPr>
              <w:pStyle w:val="TableContents"/>
              <w:bidi w:val="0"/>
              <w:spacing w:before="0" w:after="0"/>
              <w:jc w:val="center"/>
              <w:rPr>
                <w:rFonts w:ascii="Times New Roman" w:hAnsi="Times New Roman"/>
                <w:b/>
              </w:rPr>
            </w:pPr>
            <w:r>
              <w:rPr>
                <w:rFonts w:ascii="Times New Roman" w:hAnsi="Times New Roman"/>
                <w:b/>
              </w:rPr>
              <w:t>Receivable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Loans</w:t>
            </w:r>
          </w:p>
          <w:p>
            <w:pPr>
              <w:pStyle w:val="TableContents"/>
              <w:bidi w:val="0"/>
              <w:spacing w:before="0" w:after="0"/>
              <w:jc w:val="center"/>
              <w:rPr>
                <w:b/>
              </w:rPr>
            </w:pPr>
            <w:r>
              <w:rPr>
                <w:b/>
              </w:rPr>
              <w:t>Individually</w:t>
            </w:r>
          </w:p>
          <w:p>
            <w:pPr>
              <w:pStyle w:val="TableContents"/>
              <w:bidi w:val="0"/>
              <w:spacing w:before="0" w:after="0"/>
              <w:jc w:val="center"/>
              <w:rPr>
                <w:b/>
              </w:rPr>
            </w:pPr>
            <w:r>
              <w:rPr>
                <w:b/>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ACL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Individually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Evaluated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Loans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u w:val="single"/>
              </w:rPr>
            </w:pPr>
            <w:r>
              <w:rPr>
                <w:rFonts w:ascii="Times New Roman" w:hAnsi="Times New Roman"/>
                <w:color w:val="000000"/>
                <w:sz w:val="20"/>
                <w:u w:val="single"/>
              </w:rPr>
              <w:t>September 30, 2023</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5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7"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54"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25"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Company’s investment in loans disaggregated based on the method of evaluating impairment at the date indicated (dollars in thousands):</w:t>
      </w:r>
    </w:p>
    <w:p>
      <w:pPr>
        <w:pStyle w:val="TextBody"/>
        <w:bidi w:val="0"/>
        <w:spacing w:before="0" w:after="0"/>
        <w:jc w:val="left"/>
        <w:rPr/>
      </w:pPr>
      <w:r>
        <w:rPr/>
      </w:r>
    </w:p>
    <w:tbl>
      <w:tblPr>
        <w:tblW w:w="6811" w:type="dxa"/>
        <w:jc w:val="left"/>
        <w:tblInd w:w="0" w:type="dxa"/>
        <w:tblLayout w:type="fixed"/>
        <w:tblCellMar>
          <w:top w:w="0" w:type="dxa"/>
          <w:left w:w="0" w:type="dxa"/>
          <w:bottom w:w="0" w:type="dxa"/>
          <w:right w:w="0" w:type="dxa"/>
        </w:tblCellMar>
      </w:tblPr>
      <w:tblGrid>
        <w:gridCol w:w="2090"/>
        <w:gridCol w:w="60"/>
        <w:gridCol w:w="219"/>
        <w:gridCol w:w="851"/>
        <w:gridCol w:w="63"/>
        <w:gridCol w:w="63"/>
        <w:gridCol w:w="134"/>
        <w:gridCol w:w="906"/>
        <w:gridCol w:w="60"/>
        <w:gridCol w:w="60"/>
        <w:gridCol w:w="290"/>
        <w:gridCol w:w="780"/>
        <w:gridCol w:w="60"/>
        <w:gridCol w:w="60"/>
        <w:gridCol w:w="181"/>
        <w:gridCol w:w="859"/>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 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ACL for Loans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Individually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Collectively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Individually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Collectively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070" w:type="dxa"/>
            <w:gridSpan w:val="2"/>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7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481,433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6,176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1,878</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2,742,975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Impaired loan information at the date indicated follows (dollars in thousands):</w:t>
      </w:r>
    </w:p>
    <w:p>
      <w:pPr>
        <w:pStyle w:val="TextBody"/>
        <w:bidi w:val="0"/>
        <w:spacing w:before="0" w:after="0"/>
        <w:jc w:val="left"/>
        <w:rPr/>
      </w:pPr>
      <w:r>
        <w:rPr/>
      </w:r>
    </w:p>
    <w:tbl>
      <w:tblPr>
        <w:tblW w:w="8570" w:type="dxa"/>
        <w:jc w:val="left"/>
        <w:tblInd w:w="0" w:type="dxa"/>
        <w:tblLayout w:type="fixed"/>
        <w:tblCellMar>
          <w:top w:w="0" w:type="dxa"/>
          <w:left w:w="0" w:type="dxa"/>
          <w:bottom w:w="0" w:type="dxa"/>
          <w:right w:w="0" w:type="dxa"/>
        </w:tblCellMar>
      </w:tblPr>
      <w:tblGrid>
        <w:gridCol w:w="2090"/>
        <w:gridCol w:w="60"/>
        <w:gridCol w:w="213"/>
        <w:gridCol w:w="827"/>
        <w:gridCol w:w="60"/>
        <w:gridCol w:w="60"/>
        <w:gridCol w:w="194"/>
        <w:gridCol w:w="756"/>
        <w:gridCol w:w="60"/>
        <w:gridCol w:w="60"/>
        <w:gridCol w:w="194"/>
        <w:gridCol w:w="756"/>
        <w:gridCol w:w="60"/>
        <w:gridCol w:w="60"/>
        <w:gridCol w:w="194"/>
        <w:gridCol w:w="756"/>
        <w:gridCol w:w="60"/>
        <w:gridCol w:w="60"/>
        <w:gridCol w:w="245"/>
        <w:gridCol w:w="660"/>
        <w:gridCol w:w="60"/>
        <w:gridCol w:w="60"/>
        <w:gridCol w:w="194"/>
        <w:gridCol w:w="756"/>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Contractual</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p>
            <w:pPr>
              <w:pStyle w:val="TableContents"/>
              <w:bidi w:val="0"/>
              <w:spacing w:before="0" w:after="0"/>
              <w:jc w:val="center"/>
              <w:rPr>
                <w:rFonts w:ascii="Times New Roman" w:hAnsi="Times New Roman"/>
                <w:b/>
                <w:sz w:val="20"/>
              </w:rPr>
            </w:pPr>
            <w:r>
              <w:rPr>
                <w:rFonts w:ascii="Times New Roman" w:hAnsi="Times New Roman"/>
                <w:b/>
                <w:sz w:val="20"/>
              </w:rPr>
              <w:t>With No</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p>
            <w:pPr>
              <w:pStyle w:val="TableContents"/>
              <w:bidi w:val="0"/>
              <w:spacing w:before="0" w:after="0"/>
              <w:jc w:val="center"/>
              <w:rPr>
                <w:rFonts w:ascii="Times New Roman" w:hAnsi="Times New Roman"/>
                <w:b/>
                <w:sz w:val="20"/>
              </w:rPr>
            </w:pPr>
            <w:r>
              <w:rPr>
                <w:rFonts w:ascii="Times New Roman" w:hAnsi="Times New Roman"/>
                <w:b/>
                <w:sz w:val="20"/>
              </w:rPr>
              <w:t>With</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Related</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0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0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4,214</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impaired loans $250 thousand and greater were specifically evaluated for impairment at December 31, 2022. Interest income recognized using a cash-basis method on individually analyzed loans for the three and nine months ended September 30, 2022 was not significant.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provides an age analysis on accruing past-due loans and nonaccrual loans at the dates indicated (dollars in thousands):</w:t>
      </w:r>
    </w:p>
    <w:p>
      <w:pPr>
        <w:pStyle w:val="TextBody"/>
        <w:bidi w:val="0"/>
        <w:spacing w:before="0" w:after="0"/>
        <w:jc w:val="left"/>
        <w:rPr/>
      </w:pPr>
      <w:r>
        <w:rPr/>
      </w:r>
    </w:p>
    <w:tbl>
      <w:tblPr>
        <w:tblW w:w="7267" w:type="dxa"/>
        <w:jc w:val="left"/>
        <w:tblInd w:w="0" w:type="dxa"/>
        <w:tblLayout w:type="fixed"/>
        <w:tblCellMar>
          <w:top w:w="0" w:type="dxa"/>
          <w:left w:w="0" w:type="dxa"/>
          <w:bottom w:w="0" w:type="dxa"/>
          <w:right w:w="0" w:type="dxa"/>
        </w:tblCellMar>
      </w:tblPr>
      <w:tblGrid>
        <w:gridCol w:w="2090"/>
        <w:gridCol w:w="60"/>
        <w:gridCol w:w="197"/>
        <w:gridCol w:w="767"/>
        <w:gridCol w:w="60"/>
        <w:gridCol w:w="60"/>
        <w:gridCol w:w="191"/>
        <w:gridCol w:w="743"/>
        <w:gridCol w:w="60"/>
        <w:gridCol w:w="60"/>
        <w:gridCol w:w="310"/>
        <w:gridCol w:w="1209"/>
        <w:gridCol w:w="60"/>
        <w:gridCol w:w="60"/>
        <w:gridCol w:w="340"/>
        <w:gridCol w:w="925"/>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30-89 Days</w:t>
            </w:r>
          </w:p>
          <w:p>
            <w:pPr>
              <w:pStyle w:val="TableContents"/>
              <w:bidi w:val="0"/>
              <w:spacing w:before="0" w:after="0"/>
              <w:jc w:val="center"/>
              <w:rPr>
                <w:rFonts w:ascii="Times New Roman" w:hAnsi="Times New Roman"/>
                <w:b/>
                <w:sz w:val="20"/>
              </w:rPr>
            </w:pPr>
            <w:r>
              <w:rPr>
                <w:rFonts w:ascii="Times New Roman" w:hAnsi="Times New Roman"/>
                <w:b/>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90 Days or</w:t>
            </w:r>
          </w:p>
          <w:p>
            <w:pPr>
              <w:pStyle w:val="TableContents"/>
              <w:bidi w:val="0"/>
              <w:spacing w:before="0" w:after="0"/>
              <w:jc w:val="center"/>
              <w:rPr>
                <w:rFonts w:ascii="Times New Roman" w:hAnsi="Times New Roman"/>
                <w:b/>
                <w:sz w:val="20"/>
              </w:rPr>
            </w:pPr>
            <w:r>
              <w:rPr>
                <w:rFonts w:ascii="Times New Roman" w:hAnsi="Times New Roman"/>
                <w:b/>
                <w:sz w:val="20"/>
              </w:rPr>
              <w:t>More Past</w:t>
            </w:r>
          </w:p>
          <w:p>
            <w:pPr>
              <w:pStyle w:val="TableContents"/>
              <w:bidi w:val="0"/>
              <w:spacing w:before="0" w:after="0"/>
              <w:jc w:val="center"/>
              <w:rPr>
                <w:rFonts w:ascii="Times New Roman" w:hAnsi="Times New Roman"/>
                <w:b/>
                <w:sz w:val="20"/>
              </w:rPr>
            </w:pPr>
            <w:r>
              <w:rPr>
                <w:rFonts w:ascii="Times New Roman" w:hAnsi="Times New Roman"/>
                <w:b/>
                <w:sz w:val="20"/>
              </w:rPr>
              <w:t>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 Nonaccrual</w:t>
            </w:r>
          </w:p>
        </w:tc>
        <w:tc>
          <w:tcPr>
            <w:tcW w:w="60"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pPr>
            <w:r>
              <w:rPr/>
              <w:t> </w:t>
            </w:r>
            <w:r>
              <w:rPr>
                <w:b/>
              </w:rPr>
              <w:t>Nonaccrual</w:t>
            </w:r>
          </w:p>
          <w:p>
            <w:pPr>
              <w:pStyle w:val="TableContents"/>
              <w:bidi w:val="0"/>
              <w:spacing w:before="0" w:after="0"/>
              <w:jc w:val="center"/>
              <w:rPr>
                <w:b/>
              </w:rPr>
            </w:pPr>
            <w:r>
              <w:rPr>
                <w:b/>
              </w:rPr>
              <w:t>with no</w:t>
            </w:r>
          </w:p>
          <w:p>
            <w:pPr>
              <w:pStyle w:val="TableContents"/>
              <w:bidi w:val="0"/>
              <w:spacing w:before="0" w:after="0"/>
              <w:jc w:val="center"/>
              <w:rPr>
                <w:b/>
              </w:rPr>
            </w:pPr>
            <w:r>
              <w:rPr>
                <w:b/>
              </w:rPr>
              <w:t>ACL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848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5"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25" w:type="dxa"/>
            <w:tcBorders>
              <w:bottom w:val="double" w:sz="8" w:space="0" w:color="000000"/>
            </w:tcBorders>
            <w:shd w:fill="CCEEFF" w:val="clear"/>
            <w:tcMar>
              <w:bottom w:w="28" w:type="dxa"/>
            </w:tcMar>
            <w:vAlign w:val="bottom"/>
          </w:tcPr>
          <w:p>
            <w:pPr>
              <w:pStyle w:val="TableContents"/>
              <w:bidi w:val="0"/>
              <w:spacing w:before="0" w:after="283"/>
              <w:jc w:val="right"/>
              <w:rPr/>
            </w:pPr>
            <w:r>
              <w:rPr/>
              <w:t>848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557" w:type="dxa"/>
        <w:jc w:val="left"/>
        <w:tblInd w:w="0" w:type="dxa"/>
        <w:tblLayout w:type="fixed"/>
        <w:tblCellMar>
          <w:top w:w="0" w:type="dxa"/>
          <w:left w:w="0" w:type="dxa"/>
          <w:bottom w:w="0" w:type="dxa"/>
          <w:right w:w="0" w:type="dxa"/>
        </w:tblCellMar>
      </w:tblPr>
      <w:tblGrid>
        <w:gridCol w:w="2090"/>
        <w:gridCol w:w="60"/>
        <w:gridCol w:w="197"/>
        <w:gridCol w:w="767"/>
        <w:gridCol w:w="60"/>
        <w:gridCol w:w="60"/>
        <w:gridCol w:w="259"/>
        <w:gridCol w:w="1005"/>
        <w:gridCol w:w="60"/>
        <w:gridCol w:w="60"/>
        <w:gridCol w:w="380"/>
        <w:gridCol w:w="1484"/>
        <w:gridCol w:w="75"/>
      </w:tblGrid>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30-89 Days</w:t>
            </w:r>
          </w:p>
          <w:p>
            <w:pPr>
              <w:pStyle w:val="TableContents"/>
              <w:bidi w:val="0"/>
              <w:spacing w:before="0" w:after="0"/>
              <w:jc w:val="center"/>
              <w:rPr>
                <w:rFonts w:ascii="Times New Roman" w:hAnsi="Times New Roman"/>
                <w:b/>
                <w:sz w:val="20"/>
              </w:rPr>
            </w:pPr>
            <w:r>
              <w:rPr>
                <w:rFonts w:ascii="Times New Roman" w:hAnsi="Times New Roman"/>
                <w:b/>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90 Days or</w:t>
            </w:r>
          </w:p>
          <w:p>
            <w:pPr>
              <w:pStyle w:val="TableContents"/>
              <w:bidi w:val="0"/>
              <w:spacing w:before="0" w:after="0"/>
              <w:jc w:val="center"/>
              <w:rPr>
                <w:rFonts w:ascii="Times New Roman" w:hAnsi="Times New Roman"/>
                <w:b/>
                <w:sz w:val="20"/>
              </w:rPr>
            </w:pPr>
            <w:r>
              <w:rPr>
                <w:rFonts w:ascii="Times New Roman" w:hAnsi="Times New Roman"/>
                <w:b/>
                <w:sz w:val="20"/>
              </w:rPr>
              <w:t>More 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86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Total Nonaccrual </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96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64"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4"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Credit Quality Indicators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and nine months ended September 30,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amortized cost basis in loans by credit quality indicator and origination year at September 30, 2023,</w:t>
      </w:r>
      <w:r>
        <w:rPr>
          <w:rFonts w:ascii="Times New Roman" w:hAnsi="Times New Roman"/>
          <w:color w:val="000000"/>
          <w:sz w:val="20"/>
          <w:shd w:fill="FFFFFF" w:val="clear"/>
        </w:rPr>
        <w:t xml:space="preserve"> and gross charge-offs for the nine months ended</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September 30, 2023, excluding loans held for sale. Loans acquired are shown in the table by origination year, not merger date. The Company had an immaterial amount of revolving loans converted to term loans at September 30, 2023.</w:t>
      </w:r>
    </w:p>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179"/>
        <w:gridCol w:w="60"/>
        <w:gridCol w:w="125"/>
        <w:gridCol w:w="695"/>
        <w:gridCol w:w="60"/>
        <w:gridCol w:w="60"/>
        <w:gridCol w:w="165"/>
        <w:gridCol w:w="695"/>
        <w:gridCol w:w="60"/>
        <w:gridCol w:w="60"/>
        <w:gridCol w:w="165"/>
        <w:gridCol w:w="695"/>
        <w:gridCol w:w="60"/>
        <w:gridCol w:w="60"/>
        <w:gridCol w:w="165"/>
        <w:gridCol w:w="590"/>
        <w:gridCol w:w="60"/>
        <w:gridCol w:w="60"/>
        <w:gridCol w:w="165"/>
        <w:gridCol w:w="590"/>
        <w:gridCol w:w="60"/>
        <w:gridCol w:w="60"/>
        <w:gridCol w:w="165"/>
        <w:gridCol w:w="695"/>
        <w:gridCol w:w="60"/>
        <w:gridCol w:w="60"/>
        <w:gridCol w:w="231"/>
        <w:gridCol w:w="897"/>
        <w:gridCol w:w="60"/>
        <w:gridCol w:w="60"/>
        <w:gridCol w:w="165"/>
        <w:gridCol w:w="845"/>
        <w:gridCol w:w="78"/>
      </w:tblGrid>
      <w:tr>
        <w:trPr/>
        <w:tc>
          <w:tcPr>
            <w:tcW w:w="2179"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0"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0" w:type="dxa"/>
            <w:gridSpan w:val="14"/>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 Cost Basis by Origination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(Dollars in thousands)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Prior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Revolving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Commercial real estate:</w:t>
            </w:r>
            <w:r>
              <w:rPr>
                <w:rFonts w:ascii="Times New Roman" w:hAnsi="Times New Roman"/>
                <w:color w:val="000000"/>
                <w:sz w:val="20"/>
              </w:rPr>
              <w:t xml:space="preserve">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1,020,548</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25,714</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real estate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185,337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1,046,262</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specialized: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365,531</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874</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specialized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366,405</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general: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133,683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500,258</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12,744</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general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100,518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75,238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514,567</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Consumer - 1-4 family residential: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524,066</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10,445</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- 1-4 family residential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112,495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534,511</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 auto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138,755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xml:space="preserve">$ </w:t>
            </w:r>
          </w:p>
        </w:tc>
        <w:tc>
          <w:tcPr>
            <w:tcW w:w="8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315,548</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 auto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90,085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316,024</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586</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 other consumer: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77,154</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78" w:type="dxa"/>
            <w:tcBorders/>
            <w:vAlign w:val="bottom"/>
          </w:tcPr>
          <w:p>
            <w:pPr>
              <w:pStyle w:val="TableContents"/>
              <w:bidi w:val="0"/>
              <w:spacing w:before="0" w:after="283"/>
              <w:jc w:val="left"/>
              <w:rPr/>
            </w:pPr>
            <w:r>
              <w:rPr/>
              <w:t> </w:t>
            </w:r>
          </w:p>
        </w:tc>
      </w:tr>
      <w:tr>
        <w:trPr/>
        <w:tc>
          <w:tcPr>
            <w:tcW w:w="2179"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 other consumer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77,325</w:t>
            </w:r>
          </w:p>
        </w:tc>
        <w:tc>
          <w:tcPr>
            <w:tcW w:w="78" w:type="dxa"/>
            <w:tcBorders/>
            <w:shd w:fill="CCEEFF" w:val="clear"/>
            <w:vAlign w:val="bottom"/>
          </w:tcPr>
          <w:p>
            <w:pPr>
              <w:pStyle w:val="TableContents"/>
              <w:bidi w:val="0"/>
              <w:spacing w:before="0" w:after="283"/>
              <w:jc w:val="left"/>
              <w:rPr/>
            </w:pPr>
            <w:r>
              <w:rPr/>
              <w:t> </w:t>
            </w:r>
          </w:p>
        </w:tc>
      </w:tr>
      <w:tr>
        <w:trPr/>
        <w:tc>
          <w:tcPr>
            <w:tcW w:w="2179"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w:t>
            </w:r>
          </w:p>
        </w:tc>
        <w:tc>
          <w:tcPr>
            <w:tcW w:w="78" w:type="dxa"/>
            <w:tcBorders/>
            <w:vAlign w:val="bottom"/>
          </w:tcPr>
          <w:p>
            <w:pPr>
              <w:pStyle w:val="TableContents"/>
              <w:bidi w:val="0"/>
              <w:spacing w:before="0" w:after="283"/>
              <w:jc w:val="left"/>
              <w:rPr/>
            </w:pPr>
            <w:r>
              <w:rPr/>
              <w:t> </w:t>
            </w:r>
          </w:p>
        </w:tc>
      </w:tr>
    </w:tbl>
    <w:tbl>
      <w:tblPr>
        <w:tblW w:w="9010" w:type="dxa"/>
        <w:jc w:val="left"/>
        <w:tblInd w:w="0" w:type="dxa"/>
        <w:tblLayout w:type="fixed"/>
        <w:tblCellMar>
          <w:top w:w="0" w:type="dxa"/>
          <w:left w:w="0" w:type="dxa"/>
          <w:bottom w:w="0" w:type="dxa"/>
          <w:right w:w="0" w:type="dxa"/>
        </w:tblCellMar>
      </w:tblPr>
      <w:tblGrid>
        <w:gridCol w:w="2630"/>
        <w:gridCol w:w="60"/>
        <w:gridCol w:w="200"/>
        <w:gridCol w:w="590"/>
        <w:gridCol w:w="60"/>
        <w:gridCol w:w="60"/>
        <w:gridCol w:w="200"/>
        <w:gridCol w:w="590"/>
        <w:gridCol w:w="60"/>
        <w:gridCol w:w="60"/>
        <w:gridCol w:w="200"/>
        <w:gridCol w:w="590"/>
        <w:gridCol w:w="60"/>
        <w:gridCol w:w="60"/>
        <w:gridCol w:w="200"/>
        <w:gridCol w:w="335"/>
        <w:gridCol w:w="60"/>
        <w:gridCol w:w="60"/>
        <w:gridCol w:w="200"/>
        <w:gridCol w:w="260"/>
        <w:gridCol w:w="60"/>
        <w:gridCol w:w="60"/>
        <w:gridCol w:w="200"/>
        <w:gridCol w:w="260"/>
        <w:gridCol w:w="60"/>
        <w:gridCol w:w="60"/>
        <w:gridCol w:w="200"/>
        <w:gridCol w:w="485"/>
        <w:gridCol w:w="60"/>
        <w:gridCol w:w="60"/>
        <w:gridCol w:w="200"/>
        <w:gridCol w:w="695"/>
        <w:gridCol w:w="75"/>
      </w:tblGrid>
      <w:tr>
        <w:trPr/>
        <w:tc>
          <w:tcPr>
            <w:tcW w:w="2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Construction:</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75,433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137,410</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construction loans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138,469</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33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48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272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loans by credit quality indicator at December 31, 2022 (dollars in thousands):</w:t>
      </w:r>
    </w:p>
    <w:p>
      <w:pPr>
        <w:pStyle w:val="TextBody"/>
        <w:bidi w:val="0"/>
        <w:spacing w:before="0" w:after="0"/>
        <w:jc w:val="left"/>
        <w:rPr/>
      </w:pPr>
      <w:r>
        <w:rPr/>
      </w:r>
    </w:p>
    <w:tbl>
      <w:tblPr>
        <w:tblW w:w="7210" w:type="dxa"/>
        <w:jc w:val="left"/>
        <w:tblInd w:w="0" w:type="dxa"/>
        <w:tblLayout w:type="fixed"/>
        <w:tblCellMar>
          <w:top w:w="0" w:type="dxa"/>
          <w:left w:w="0" w:type="dxa"/>
          <w:bottom w:w="0" w:type="dxa"/>
          <w:right w:w="0" w:type="dxa"/>
        </w:tblCellMar>
      </w:tblPr>
      <w:tblGrid>
        <w:gridCol w:w="2090"/>
        <w:gridCol w:w="60"/>
        <w:gridCol w:w="125"/>
        <w:gridCol w:w="845"/>
        <w:gridCol w:w="60"/>
        <w:gridCol w:w="60"/>
        <w:gridCol w:w="235"/>
        <w:gridCol w:w="490"/>
        <w:gridCol w:w="60"/>
        <w:gridCol w:w="60"/>
        <w:gridCol w:w="189"/>
        <w:gridCol w:w="896"/>
        <w:gridCol w:w="60"/>
        <w:gridCol w:w="60"/>
        <w:gridCol w:w="245"/>
        <w:gridCol w:w="510"/>
        <w:gridCol w:w="60"/>
        <w:gridCol w:w="60"/>
        <w:gridCol w:w="125"/>
        <w:gridCol w:w="845"/>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Pass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Special</w:t>
            </w:r>
          </w:p>
          <w:p>
            <w:pPr>
              <w:pStyle w:val="TableContents"/>
              <w:bidi w:val="0"/>
              <w:spacing w:before="0" w:after="0"/>
              <w:jc w:val="center"/>
              <w:rPr>
                <w:rFonts w:ascii="Times New Roman" w:hAnsi="Times New Roman"/>
                <w:b/>
                <w:sz w:val="20"/>
              </w:rPr>
            </w:pPr>
            <w:r>
              <w:rPr>
                <w:rFonts w:ascii="Times New Roman" w:hAnsi="Times New Roman"/>
                <w:b/>
                <w:sz w:val="20"/>
              </w:rPr>
              <w:t>Mention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Substandard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Doubtful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893,312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451,639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484,783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460,124</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321,158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49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153,519</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2,676,234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 </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60" w:after="6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amortized cost basis of loans at September 30, 2023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pStyle w:val="TextBody"/>
        <w:bidi w:val="0"/>
        <w:spacing w:before="0" w:after="0"/>
        <w:ind w:left="0" w:right="0" w:hanging="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2165"/>
        <w:gridCol w:w="60"/>
        <w:gridCol w:w="215"/>
        <w:gridCol w:w="577"/>
        <w:gridCol w:w="60"/>
        <w:gridCol w:w="60"/>
        <w:gridCol w:w="176"/>
        <w:gridCol w:w="684"/>
        <w:gridCol w:w="60"/>
        <w:gridCol w:w="60"/>
        <w:gridCol w:w="233"/>
        <w:gridCol w:w="627"/>
        <w:gridCol w:w="60"/>
        <w:gridCol w:w="60"/>
        <w:gridCol w:w="290"/>
        <w:gridCol w:w="781"/>
        <w:gridCol w:w="60"/>
        <w:gridCol w:w="60"/>
        <w:gridCol w:w="432"/>
        <w:gridCol w:w="804"/>
        <w:gridCol w:w="60"/>
        <w:gridCol w:w="60"/>
        <w:gridCol w:w="424"/>
        <w:gridCol w:w="789"/>
        <w:gridCol w:w="60"/>
        <w:gridCol w:w="60"/>
        <w:gridCol w:w="141"/>
        <w:gridCol w:w="899"/>
        <w:gridCol w:w="188"/>
      </w:tblGrid>
      <w:tr>
        <w:trPr/>
        <w:tc>
          <w:tcPr>
            <w:tcW w:w="21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and </w:t>
            </w:r>
          </w:p>
          <w:p>
            <w:pPr>
              <w:pStyle w:val="TableContents"/>
              <w:bidi w:val="0"/>
              <w:spacing w:before="0" w:after="0"/>
              <w:jc w:val="center"/>
              <w:rPr>
                <w:rFonts w:ascii="Times New Roman" w:hAnsi="Times New Roman"/>
                <w:b/>
              </w:rPr>
            </w:pPr>
            <w:r>
              <w:rPr>
                <w:rFonts w:ascii="Times New Roman" w:hAnsi="Times New Roman"/>
                <w:b/>
              </w:rPr>
              <w:t xml:space="preserve">Interest Rate </w:t>
            </w:r>
          </w:p>
          <w:p>
            <w:pPr>
              <w:pStyle w:val="TableContents"/>
              <w:bidi w:val="0"/>
              <w:spacing w:before="0" w:after="0"/>
              <w:jc w:val="center"/>
              <w:rPr>
                <w:rFonts w:ascii="Times New Roman" w:hAnsi="Times New Roman"/>
                <w:b/>
              </w:rPr>
            </w:pPr>
            <w:r>
              <w:rPr>
                <w:rFonts w:ascii="Times New Roman" w:hAnsi="Times New Roman"/>
                <w:b/>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Term </w:t>
            </w:r>
          </w:p>
          <w:p>
            <w:pPr>
              <w:pStyle w:val="TableContents"/>
              <w:bidi w:val="0"/>
              <w:spacing w:before="0" w:after="0"/>
              <w:jc w:val="center"/>
              <w:rPr>
                <w:rFonts w:ascii="Times New Roman" w:hAnsi="Times New Roman"/>
                <w:b/>
              </w:rPr>
            </w:pPr>
            <w:r>
              <w:rPr>
                <w:rFonts w:ascii="Times New Roman" w:hAnsi="Times New Roman"/>
                <w:b/>
              </w:rPr>
              <w:t xml:space="preserve">Extension, </w:t>
            </w:r>
          </w:p>
          <w:p>
            <w:pPr>
              <w:pStyle w:val="TableContents"/>
              <w:bidi w:val="0"/>
              <w:spacing w:before="0" w:after="0"/>
              <w:jc w:val="center"/>
              <w:rPr>
                <w:rFonts w:ascii="Times New Roman" w:hAnsi="Times New Roman"/>
                <w:b/>
              </w:rPr>
            </w:pPr>
            <w:r>
              <w:rPr>
                <w:rFonts w:ascii="Times New Roman" w:hAnsi="Times New Roman"/>
                <w:b/>
              </w:rPr>
              <w:t xml:space="preserve">and Interest </w:t>
            </w:r>
          </w:p>
          <w:p>
            <w:pPr>
              <w:pStyle w:val="TableContents"/>
              <w:bidi w:val="0"/>
              <w:spacing w:before="0" w:after="0"/>
              <w:jc w:val="center"/>
              <w:rPr>
                <w:rFonts w:ascii="Times New Roman" w:hAnsi="Times New Roman"/>
                <w:b/>
              </w:rPr>
            </w:pPr>
            <w:r>
              <w:rPr>
                <w:rFonts w:ascii="Times New Roman" w:hAnsi="Times New Roman"/>
                <w:b/>
              </w:rPr>
              <w:t xml:space="preserve">Rate </w:t>
            </w:r>
          </w:p>
          <w:p>
            <w:pPr>
              <w:pStyle w:val="TableContents"/>
              <w:bidi w:val="0"/>
              <w:spacing w:before="0" w:after="0"/>
              <w:jc w:val="center"/>
              <w:rPr>
                <w:rFonts w:ascii="Times New Roman" w:hAnsi="Times New Roman"/>
                <w:b/>
              </w:rPr>
            </w:pPr>
            <w:r>
              <w:rPr>
                <w:rFonts w:ascii="Times New Roman" w:hAnsi="Times New Roman"/>
                <w:b/>
              </w:rPr>
              <w:t xml:space="preserve">Reduction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Total Class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Financing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188"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color w:val="000000"/>
                <w:sz w:val="20"/>
                <w:u w:val="single"/>
              </w:rPr>
            </w:pPr>
            <w:r>
              <w:rPr>
                <w:rFonts w:ascii="Times New Roman" w:hAnsi="Times New Roman"/>
                <w:color w:val="000000"/>
                <w:sz w:val="20"/>
                <w:u w:val="single"/>
              </w:rPr>
              <w:t>Three Months Ended September 30, 2023</w:t>
            </w:r>
          </w:p>
        </w:tc>
        <w:tc>
          <w:tcPr>
            <w:tcW w:w="60"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0.21</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right"/>
              <w:rPr/>
            </w:pPr>
            <w:r>
              <w:rPr/>
              <w:t> </w:t>
            </w:r>
          </w:p>
        </w:tc>
        <w:tc>
          <w:tcPr>
            <w:tcW w:w="8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right"/>
              <w:rPr/>
            </w:pPr>
            <w:r>
              <w:rPr/>
              <w:t> </w:t>
            </w:r>
          </w:p>
        </w:tc>
        <w:tc>
          <w:tcPr>
            <w:tcW w:w="7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0.19</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righ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right"/>
              <w:rPr/>
            </w:pPr>
            <w:r>
              <w:rPr/>
              <w:t> </w:t>
            </w:r>
          </w:p>
        </w:tc>
        <w:tc>
          <w:tcPr>
            <w:tcW w:w="7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right"/>
              <w:rPr/>
            </w:pPr>
            <w:r>
              <w:rPr/>
              <w:t> </w:t>
            </w:r>
          </w:p>
        </w:tc>
        <w:tc>
          <w:tcPr>
            <w:tcW w:w="8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righ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righ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right"/>
              <w:rPr/>
            </w:pPr>
            <w:r>
              <w:rPr/>
              <w:t> </w:t>
            </w:r>
          </w:p>
        </w:tc>
        <w:tc>
          <w:tcPr>
            <w:tcW w:w="789"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right"/>
              <w:rPr/>
            </w:pPr>
            <w:r>
              <w:rPr/>
              <w:t> </w:t>
            </w:r>
          </w:p>
        </w:tc>
        <w:tc>
          <w:tcPr>
            <w:tcW w:w="8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right"/>
              <w:rPr/>
            </w:pPr>
            <w:r>
              <w:rPr/>
              <w:t> </w:t>
            </w:r>
          </w:p>
        </w:tc>
        <w:tc>
          <w:tcPr>
            <w:tcW w:w="7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right"/>
              <w:rPr/>
            </w:pPr>
            <w:r>
              <w:rPr/>
              <w:t> </w:t>
            </w:r>
          </w:p>
        </w:tc>
        <w:tc>
          <w:tcPr>
            <w:tcW w:w="8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right"/>
              <w:rPr/>
            </w:pPr>
            <w:r>
              <w:rPr/>
              <w:t> </w:t>
            </w:r>
          </w:p>
        </w:tc>
        <w:tc>
          <w:tcPr>
            <w:tcW w:w="7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24" w:type="dxa"/>
            <w:tcBorders>
              <w:bottom w:val="single" w:sz="12" w:space="0" w:color="000000"/>
            </w:tcBorders>
            <w:tcMar>
              <w:bottom w:w="28" w:type="dxa"/>
            </w:tcMar>
            <w:vAlign w:val="bottom"/>
          </w:tcPr>
          <w:p>
            <w:pPr>
              <w:pStyle w:val="TableContents"/>
              <w:bidi w:val="0"/>
              <w:spacing w:before="0" w:after="283"/>
              <w:jc w:val="right"/>
              <w:rPr/>
            </w:pPr>
            <w:r>
              <w:rPr/>
              <w:t> </w:t>
            </w:r>
          </w:p>
        </w:tc>
        <w:tc>
          <w:tcPr>
            <w:tcW w:w="78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6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4"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24"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89"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8</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283"/>
              <w:jc w:val="left"/>
              <w:rPr/>
            </w:pPr>
            <w:r>
              <w:rPr/>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0.20</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52"/>
        <w:gridCol w:w="60"/>
        <w:gridCol w:w="215"/>
        <w:gridCol w:w="577"/>
        <w:gridCol w:w="60"/>
        <w:gridCol w:w="60"/>
        <w:gridCol w:w="150"/>
        <w:gridCol w:w="710"/>
        <w:gridCol w:w="60"/>
        <w:gridCol w:w="60"/>
        <w:gridCol w:w="233"/>
        <w:gridCol w:w="627"/>
        <w:gridCol w:w="60"/>
        <w:gridCol w:w="60"/>
        <w:gridCol w:w="219"/>
        <w:gridCol w:w="856"/>
        <w:gridCol w:w="60"/>
        <w:gridCol w:w="60"/>
        <w:gridCol w:w="433"/>
        <w:gridCol w:w="806"/>
        <w:gridCol w:w="60"/>
        <w:gridCol w:w="60"/>
        <w:gridCol w:w="425"/>
        <w:gridCol w:w="791"/>
        <w:gridCol w:w="60"/>
        <w:gridCol w:w="60"/>
        <w:gridCol w:w="141"/>
        <w:gridCol w:w="901"/>
        <w:gridCol w:w="189"/>
      </w:tblGrid>
      <w:tr>
        <w:trPr/>
        <w:tc>
          <w:tcPr>
            <w:tcW w:w="2152"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and </w:t>
            </w:r>
          </w:p>
          <w:p>
            <w:pPr>
              <w:pStyle w:val="TableContents"/>
              <w:bidi w:val="0"/>
              <w:spacing w:before="0" w:after="0"/>
              <w:jc w:val="center"/>
              <w:rPr>
                <w:rFonts w:ascii="Times New Roman" w:hAnsi="Times New Roman"/>
                <w:b/>
              </w:rPr>
            </w:pPr>
            <w:r>
              <w:rPr>
                <w:rFonts w:ascii="Times New Roman" w:hAnsi="Times New Roman"/>
                <w:b/>
              </w:rPr>
              <w:t xml:space="preserve">Interest Rate </w:t>
            </w:r>
          </w:p>
          <w:p>
            <w:pPr>
              <w:pStyle w:val="TableContents"/>
              <w:bidi w:val="0"/>
              <w:spacing w:before="0" w:after="0"/>
              <w:jc w:val="center"/>
              <w:rPr>
                <w:rFonts w:ascii="Times New Roman" w:hAnsi="Times New Roman"/>
                <w:b/>
              </w:rPr>
            </w:pPr>
            <w:r>
              <w:rPr>
                <w:rFonts w:ascii="Times New Roman" w:hAnsi="Times New Roman"/>
                <w:b/>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Term </w:t>
            </w:r>
          </w:p>
          <w:p>
            <w:pPr>
              <w:pStyle w:val="TableContents"/>
              <w:bidi w:val="0"/>
              <w:spacing w:before="0" w:after="0"/>
              <w:jc w:val="center"/>
              <w:rPr>
                <w:rFonts w:ascii="Times New Roman" w:hAnsi="Times New Roman"/>
                <w:b/>
              </w:rPr>
            </w:pPr>
            <w:r>
              <w:rPr>
                <w:rFonts w:ascii="Times New Roman" w:hAnsi="Times New Roman"/>
                <w:b/>
              </w:rPr>
              <w:t xml:space="preserve">Extension, </w:t>
            </w:r>
          </w:p>
          <w:p>
            <w:pPr>
              <w:pStyle w:val="TableContents"/>
              <w:bidi w:val="0"/>
              <w:spacing w:before="0" w:after="0"/>
              <w:jc w:val="center"/>
              <w:rPr>
                <w:rFonts w:ascii="Times New Roman" w:hAnsi="Times New Roman"/>
                <w:b/>
              </w:rPr>
            </w:pPr>
            <w:r>
              <w:rPr>
                <w:rFonts w:ascii="Times New Roman" w:hAnsi="Times New Roman"/>
                <w:b/>
              </w:rPr>
              <w:t xml:space="preserve">and Interest </w:t>
            </w:r>
          </w:p>
          <w:p>
            <w:pPr>
              <w:pStyle w:val="TableContents"/>
              <w:bidi w:val="0"/>
              <w:spacing w:before="0" w:after="0"/>
              <w:jc w:val="center"/>
              <w:rPr>
                <w:rFonts w:ascii="Times New Roman" w:hAnsi="Times New Roman"/>
                <w:b/>
              </w:rPr>
            </w:pPr>
            <w:r>
              <w:rPr>
                <w:rFonts w:ascii="Times New Roman" w:hAnsi="Times New Roman"/>
                <w:b/>
              </w:rPr>
              <w:t xml:space="preserve">Rate </w:t>
            </w:r>
          </w:p>
          <w:p>
            <w:pPr>
              <w:pStyle w:val="TableContents"/>
              <w:bidi w:val="0"/>
              <w:spacing w:before="0" w:after="0"/>
              <w:jc w:val="center"/>
              <w:rPr>
                <w:rFonts w:ascii="Times New Roman" w:hAnsi="Times New Roman"/>
                <w:b/>
              </w:rPr>
            </w:pPr>
            <w:r>
              <w:rPr>
                <w:rFonts w:ascii="Times New Roman" w:hAnsi="Times New Roman"/>
                <w:b/>
              </w:rPr>
              <w:t xml:space="preserve">Reduction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Total Class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Financing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189"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2" w:type="dxa"/>
            <w:gridSpan w:val="2"/>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0"/>
              <w:ind w:left="180" w:right="0" w:hanging="180"/>
              <w:jc w:val="left"/>
              <w:rPr>
                <w:rFonts w:ascii="Times New Roman" w:hAnsi="Times New Roman"/>
                <w:color w:val="000000"/>
                <w:sz w:val="20"/>
                <w:u w:val="single"/>
              </w:rPr>
            </w:pPr>
            <w:r>
              <w:rPr>
                <w:rFonts w:ascii="Times New Roman" w:hAnsi="Times New Roman"/>
                <w:color w:val="000000"/>
                <w:sz w:val="20"/>
                <w:u w:val="single"/>
              </w:rPr>
              <w:t>Nine Months Ended September 30, 2023</w:t>
            </w:r>
          </w:p>
        </w:tc>
        <w:tc>
          <w:tcPr>
            <w:tcW w:w="60"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2" w:type="dxa"/>
            <w:gridSpan w:val="2"/>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r>
      <w:tr>
        <w:trPr/>
        <w:tc>
          <w:tcPr>
            <w:tcW w:w="2152"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3"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eastAsia="Times New Roman" w:cs="Times New Roman"/>
                <w:color w:val="000000"/>
                <w:sz w:val="20"/>
              </w:rPr>
            </w:pPr>
            <w:r>
              <w:rPr>
                <w:rFonts w:eastAsia="Times New Roman" w:cs="Times New Roman" w:ascii="Times New Roman" w:hAnsi="Times New Roman"/>
                <w:color w:val="000000"/>
                <w:sz w:val="20"/>
              </w:rPr>
            </w:r>
          </w:p>
        </w:tc>
        <w:tc>
          <w:tcPr>
            <w:tcW w:w="90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0.21</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3"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1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3"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3"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r>
      <w:tr>
        <w:trPr/>
        <w:tc>
          <w:tcPr>
            <w:tcW w:w="2152"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3"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3"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1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3"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3"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w:t>
            </w:r>
          </w:p>
        </w:tc>
        <w:tc>
          <w:tcPr>
            <w:tcW w:w="1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52"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3"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6"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2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91"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eastAsia="Times New Roman" w:cs="Times New Roman"/>
                <w:color w:val="000000"/>
                <w:sz w:val="20"/>
              </w:rPr>
            </w:pPr>
            <w:r>
              <w:rPr>
                <w:rFonts w:eastAsia="Times New Roman" w:cs="Times New Roman" w:ascii="Times New Roman" w:hAnsi="Times New Roman"/>
                <w:color w:val="000000"/>
                <w:sz w:val="20"/>
              </w:rPr>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0.46</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closely monitors the performance of loans that are modified to borrowers experiencing financial difficulty to understand the effectiveness of its modification efforts.  The following presents the performance of such loans that have been modified in the nine months ended September 30, 2023 (dollars in thousands):</w:t>
      </w:r>
    </w:p>
    <w:p>
      <w:pPr>
        <w:pStyle w:val="TextBody"/>
        <w:bidi w:val="0"/>
        <w:spacing w:before="0" w:after="0"/>
        <w:ind w:left="0" w:right="0" w:hanging="0"/>
        <w:jc w:val="both"/>
        <w:rPr>
          <w:rFonts w:ascii="Times New Roman" w:hAnsi="Times New Roman"/>
        </w:rPr>
      </w:pPr>
      <w:r>
        <w:rPr>
          <w:rFonts w:ascii="Times New Roman" w:hAnsi="Times New Roman"/>
        </w:rPr>
      </w:r>
    </w:p>
    <w:tbl>
      <w:tblPr>
        <w:tblW w:w="5703" w:type="dxa"/>
        <w:jc w:val="left"/>
        <w:tblInd w:w="0" w:type="dxa"/>
        <w:tblLayout w:type="fixed"/>
        <w:tblCellMar>
          <w:top w:w="0" w:type="dxa"/>
          <w:left w:w="0" w:type="dxa"/>
          <w:bottom w:w="0" w:type="dxa"/>
          <w:right w:w="0" w:type="dxa"/>
        </w:tblCellMar>
      </w:tblPr>
      <w:tblGrid>
        <w:gridCol w:w="2090"/>
        <w:gridCol w:w="60"/>
        <w:gridCol w:w="262"/>
        <w:gridCol w:w="702"/>
        <w:gridCol w:w="60"/>
        <w:gridCol w:w="60"/>
        <w:gridCol w:w="409"/>
        <w:gridCol w:w="855"/>
        <w:gridCol w:w="60"/>
        <w:gridCol w:w="60"/>
        <w:gridCol w:w="274"/>
        <w:gridCol w:w="736"/>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30-89 Days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90 Days 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More Past Due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and Still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Accruing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Nonaccrual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September 30,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tables present the financial effects of the loan modifications presented above to borrowers experiencing financial difficulty during the periods indicated below (dollars in thousands): </w:t>
      </w:r>
    </w:p>
    <w:p>
      <w:pPr>
        <w:pStyle w:val="TextBody"/>
        <w:bidi w:val="0"/>
        <w:spacing w:before="0" w:after="0"/>
        <w:ind w:left="0" w:right="0" w:hanging="0"/>
        <w:jc w:val="both"/>
        <w:rPr>
          <w:rFonts w:ascii="Times New Roman" w:hAnsi="Times New Roman"/>
        </w:rPr>
      </w:pPr>
      <w:r>
        <w:rPr>
          <w:rFonts w:ascii="Times New Roman" w:hAnsi="Times New Roman"/>
        </w:rPr>
      </w:r>
    </w:p>
    <w:tbl>
      <w:tblPr>
        <w:tblW w:w="6998" w:type="dxa"/>
        <w:jc w:val="left"/>
        <w:tblInd w:w="0" w:type="dxa"/>
        <w:tblLayout w:type="fixed"/>
        <w:tblCellMar>
          <w:top w:w="0" w:type="dxa"/>
          <w:left w:w="0" w:type="dxa"/>
          <w:bottom w:w="0" w:type="dxa"/>
          <w:right w:w="0" w:type="dxa"/>
        </w:tblCellMar>
      </w:tblPr>
      <w:tblGrid>
        <w:gridCol w:w="3410"/>
        <w:gridCol w:w="60"/>
        <w:gridCol w:w="337"/>
        <w:gridCol w:w="703"/>
        <w:gridCol w:w="60"/>
        <w:gridCol w:w="60"/>
        <w:gridCol w:w="155"/>
        <w:gridCol w:w="989"/>
        <w:gridCol w:w="185"/>
        <w:gridCol w:w="60"/>
        <w:gridCol w:w="169"/>
        <w:gridCol w:w="735"/>
        <w:gridCol w:w="75"/>
      </w:tblGrid>
      <w:tr>
        <w:trPr/>
        <w:tc>
          <w:tcPr>
            <w:tcW w:w="341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Three Months Ended September 30,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923" w:type="dxa"/>
        <w:jc w:val="left"/>
        <w:tblInd w:w="0" w:type="dxa"/>
        <w:tblLayout w:type="fixed"/>
        <w:tblCellMar>
          <w:top w:w="0" w:type="dxa"/>
          <w:left w:w="0" w:type="dxa"/>
          <w:bottom w:w="0" w:type="dxa"/>
          <w:right w:w="0" w:type="dxa"/>
        </w:tblCellMar>
      </w:tblPr>
      <w:tblGrid>
        <w:gridCol w:w="3335"/>
        <w:gridCol w:w="60"/>
        <w:gridCol w:w="337"/>
        <w:gridCol w:w="703"/>
        <w:gridCol w:w="60"/>
        <w:gridCol w:w="60"/>
        <w:gridCol w:w="155"/>
        <w:gridCol w:w="989"/>
        <w:gridCol w:w="185"/>
        <w:gridCol w:w="60"/>
        <w:gridCol w:w="169"/>
        <w:gridCol w:w="735"/>
        <w:gridCol w:w="75"/>
      </w:tblGrid>
      <w:tr>
        <w:trPr/>
        <w:tc>
          <w:tcPr>
            <w:tcW w:w="333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Nine Months Ended September 30,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rPr>
      </w:pPr>
      <w:r>
        <w:rPr>
          <w:rFonts w:ascii="Times New Roman" w:hAnsi="Times New Roman"/>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 Company did not have any loans made to borrowers experiencing financial difficulty that were modified during the three and nine months ended September 30, 2023 that subsequently defaulted.  Payment default is defined as movement to nonperforming status, foreclosure, or charge-off.</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 </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Prior-period troubled debt restructuring (“TDR”) disclosures</w:t>
      </w:r>
      <w:r>
        <w:rPr>
          <w:rFonts w:ascii="Times New Roman" w:hAnsi="Times New Roman"/>
          <w:caps w:val="false"/>
          <w:smallCaps w:val="false"/>
          <w:color w:val="000000"/>
          <w:sz w:val="20"/>
          <w:shd w:fill="FFFFFF" w:val="clear"/>
        </w:rPr>
        <w:t xml:space="preserve"> </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Prior to adopting the new accounting standard on loan modifications, the Company accounted for modifications of loans to borrowers experiencing financial difficulty as TDRs, when the modification resulted in a concession and specific reserves were charged to the ACL if necessary for the amount of estimated credit loss. The following reflects loans that were considered TDRs prior to January 1, 2023. For further information on the Company’s TDR accounting policies, see Note 1, “Summary of Significant Accounting Policies,” to the Company’s audited consolidated financial statements contained in the 2022 Annual Report on Form 10-K.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had no loans modified as a TDR during the year ended December 31, 2022.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GOODWILL AND INTANGIBLES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had goodwill of $19.3 and $19.5 million at September 30, 2023 and December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Other intangible assets, which consist of CDI, customer lists, and employment agreements at the dates indicated are summarized below (dollars in thousands):</w:t>
      </w:r>
    </w:p>
    <w:p>
      <w:pPr>
        <w:pStyle w:val="TextBody"/>
        <w:bidi w:val="0"/>
        <w:spacing w:before="0" w:after="0"/>
        <w:jc w:val="left"/>
        <w:rPr/>
      </w:pPr>
      <w:r>
        <w:rPr/>
      </w:r>
    </w:p>
    <w:tbl>
      <w:tblPr>
        <w:tblW w:w="5348" w:type="dxa"/>
        <w:jc w:val="left"/>
        <w:tblInd w:w="0" w:type="dxa"/>
        <w:tblLayout w:type="fixed"/>
        <w:tblCellMar>
          <w:top w:w="0" w:type="dxa"/>
          <w:left w:w="0" w:type="dxa"/>
          <w:bottom w:w="0" w:type="dxa"/>
          <w:right w:w="0" w:type="dxa"/>
        </w:tblCellMar>
      </w:tblPr>
      <w:tblGrid>
        <w:gridCol w:w="2660"/>
        <w:gridCol w:w="60"/>
        <w:gridCol w:w="226"/>
        <w:gridCol w:w="993"/>
        <w:gridCol w:w="80"/>
        <w:gridCol w:w="60"/>
        <w:gridCol w:w="218"/>
        <w:gridCol w:w="956"/>
        <w:gridCol w:w="95"/>
      </w:tblGrid>
      <w:tr>
        <w:trPr/>
        <w:tc>
          <w:tcPr>
            <w:tcW w:w="26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Amortized intangible assets</w:t>
            </w:r>
          </w:p>
        </w:tc>
        <w:tc>
          <w:tcPr>
            <w:tcW w:w="60" w:type="dxa"/>
            <w:tcBorders/>
            <w:vAlign w:val="bottom"/>
          </w:tcPr>
          <w:p>
            <w:pPr>
              <w:pStyle w:val="TableContents"/>
              <w:bidi w:val="0"/>
              <w:spacing w:before="0" w:after="283"/>
              <w:jc w:val="right"/>
              <w:rPr/>
            </w:pPr>
            <w:r>
              <w:rPr/>
              <w:t> </w:t>
            </w:r>
          </w:p>
        </w:tc>
        <w:tc>
          <w:tcPr>
            <w:tcW w:w="1219"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4"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Core deposit intangible</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(4,058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(3,420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intangibles</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2,972</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1,090</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right"/>
              <w:rPr/>
            </w:pPr>
            <w:r>
              <w:rPr/>
              <w:t> </w:t>
            </w:r>
          </w:p>
        </w:tc>
        <w:tc>
          <w:tcPr>
            <w:tcW w:w="2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4,349</w:t>
            </w:r>
          </w:p>
        </w:tc>
        <w:tc>
          <w:tcPr>
            <w:tcW w:w="95" w:type="dxa"/>
            <w:tcBorders/>
            <w:vAlign w:val="bottom"/>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the sale of Windmark was completed, resulting in the removal of goodwill and other intangible assets, net of accumulated amortization, of $193 thousand and $942 thousand,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5.  MORTGAGE SERVICING RIGHTS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pStyle w:val="TextBody"/>
        <w:bidi w:val="0"/>
        <w:spacing w:before="0" w:after="0"/>
        <w:jc w:val="left"/>
        <w:rPr>
          <w:rFonts w:ascii="Times New Roman" w:hAnsi="Times New Roman"/>
        </w:rPr>
      </w:pPr>
      <w:r>
        <w:rPr>
          <w:rFonts w:ascii="Times New Roman" w:hAnsi="Times New Roman"/>
        </w:rPr>
      </w:r>
    </w:p>
    <w:tbl>
      <w:tblPr>
        <w:tblW w:w="5499" w:type="dxa"/>
        <w:jc w:val="left"/>
        <w:tblInd w:w="0" w:type="dxa"/>
        <w:tblLayout w:type="fixed"/>
        <w:tblCellMar>
          <w:top w:w="0" w:type="dxa"/>
          <w:left w:w="0" w:type="dxa"/>
          <w:bottom w:w="0" w:type="dxa"/>
          <w:right w:w="0" w:type="dxa"/>
        </w:tblCellMar>
      </w:tblPr>
      <w:tblGrid>
        <w:gridCol w:w="1790"/>
        <w:gridCol w:w="60"/>
        <w:gridCol w:w="144"/>
        <w:gridCol w:w="681"/>
        <w:gridCol w:w="69"/>
        <w:gridCol w:w="69"/>
        <w:gridCol w:w="144"/>
        <w:gridCol w:w="681"/>
        <w:gridCol w:w="60"/>
        <w:gridCol w:w="60"/>
        <w:gridCol w:w="132"/>
        <w:gridCol w:w="627"/>
        <w:gridCol w:w="85"/>
        <w:gridCol w:w="63"/>
        <w:gridCol w:w="132"/>
        <w:gridCol w:w="627"/>
        <w:gridCol w:w="75"/>
      </w:tblGrid>
      <w:tr>
        <w:trPr/>
        <w:tc>
          <w:tcPr>
            <w:tcW w:w="17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17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19,700</w:t>
            </w:r>
          </w:p>
        </w:tc>
        <w:tc>
          <w:tcPr>
            <w:tcW w:w="75" w:type="dxa"/>
            <w:tcBorders/>
            <w:shd w:fill="CCEEFF" w:val="clear"/>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1,150</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2,694</w:t>
            </w:r>
          </w:p>
        </w:tc>
        <w:tc>
          <w:tcPr>
            <w:tcW w:w="75" w:type="dxa"/>
            <w:tcBorders/>
            <w:vAlign w:val="bottom"/>
          </w:tcPr>
          <w:p>
            <w:pPr>
              <w:pStyle w:val="TableContents"/>
              <w:bidi w:val="0"/>
              <w:spacing w:before="0" w:after="283"/>
              <w:jc w:val="left"/>
              <w:rPr/>
            </w:pPr>
            <w:r>
              <w:rPr/>
              <w:t> </w:t>
            </w:r>
          </w:p>
        </w:tc>
      </w:tr>
      <w:tr>
        <w:trPr/>
        <w:tc>
          <w:tcPr>
            <w:tcW w:w="17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Valuation adjustment</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(875</w:t>
            </w:r>
          </w:p>
        </w:tc>
        <w:tc>
          <w:tcPr>
            <w:tcW w:w="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6,030</w:t>
            </w:r>
          </w:p>
        </w:tc>
        <w:tc>
          <w:tcPr>
            <w:tcW w:w="75" w:type="dxa"/>
            <w:tcBorders/>
            <w:shd w:fill="CCEEFF" w:val="clear"/>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28,424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tbl>
      <w:tblPr>
        <w:tblW w:w="9038" w:type="dxa"/>
        <w:jc w:val="left"/>
        <w:tblInd w:w="0" w:type="dxa"/>
        <w:tblLayout w:type="fixed"/>
        <w:tblCellMar>
          <w:top w:w="0" w:type="dxa"/>
          <w:left w:w="0" w:type="dxa"/>
          <w:bottom w:w="0" w:type="dxa"/>
          <w:right w:w="0" w:type="dxa"/>
        </w:tblCellMar>
      </w:tblPr>
      <w:tblGrid>
        <w:gridCol w:w="6140"/>
        <w:gridCol w:w="60"/>
        <w:gridCol w:w="157"/>
        <w:gridCol w:w="1062"/>
        <w:gridCol w:w="185"/>
        <w:gridCol w:w="60"/>
        <w:gridCol w:w="151"/>
        <w:gridCol w:w="1023"/>
        <w:gridCol w:w="200"/>
      </w:tblGrid>
      <w:tr>
        <w:trPr/>
        <w:tc>
          <w:tcPr>
            <w:tcW w:w="6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200" w:type="dxa"/>
            <w:tcBorders/>
            <w:vAlign w:val="bottom"/>
          </w:tcPr>
          <w:p>
            <w:pPr>
              <w:pStyle w:val="TableContents"/>
              <w:bidi w:val="0"/>
              <w:spacing w:before="0" w:after="283"/>
              <w:jc w:val="left"/>
              <w:rPr/>
            </w:pPr>
            <w:r>
              <w:rPr/>
              <w:t> </w:t>
            </w:r>
          </w:p>
        </w:tc>
      </w:tr>
      <w:tr>
        <w:trPr/>
        <w:tc>
          <w:tcPr>
            <w:tcW w:w="6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6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Mortgage loans serviced for others</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2,014,256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2,046,490</w:t>
            </w:r>
          </w:p>
        </w:tc>
        <w:tc>
          <w:tcPr>
            <w:tcW w:w="200" w:type="dxa"/>
            <w:tcBorders/>
            <w:shd w:fill="CCEEFF" w:val="clear"/>
            <w:vAlign w:val="bottom"/>
          </w:tcPr>
          <w:p>
            <w:pPr>
              <w:pStyle w:val="TableContents"/>
              <w:bidi w:val="0"/>
              <w:spacing w:before="0" w:after="283"/>
              <w:jc w:val="left"/>
              <w:rPr/>
            </w:pPr>
            <w:r>
              <w:rPr/>
              <w:t> </w:t>
            </w:r>
          </w:p>
        </w:tc>
      </w:tr>
      <w:tr>
        <w:trPr/>
        <w:tc>
          <w:tcPr>
            <w:tcW w:w="61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 assets as a percentage of serviced mortgage loans</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key assumptions used in measuring the fair value of the Company’s mortgage servicing rights as of the dates indicated:</w:t>
      </w:r>
    </w:p>
    <w:p>
      <w:pPr>
        <w:pStyle w:val="TextBody"/>
        <w:bidi w:val="0"/>
        <w:spacing w:before="0" w:after="0"/>
        <w:jc w:val="left"/>
        <w:rPr>
          <w:rFonts w:ascii="Times New Roman" w:hAnsi="Times New Roman"/>
        </w:rPr>
      </w:pPr>
      <w:r>
        <w:rPr>
          <w:rFonts w:ascii="Times New Roman" w:hAnsi="Times New Roman"/>
        </w:rPr>
      </w:r>
    </w:p>
    <w:tbl>
      <w:tblPr>
        <w:tblW w:w="6488" w:type="dxa"/>
        <w:jc w:val="left"/>
        <w:tblInd w:w="0" w:type="dxa"/>
        <w:tblLayout w:type="fixed"/>
        <w:tblCellMar>
          <w:top w:w="0" w:type="dxa"/>
          <w:left w:w="0" w:type="dxa"/>
          <w:bottom w:w="0" w:type="dxa"/>
          <w:right w:w="0" w:type="dxa"/>
        </w:tblCellMar>
      </w:tblPr>
      <w:tblGrid>
        <w:gridCol w:w="3590"/>
        <w:gridCol w:w="60"/>
        <w:gridCol w:w="165"/>
        <w:gridCol w:w="1054"/>
        <w:gridCol w:w="185"/>
        <w:gridCol w:w="60"/>
        <w:gridCol w:w="159"/>
        <w:gridCol w:w="1015"/>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discount rate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life in years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7.91</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6.  BORROWING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Subordinated Debt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$26.5 million in subordinated debt notes. Notes totaling $12.4 million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On September 29, 2020, the Company issued $50.0 million in subordinated debt notes. Pr</w:t>
      </w:r>
      <w:r>
        <w:rPr>
          <w:rFonts w:ascii="Times New Roman" w:hAnsi="Times New Roman"/>
          <w:color w:val="000000"/>
          <w:sz w:val="20"/>
          <w:shd w:fill="FFFFFF" w:val="clear"/>
        </w:rPr>
        <w:t>oceeds were reduced by</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approximately $926 thousand in debt issuance costs. </w:t>
      </w:r>
      <w:r>
        <w:rPr>
          <w:rFonts w:ascii="Times New Roman" w:hAnsi="Times New Roman"/>
          <w:color w:val="000000"/>
          <w:sz w:val="20"/>
          <w:shd w:fill="FFFFFF" w:val="clear"/>
        </w:rPr>
        <w:t>The notes have a maturity</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date of September 2030 with a fixed rate of 4.50% for the first five years. After the expiration of the fixed rate period, the</w:t>
      </w:r>
      <w:r>
        <w:rPr>
          <w:rFonts w:ascii="Times New Roman" w:hAnsi="Times New Roman"/>
          <w:color w:val="000000"/>
          <w:sz w:val="20"/>
          <w:shd w:fill="FFFFFF" w:val="clear"/>
        </w:rPr>
        <w:t xml:space="preserve"> notes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will reset quarterly at a variable rate equal to the then current three-month Secured Overnight Financing Rate, as published by the Federal Reserve Bank of New York, plus 438 basis points. These</w:t>
      </w:r>
      <w:r>
        <w:rPr>
          <w:rFonts w:ascii="Times New Roman" w:hAnsi="Times New Roman"/>
          <w:color w:val="000000"/>
          <w:sz w:val="20"/>
          <w:shd w:fill="FFFFFF" w:val="clear"/>
        </w:rPr>
        <w:t xml:space="preserve"> notes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pay interest semi-annually, are unsecured, and may be called by the Company at any time after the remaining maturity is five years or less. Additionally, </w:t>
      </w:r>
      <w:r>
        <w:rPr>
          <w:rFonts w:ascii="Times New Roman" w:hAnsi="Times New Roman"/>
          <w:color w:val="000000"/>
          <w:sz w:val="20"/>
          <w:shd w:fill="FFFFFF" w:val="clear"/>
        </w:rPr>
        <w:t>these notes are intended to</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qualify for Tier 2 capital treatment, subject to regulatory limitations.</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 total amount of subordinated notes outstanding was $76.5 million less approximately $372 thousand of remaining debt issuance costs for a total balance of $76.1 million. As of December 31, 2022, the total amount of subordinated notes outstanding was $76.5 million less approximately $511 thousand of remaining debt issuance costs for a total balance of $76.0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Notes Payable and Other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and December 31, 2022, City Bank had no outstanding advances from the Federal Home Loan Bank of Dallas (“FHLB”).</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7.  STOCK-BASED COMPENSATION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Equity Incentive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into account that the options are not transferable. The risk-free interest rate for the expected term of the option is based on the U.S. Treasury yield curve in effect at the time of the grant.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 (dollars in thousands, except per share data):</w:t>
      </w:r>
    </w:p>
    <w:p>
      <w:pPr>
        <w:pStyle w:val="TextBody"/>
        <w:bidi w:val="0"/>
        <w:spacing w:before="0" w:after="0"/>
        <w:jc w:val="left"/>
        <w:rPr/>
      </w:pPr>
      <w:r>
        <w:rPr/>
      </w:r>
    </w:p>
    <w:tbl>
      <w:tblPr>
        <w:tblW w:w="9678" w:type="dxa"/>
        <w:jc w:val="left"/>
        <w:tblInd w:w="0" w:type="dxa"/>
        <w:tblLayout w:type="fixed"/>
        <w:tblCellMar>
          <w:top w:w="0" w:type="dxa"/>
          <w:left w:w="0" w:type="dxa"/>
          <w:bottom w:w="0" w:type="dxa"/>
          <w:right w:w="0" w:type="dxa"/>
        </w:tblCellMar>
      </w:tblPr>
      <w:tblGrid>
        <w:gridCol w:w="3335"/>
        <w:gridCol w:w="60"/>
        <w:gridCol w:w="60"/>
        <w:gridCol w:w="845"/>
        <w:gridCol w:w="80"/>
        <w:gridCol w:w="60"/>
        <w:gridCol w:w="329"/>
        <w:gridCol w:w="1281"/>
        <w:gridCol w:w="60"/>
        <w:gridCol w:w="60"/>
        <w:gridCol w:w="274"/>
        <w:gridCol w:w="1740"/>
        <w:gridCol w:w="60"/>
        <w:gridCol w:w="60"/>
        <w:gridCol w:w="223"/>
        <w:gridCol w:w="1056"/>
        <w:gridCol w:w="95"/>
      </w:tblGrid>
      <w:tr>
        <w:trPr/>
        <w:tc>
          <w:tcPr>
            <w:tcW w:w="33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before="0" w:after="0"/>
              <w:jc w:val="center"/>
              <w:rPr>
                <w:rFonts w:ascii="Times New Roman" w:hAnsi="Times New Roman"/>
                <w:b/>
                <w:sz w:val="20"/>
              </w:rPr>
            </w:pPr>
            <w:r>
              <w:rPr>
                <w:rFonts w:ascii="Times New Roman" w:hAnsi="Times New Roman"/>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Remaining Contractual</w:t>
            </w:r>
          </w:p>
          <w:p>
            <w:pPr>
              <w:pStyle w:val="TableContents"/>
              <w:bidi w:val="0"/>
              <w:spacing w:before="0" w:after="0"/>
              <w:jc w:val="center"/>
              <w:rPr>
                <w:rFonts w:ascii="Times New Roman" w:hAnsi="Times New Roman"/>
                <w:b/>
                <w:sz w:val="20"/>
              </w:rPr>
            </w:pPr>
            <w:r>
              <w:rPr>
                <w:rFonts w:ascii="Times New Roman" w:hAnsi="Times New Roman"/>
                <w:b/>
                <w:sz w:val="20"/>
              </w:rPr>
              <w:t>Life in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Aggregate</w:t>
            </w:r>
          </w:p>
          <w:p>
            <w:pPr>
              <w:pStyle w:val="TableContents"/>
              <w:bidi w:val="0"/>
              <w:spacing w:before="0" w:after="0"/>
              <w:jc w:val="center"/>
              <w:rPr>
                <w:rFonts w:ascii="Times New Roman" w:hAnsi="Times New Roman"/>
                <w:b/>
                <w:sz w:val="20"/>
              </w:rPr>
            </w:pPr>
            <w:r>
              <w:rPr>
                <w:rFonts w:ascii="Times New Roman" w:hAnsi="Times New Roman"/>
                <w:b/>
                <w:sz w:val="20"/>
              </w:rPr>
              <w:t>Intrinsic Value</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Nine Months Ended September 30, 2023</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1,354,189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14,117</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47,816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(45,220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(2,730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September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1,352,930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13,534</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Exercisable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1,145,822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12,686</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Vested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1,145,822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12,686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fair values of the awards granted during the periods noted is presented below:</w:t>
      </w:r>
    </w:p>
    <w:p>
      <w:pPr>
        <w:pStyle w:val="TextBody"/>
        <w:bidi w:val="0"/>
        <w:spacing w:before="0" w:after="0"/>
        <w:jc w:val="left"/>
        <w:rPr/>
      </w:pPr>
      <w:r>
        <w:rPr/>
      </w:r>
    </w:p>
    <w:tbl>
      <w:tblPr>
        <w:tblW w:w="6463" w:type="dxa"/>
        <w:jc w:val="left"/>
        <w:tblInd w:w="0" w:type="dxa"/>
        <w:tblLayout w:type="fixed"/>
        <w:tblCellMar>
          <w:top w:w="0" w:type="dxa"/>
          <w:left w:w="0" w:type="dxa"/>
          <w:bottom w:w="0" w:type="dxa"/>
          <w:right w:w="0" w:type="dxa"/>
        </w:tblCellMar>
      </w:tblPr>
      <w:tblGrid>
        <w:gridCol w:w="3155"/>
        <w:gridCol w:w="60"/>
        <w:gridCol w:w="128"/>
        <w:gridCol w:w="1406"/>
        <w:gridCol w:w="60"/>
        <w:gridCol w:w="60"/>
        <w:gridCol w:w="286"/>
        <w:gridCol w:w="1248"/>
        <w:gridCol w:w="60"/>
      </w:tblGrid>
      <w:tr>
        <w:trPr/>
        <w:tc>
          <w:tcPr>
            <w:tcW w:w="31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188"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39.13% to 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40.20% to 40.29%</w:t>
            </w:r>
          </w:p>
        </w:tc>
        <w:tc>
          <w:tcPr>
            <w:tcW w:w="60"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dividend yield</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1.74% to 1.90% </w:t>
            </w:r>
          </w:p>
        </w:tc>
        <w:tc>
          <w:tcPr>
            <w:tcW w:w="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term (years)</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 to 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6.1 to 6.3 </w:t>
            </w:r>
          </w:p>
        </w:tc>
        <w:tc>
          <w:tcPr>
            <w:tcW w:w="60"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Risk-free interest rate</w:t>
            </w:r>
          </w:p>
        </w:tc>
        <w:tc>
          <w:tcPr>
            <w:tcW w:w="60" w:type="dxa"/>
            <w:tcBorders/>
            <w:vAlign w:val="bottom"/>
          </w:tcPr>
          <w:p>
            <w:pPr>
              <w:pStyle w:val="TableContents"/>
              <w:bidi w:val="0"/>
              <w:spacing w:before="0" w:after="283"/>
              <w:jc w:val="left"/>
              <w:rPr/>
            </w:pPr>
            <w:r>
              <w:rPr/>
              <w:t> </w:t>
            </w:r>
          </w:p>
        </w:tc>
        <w:tc>
          <w:tcPr>
            <w:tcW w:w="1534"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 to 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4"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 to 1.95%</w:t>
            </w:r>
          </w:p>
        </w:tc>
        <w:tc>
          <w:tcPr>
            <w:tcW w:w="60"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grant date fair value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intrinsic value of options exercised during the nine months ended September 30, 2023 and September 30, 2022 was $439 thousand and $516 thousand, respectively.</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Awards and Units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w:t>
      </w:r>
    </w:p>
    <w:p>
      <w:pPr>
        <w:pStyle w:val="TextBody"/>
        <w:bidi w:val="0"/>
        <w:spacing w:before="0" w:after="0"/>
        <w:jc w:val="left"/>
        <w:rPr/>
      </w:pPr>
      <w:r>
        <w:rPr/>
      </w:r>
    </w:p>
    <w:tbl>
      <w:tblPr>
        <w:tblW w:w="6019" w:type="dxa"/>
        <w:jc w:val="left"/>
        <w:tblInd w:w="0" w:type="dxa"/>
        <w:tblLayout w:type="fixed"/>
        <w:tblCellMar>
          <w:top w:w="0" w:type="dxa"/>
          <w:left w:w="0" w:type="dxa"/>
          <w:bottom w:w="0" w:type="dxa"/>
          <w:right w:w="0" w:type="dxa"/>
        </w:tblCellMar>
      </w:tblPr>
      <w:tblGrid>
        <w:gridCol w:w="3335"/>
        <w:gridCol w:w="60"/>
        <w:gridCol w:w="63"/>
        <w:gridCol w:w="736"/>
        <w:gridCol w:w="80"/>
        <w:gridCol w:w="60"/>
        <w:gridCol w:w="329"/>
        <w:gridCol w:w="1281"/>
        <w:gridCol w:w="75"/>
      </w:tblGrid>
      <w:tr>
        <w:trPr/>
        <w:tc>
          <w:tcPr>
            <w:tcW w:w="3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before="0" w:after="0"/>
              <w:jc w:val="center"/>
              <w:rPr>
                <w:rFonts w:ascii="Times New Roman" w:hAnsi="Times New Roman"/>
                <w:b/>
                <w:sz w:val="20"/>
              </w:rPr>
            </w:pPr>
            <w:r>
              <w:rPr>
                <w:rFonts w:ascii="Times New Roman" w:hAnsi="Times New Roman"/>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Grant Date</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Nine Months Ended September 30, 2023</w:t>
            </w:r>
          </w:p>
        </w:tc>
        <w:tc>
          <w:tcPr>
            <w:tcW w:w="60" w:type="dxa"/>
            <w:tcBorders/>
            <w:vAlign w:val="bottom"/>
          </w:tcPr>
          <w:p>
            <w:pPr>
              <w:pStyle w:val="TableContents"/>
              <w:bidi w:val="0"/>
              <w:spacing w:before="0" w:after="283"/>
              <w:jc w:val="left"/>
              <w:rPr/>
            </w:pPr>
            <w:r>
              <w:rPr/>
              <w:t> </w:t>
            </w:r>
          </w:p>
        </w:tc>
        <w:tc>
          <w:tcPr>
            <w:tcW w:w="79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84,342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26.76</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85,127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25.33</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(38,141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24.40</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25.03</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September 30, 2023</w:t>
            </w:r>
          </w:p>
        </w:tc>
        <w:tc>
          <w:tcPr>
            <w:tcW w:w="60" w:type="dxa"/>
            <w:tcBorders/>
            <w:vAlign w:val="bottom"/>
          </w:tcPr>
          <w:p>
            <w:pPr>
              <w:pStyle w:val="TableContents"/>
              <w:bidi w:val="0"/>
              <w:spacing w:before="0" w:after="283"/>
              <w:jc w:val="right"/>
              <w:rPr/>
            </w:pPr>
            <w:r>
              <w:rPr/>
              <w:t> </w:t>
            </w:r>
          </w:p>
        </w:tc>
        <w:tc>
          <w:tcPr>
            <w:tcW w:w="63" w:type="dxa"/>
            <w:tcBorders>
              <w:bottom w:val="double" w:sz="8" w:space="0" w:color="000000"/>
            </w:tcBorders>
            <w:tcMar>
              <w:bottom w:w="28" w:type="dxa"/>
            </w:tcMar>
            <w:vAlign w:val="bottom"/>
          </w:tcPr>
          <w:p>
            <w:pPr>
              <w:pStyle w:val="TableContents"/>
              <w:bidi w:val="0"/>
              <w:spacing w:before="0" w:after="283"/>
              <w:jc w:val="left"/>
              <w:rPr/>
            </w:pPr>
            <w:r>
              <w:rPr/>
              <w:t> </w:t>
            </w:r>
          </w:p>
        </w:tc>
        <w:tc>
          <w:tcPr>
            <w:tcW w:w="7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unrecognized compensation cost for the awards outstanding under the Plan at September 30, 2023 was $3.4 million and will be recognized over a weighted average remaining period of 1.66 years. The total fair value of restricted stock units vested during each of the nine months ended September 30, 2023 and September 30, 2022 was $931 thousand and $488 thousand,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8.  OFF-BALANCE SHEET ACTIVITIES, COMMITMENTS AND CONTINGENCIES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Financial instruments with off-balance sheet risk</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The Company is a party to financial instruments with off-balance 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whose contract amounts represent credit risk outstanding at the dates indicated follow (dollars in thousands):</w:t>
      </w:r>
    </w:p>
    <w:p>
      <w:pPr>
        <w:pStyle w:val="TextBody"/>
        <w:bidi w:val="0"/>
        <w:spacing w:before="0" w:after="0"/>
        <w:jc w:val="left"/>
        <w:rPr/>
      </w:pPr>
      <w:r>
        <w:rPr/>
      </w:r>
    </w:p>
    <w:tbl>
      <w:tblPr>
        <w:tblW w:w="8953" w:type="dxa"/>
        <w:jc w:val="left"/>
        <w:tblInd w:w="0" w:type="dxa"/>
        <w:tblLayout w:type="fixed"/>
        <w:tblCellMar>
          <w:top w:w="0" w:type="dxa"/>
          <w:left w:w="0" w:type="dxa"/>
          <w:bottom w:w="0" w:type="dxa"/>
          <w:right w:w="0" w:type="dxa"/>
        </w:tblCellMar>
      </w:tblPr>
      <w:tblGrid>
        <w:gridCol w:w="6305"/>
        <w:gridCol w:w="60"/>
        <w:gridCol w:w="185"/>
        <w:gridCol w:w="1034"/>
        <w:gridCol w:w="60"/>
        <w:gridCol w:w="60"/>
        <w:gridCol w:w="178"/>
        <w:gridCol w:w="996"/>
        <w:gridCol w:w="75"/>
      </w:tblGrid>
      <w:tr>
        <w:trPr/>
        <w:tc>
          <w:tcPr>
            <w:tcW w:w="6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Commitments to grant loans and unfunded commitments under lines of credit</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669,931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682,296</w:t>
            </w:r>
          </w:p>
        </w:tc>
        <w:tc>
          <w:tcPr>
            <w:tcW w:w="7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Standby letters of credit</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13,864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FHLB Letters of Credit</w:t>
      </w:r>
      <w:r>
        <w:rPr>
          <w:rFonts w:ascii="Times New Roman" w:hAnsi="Times New Roman"/>
          <w:color w:val="000000"/>
          <w:sz w:val="20"/>
          <w:shd w:fill="FFFFFF" w:val="clear"/>
        </w:rPr>
        <w:t> - The Company may use FHLB letters of credit to pledge to certain public deposits. The Company had no FHLB letters of credit outstanding at September 30, 2023 or December 31,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9.  LEASES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September 30, 2023 and December 31, 2022, the Company had no finance leases.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balance sheet components of the Company’s leases are as follows (in thousands):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9494" w:type="dxa"/>
        <w:jc w:val="left"/>
        <w:tblInd w:w="0" w:type="dxa"/>
        <w:tblLayout w:type="fixed"/>
        <w:tblCellMar>
          <w:top w:w="0" w:type="dxa"/>
          <w:left w:w="0" w:type="dxa"/>
          <w:bottom w:w="0" w:type="dxa"/>
          <w:right w:w="0" w:type="dxa"/>
        </w:tblCellMar>
      </w:tblPr>
      <w:tblGrid>
        <w:gridCol w:w="6350"/>
        <w:gridCol w:w="60"/>
        <w:gridCol w:w="301"/>
        <w:gridCol w:w="1173"/>
        <w:gridCol w:w="60"/>
        <w:gridCol w:w="60"/>
        <w:gridCol w:w="283"/>
        <w:gridCol w:w="1132"/>
        <w:gridCol w:w="75"/>
      </w:tblGrid>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right of use assets (included in Other assets)</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7,938</w:t>
            </w:r>
          </w:p>
        </w:tc>
        <w:tc>
          <w:tcPr>
            <w:tcW w:w="7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liabilities (included in Accrued expenses and other liabilities)</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8,897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does not generally enter into leases which contain variable payments, other than due to the passage of time. Operating lease costs, including short-term lease costs were $693 thousand and $2.4 million, respectively, for the three and nine months ended September 30, 2023. Operating lease costs, including short-term lease costs were $761 thousand and $2.2 million, respectively, for the three and nine months ended September 30, 2022.</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Supplemental cash flow information related to leases is as follows (in thousands):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5904"/>
        <w:gridCol w:w="60"/>
        <w:gridCol w:w="248"/>
        <w:gridCol w:w="676"/>
        <w:gridCol w:w="106"/>
        <w:gridCol w:w="106"/>
        <w:gridCol w:w="248"/>
        <w:gridCol w:w="676"/>
        <w:gridCol w:w="60"/>
        <w:gridCol w:w="60"/>
        <w:gridCol w:w="184"/>
        <w:gridCol w:w="736"/>
        <w:gridCol w:w="78"/>
        <w:gridCol w:w="78"/>
        <w:gridCol w:w="184"/>
        <w:gridCol w:w="736"/>
        <w:gridCol w:w="65"/>
      </w:tblGrid>
      <w:tr>
        <w:trPr/>
        <w:tc>
          <w:tcPr>
            <w:tcW w:w="5904" w:type="dxa"/>
            <w:tcBorders/>
            <w:vAlign w:val="bottom"/>
          </w:tcPr>
          <w:p>
            <w:pPr>
              <w:pStyle w:val="TableContents"/>
              <w:bidi w:val="0"/>
              <w:spacing w:before="0" w:after="283"/>
              <w:jc w:val="left"/>
              <w:rPr/>
            </w:pPr>
            <w:r>
              <w:rPr/>
              <w:br/>
              <w:t> </w:t>
            </w:r>
          </w:p>
        </w:tc>
        <w:tc>
          <w:tcPr>
            <w:tcW w:w="60" w:type="dxa"/>
            <w:tcBorders/>
            <w:vAlign w:val="bottom"/>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w:t>
            </w:r>
          </w:p>
          <w:p>
            <w:pPr>
              <w:pStyle w:val="TableContents"/>
              <w:bidi w:val="0"/>
              <w:spacing w:before="0" w:after="0"/>
              <w:jc w:val="center"/>
              <w:rPr>
                <w:b/>
                <w:color w:val="000000"/>
              </w:rPr>
            </w:pPr>
            <w:r>
              <w:rPr>
                <w:b/>
                <w:color w:val="000000"/>
              </w:rPr>
              <w:t>September 30,</w:t>
            </w:r>
          </w:p>
        </w:tc>
        <w:tc>
          <w:tcPr>
            <w:tcW w:w="65" w:type="dxa"/>
            <w:tcBorders/>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2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5" w:type="dxa"/>
            <w:tcBorders/>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0"/>
              <w:ind w:left="144" w:right="0" w:hanging="144"/>
              <w:jc w:val="left"/>
              <w:rPr>
                <w:color w:val="000000"/>
              </w:rPr>
            </w:pPr>
            <w:r>
              <w:rPr>
                <w:color w:val="00000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924"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904" w:type="dxa"/>
            <w:tcBorders/>
            <w:shd w:fill="CCEEFF" w:val="clear"/>
            <w:vAlign w:val="bottom"/>
          </w:tcPr>
          <w:p>
            <w:pPr>
              <w:pStyle w:val="TableContents"/>
              <w:bidi w:val="0"/>
              <w:spacing w:before="0" w:after="0"/>
              <w:ind w:left="360" w:right="0" w:hanging="180"/>
              <w:jc w:val="left"/>
              <w:rPr>
                <w:color w:val="000000"/>
              </w:rPr>
            </w:pPr>
            <w:r>
              <w:rPr>
                <w:color w:val="000000"/>
              </w:rPr>
              <w:t>Operating cash flows used in operating leases</w:t>
            </w:r>
          </w:p>
        </w:tc>
        <w:tc>
          <w:tcPr>
            <w:tcW w:w="60"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490</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36" w:type="dxa"/>
            <w:tcBorders/>
            <w:shd w:fill="CCEEFF" w:val="clear"/>
            <w:vAlign w:val="bottom"/>
          </w:tcPr>
          <w:p>
            <w:pPr>
              <w:pStyle w:val="TableContents"/>
              <w:bidi w:val="0"/>
              <w:spacing w:before="0" w:after="0"/>
              <w:jc w:val="right"/>
              <w:rPr>
                <w:color w:val="000000"/>
              </w:rPr>
            </w:pPr>
            <w:r>
              <w:rPr>
                <w:color w:val="000000"/>
              </w:rPr>
              <w:t>1,520</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36" w:type="dxa"/>
            <w:tcBorders/>
            <w:shd w:fill="CCEEFF" w:val="clear"/>
            <w:vAlign w:val="bottom"/>
          </w:tcPr>
          <w:p>
            <w:pPr>
              <w:pStyle w:val="TableContents"/>
              <w:bidi w:val="0"/>
              <w:spacing w:before="0" w:after="0"/>
              <w:jc w:val="right"/>
              <w:rPr>
                <w:color w:val="000000"/>
              </w:rPr>
            </w:pPr>
            <w:r>
              <w:rPr>
                <w:color w:val="000000"/>
              </w:rPr>
              <w:t>1,479</w:t>
            </w:r>
          </w:p>
        </w:tc>
        <w:tc>
          <w:tcPr>
            <w:tcW w:w="65" w:type="dxa"/>
            <w:tcBorders/>
            <w:shd w:fill="CCEEFF" w:val="clear"/>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0"/>
              <w:ind w:left="144" w:right="0" w:hanging="144"/>
              <w:jc w:val="left"/>
              <w:rPr>
                <w:color w:val="000000"/>
              </w:rPr>
            </w:pPr>
            <w:r>
              <w:rPr>
                <w:color w:val="000000"/>
              </w:rPr>
              <w:t>Right-of-use assets obtained in exchange for new lease obligations:</w:t>
            </w:r>
          </w:p>
        </w:tc>
        <w:tc>
          <w:tcPr>
            <w:tcW w:w="60"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904" w:type="dxa"/>
            <w:tcBorders/>
            <w:shd w:fill="CCEEFF" w:val="clear"/>
            <w:vAlign w:val="bottom"/>
          </w:tcPr>
          <w:p>
            <w:pPr>
              <w:pStyle w:val="TableContents"/>
              <w:bidi w:val="0"/>
              <w:spacing w:before="0" w:after="0"/>
              <w:ind w:left="0" w:right="0" w:firstLine="216"/>
              <w:jc w:val="left"/>
              <w:rPr>
                <w:color w:val="000000"/>
              </w:rPr>
            </w:pPr>
            <w:r>
              <w:rPr>
                <w:color w:val="000000"/>
              </w:rPr>
              <w:t>Operating leases</w:t>
            </w:r>
          </w:p>
        </w:tc>
        <w:tc>
          <w:tcPr>
            <w:tcW w:w="60"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36" w:type="dxa"/>
            <w:tcBorders/>
            <w:shd w:fill="CCEEFF" w:val="clear"/>
            <w:vAlign w:val="bottom"/>
          </w:tcPr>
          <w:p>
            <w:pPr>
              <w:pStyle w:val="TableContents"/>
              <w:bidi w:val="0"/>
              <w:spacing w:before="0" w:after="0"/>
              <w:jc w:val="right"/>
              <w:rPr>
                <w:color w:val="000000"/>
              </w:rPr>
            </w:pPr>
            <w:r>
              <w:rPr>
                <w:color w:val="000000"/>
              </w:rPr>
              <w:t>2,032</w:t>
            </w:r>
          </w:p>
        </w:tc>
        <w:tc>
          <w:tcPr>
            <w:tcW w:w="7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color w:val="000000"/>
              </w:rPr>
            </w:pPr>
            <w:r>
              <w:rPr>
                <w:color w:val="000000"/>
              </w:rPr>
              <w:t>$</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operating leases the Company’s weighted average remaining lease terms in years and weighted average discount rate was 10.19 and 5.39%, respectively, as of September 30, 2023, and 9.83 and 4.65%, respectively, as of December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Future undiscounted lease payments at September 30, 2023, under operating lease agreements, are presented below (in thousands).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40" w:type="dxa"/>
        <w:jc w:val="left"/>
        <w:tblInd w:w="0" w:type="dxa"/>
        <w:tblLayout w:type="fixed"/>
        <w:tblCellMar>
          <w:top w:w="0" w:type="dxa"/>
          <w:left w:w="0" w:type="dxa"/>
          <w:bottom w:w="0" w:type="dxa"/>
          <w:right w:w="0" w:type="dxa"/>
        </w:tblCellMar>
      </w:tblPr>
      <w:tblGrid>
        <w:gridCol w:w="2855"/>
        <w:gridCol w:w="60"/>
        <w:gridCol w:w="125"/>
        <w:gridCol w:w="590"/>
        <w:gridCol w:w="110"/>
      </w:tblGrid>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2023</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1,656</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1,259</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1,209</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6,642</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minimum lease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12,552</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Amount representing interest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(3,050</w:t>
            </w:r>
          </w:p>
        </w:tc>
        <w:tc>
          <w:tcPr>
            <w:tcW w:w="110"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September 30, 2023, the Company had no additional operating leases that have not yet commenced.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CAPITAL AND REGULATORY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 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September 30, 2023 and December 31, 2022, that the Company and its bank subsidiary met all capital adequacy requirements to which they are subject.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and December 31, 2022,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September 30, 2023 that management believes have changed the bank subsidiary’s category.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subsidiary’s actual capital amounts and ratios at the dates indicated follows (dollars in thousands):</w:t>
      </w:r>
    </w:p>
    <w:p>
      <w:pPr>
        <w:pStyle w:val="TextBody"/>
        <w:bidi w:val="0"/>
        <w:spacing w:before="0" w:after="0"/>
        <w:jc w:val="left"/>
        <w:rPr/>
      </w:pPr>
      <w:r>
        <w:rPr/>
      </w:r>
    </w:p>
    <w:tbl>
      <w:tblPr>
        <w:tblW w:w="10104" w:type="dxa"/>
        <w:jc w:val="left"/>
        <w:tblInd w:w="0" w:type="dxa"/>
        <w:tblLayout w:type="fixed"/>
        <w:tblCellMar>
          <w:top w:w="0" w:type="dxa"/>
          <w:left w:w="0" w:type="dxa"/>
          <w:bottom w:w="0" w:type="dxa"/>
          <w:right w:w="0" w:type="dxa"/>
        </w:tblCellMar>
      </w:tblPr>
      <w:tblGrid>
        <w:gridCol w:w="3995"/>
        <w:gridCol w:w="60"/>
        <w:gridCol w:w="125"/>
        <w:gridCol w:w="695"/>
        <w:gridCol w:w="60"/>
        <w:gridCol w:w="60"/>
        <w:gridCol w:w="60"/>
        <w:gridCol w:w="485"/>
        <w:gridCol w:w="185"/>
        <w:gridCol w:w="60"/>
        <w:gridCol w:w="141"/>
        <w:gridCol w:w="788"/>
        <w:gridCol w:w="68"/>
        <w:gridCol w:w="68"/>
        <w:gridCol w:w="68"/>
        <w:gridCol w:w="550"/>
        <w:gridCol w:w="185"/>
        <w:gridCol w:w="60"/>
        <w:gridCol w:w="184"/>
        <w:gridCol w:w="1027"/>
        <w:gridCol w:w="88"/>
        <w:gridCol w:w="88"/>
        <w:gridCol w:w="88"/>
        <w:gridCol w:w="716"/>
        <w:gridCol w:w="200"/>
      </w:tblGrid>
      <w:tr>
        <w:trPr/>
        <w:tc>
          <w:tcPr>
            <w:tcW w:w="3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Actual</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Minimum Required</w:t>
            </w:r>
          </w:p>
          <w:p>
            <w:pPr>
              <w:pStyle w:val="TableContents"/>
              <w:bidi w:val="0"/>
              <w:spacing w:before="0" w:after="0"/>
              <w:jc w:val="center"/>
              <w:rPr>
                <w:rFonts w:ascii="Times New Roman" w:hAnsi="Times New Roman"/>
                <w:b/>
                <w:sz w:val="20"/>
              </w:rPr>
            </w:pPr>
            <w:r>
              <w:rPr>
                <w:rFonts w:ascii="Times New Roman" w:hAnsi="Times New Roman"/>
                <w:b/>
                <w:sz w:val="20"/>
              </w:rPr>
              <w:t>Under BASEL III</w:t>
            </w:r>
          </w:p>
          <w:p>
            <w:pPr>
              <w:pStyle w:val="TableContents"/>
              <w:bidi w:val="0"/>
              <w:spacing w:before="0" w:after="0"/>
              <w:jc w:val="center"/>
              <w:rPr>
                <w:rFonts w:ascii="Times New Roman" w:hAnsi="Times New Roman"/>
                <w:b/>
                <w:sz w:val="20"/>
              </w:rPr>
            </w:pPr>
            <w:r>
              <w:rPr>
                <w:rFonts w:ascii="Times New Roman" w:hAnsi="Times New Roman"/>
                <w:b/>
                <w:sz w:val="20"/>
              </w:rPr>
              <w:t>Fully Phased-In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 Be Well Capitalized</w:t>
            </w:r>
          </w:p>
          <w:p>
            <w:pPr>
              <w:pStyle w:val="TableContents"/>
              <w:bidi w:val="0"/>
              <w:spacing w:before="0" w:after="0"/>
              <w:jc w:val="center"/>
              <w:rPr>
                <w:rFonts w:ascii="Times New Roman" w:hAnsi="Times New Roman"/>
                <w:b/>
                <w:sz w:val="20"/>
              </w:rPr>
            </w:pPr>
            <w:r>
              <w:rPr>
                <w:rFonts w:ascii="Times New Roman" w:hAnsi="Times New Roman"/>
                <w:b/>
                <w:sz w:val="20"/>
              </w:rPr>
              <w:t>Under Prompt Corrective</w:t>
            </w:r>
          </w:p>
          <w:p>
            <w:pPr>
              <w:pStyle w:val="TableContents"/>
              <w:bidi w:val="0"/>
              <w:spacing w:before="0" w:after="0"/>
              <w:jc w:val="center"/>
              <w:rPr>
                <w:rFonts w:ascii="Times New Roman" w:hAnsi="Times New Roman"/>
                <w:b/>
                <w:sz w:val="20"/>
              </w:rPr>
            </w:pPr>
            <w:r>
              <w:rPr>
                <w:rFonts w:ascii="Times New Roman" w:hAnsi="Times New Roman"/>
                <w:b/>
                <w:sz w:val="20"/>
              </w:rPr>
              <w:t>Action Framework</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599,238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374,066</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502,003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373,957</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356,150</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1 Capital to Risk Weighted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13.46</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302,815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458,239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302,727</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284,920</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434,373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249,377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458,239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249,305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231,497</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1 Capital to Average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173,091</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458,239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172,992</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215,143</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354,045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454,427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353,967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337,112</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1 Capital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286,608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286,545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269,689</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398,265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236,030</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235,978</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219,122</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1 Capital to Average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161,662</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161,574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200,774</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September 30,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11.  DERIVATIVES</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changes in fair value hedges included in the Consolidated Statements of Comprehensive Income (Loss) for the periods indicated (dollars in thousands):</w:t>
      </w:r>
    </w:p>
    <w:p>
      <w:pPr>
        <w:pStyle w:val="TextBody"/>
        <w:bidi w:val="0"/>
        <w:spacing w:before="0" w:after="0"/>
        <w:jc w:val="both"/>
        <w:rPr/>
      </w:pPr>
      <w:r>
        <w:rPr/>
      </w:r>
    </w:p>
    <w:tbl>
      <w:tblPr>
        <w:tblW w:w="10005" w:type="dxa"/>
        <w:jc w:val="left"/>
        <w:tblInd w:w="0" w:type="dxa"/>
        <w:tblLayout w:type="fixed"/>
        <w:tblCellMar>
          <w:top w:w="0" w:type="dxa"/>
          <w:left w:w="0" w:type="dxa"/>
          <w:bottom w:w="0" w:type="dxa"/>
          <w:right w:w="0" w:type="dxa"/>
        </w:tblCellMar>
      </w:tblPr>
      <w:tblGrid>
        <w:gridCol w:w="5870"/>
        <w:gridCol w:w="60"/>
        <w:gridCol w:w="2135"/>
        <w:gridCol w:w="60"/>
        <w:gridCol w:w="146"/>
        <w:gridCol w:w="666"/>
        <w:gridCol w:w="99"/>
        <w:gridCol w:w="62"/>
        <w:gridCol w:w="146"/>
        <w:gridCol w:w="666"/>
        <w:gridCol w:w="95"/>
      </w:tblGrid>
      <w:tr>
        <w:trPr/>
        <w:tc>
          <w:tcPr>
            <w:tcW w:w="587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785" w:type="dxa"/>
            <w:gridSpan w:val="6"/>
            <w:tcBorders/>
            <w:vAlign w:val="bottom"/>
          </w:tcPr>
          <w:p>
            <w:pPr>
              <w:pStyle w:val="TableContents"/>
              <w:bidi w:val="0"/>
              <w:spacing w:before="0" w:after="0"/>
              <w:ind w:left="0" w:right="0" w:hanging="14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785"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September 30,</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Rate Contracts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Location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9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12"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investment securities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66"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2,265</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66"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5,258</w:t>
            </w:r>
          </w:p>
        </w:tc>
        <w:tc>
          <w:tcPr>
            <w:tcW w:w="95"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investment securities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(2,091</w:t>
            </w:r>
          </w:p>
        </w:tc>
        <w:tc>
          <w:tcPr>
            <w:tcW w:w="99"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2"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(5,332</w:t>
            </w:r>
          </w:p>
        </w:tc>
        <w:tc>
          <w:tcPr>
            <w:tcW w:w="95"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r>
        <w:trPr/>
        <w:tc>
          <w:tcPr>
            <w:tcW w:w="5870" w:type="dxa"/>
            <w:tcBorders/>
            <w:shd w:fill="CCEEFF" w:val="clear"/>
            <w:vAlign w:val="bottom"/>
          </w:tcPr>
          <w:p>
            <w:pPr>
              <w:pStyle w:val="TableContents"/>
              <w:bidi w:val="0"/>
              <w:spacing w:before="0" w:after="0"/>
              <w:ind w:left="180" w:right="0" w:hanging="180"/>
              <w:jc w:val="left"/>
              <w:rPr>
                <w:b w:val="false"/>
                <w:i w:val="false"/>
                <w:caps w:val="false"/>
                <w:smallCaps w:val="false"/>
                <w:color w:val="000000"/>
                <w:sz w:val="20"/>
              </w:rPr>
            </w:pPr>
            <w:r>
              <w:rPr>
                <w:b w:val="false"/>
                <w:i w:val="false"/>
                <w:caps w:val="false"/>
                <w:smallCaps w:val="false"/>
                <w:color w:val="000000"/>
                <w:sz w:val="20"/>
              </w:rPr>
              <w:t xml:space="preserve">Change in fair value of interest rate swaps hedging fixed rate loans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23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323</w:t>
            </w:r>
          </w:p>
        </w:tc>
        <w:tc>
          <w:tcPr>
            <w:tcW w:w="95"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80" w:right="0" w:hanging="180"/>
              <w:jc w:val="left"/>
              <w:rPr>
                <w:b w:val="false"/>
                <w:i w:val="false"/>
                <w:caps w:val="false"/>
                <w:smallCaps w:val="false"/>
                <w:color w:val="000000"/>
                <w:sz w:val="20"/>
              </w:rPr>
            </w:pPr>
            <w:r>
              <w:rPr>
                <w:b w:val="false"/>
                <w:i w:val="false"/>
                <w:caps w:val="false"/>
                <w:smallCaps w:val="false"/>
                <w:color w:val="000000"/>
                <w:sz w:val="20"/>
              </w:rPr>
              <w:t xml:space="preserve">Change in fair value of hedged fixed rate loans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(22</w:t>
            </w:r>
          </w:p>
        </w:tc>
        <w:tc>
          <w:tcPr>
            <w:tcW w:w="99" w:type="dxa"/>
            <w:tcBorders/>
            <w:vAlign w:val="bottom"/>
          </w:tcPr>
          <w:p>
            <w:pPr>
              <w:pStyle w:val="TableContents"/>
              <w:bidi w:val="0"/>
              <w:spacing w:before="0" w:after="283"/>
              <w:jc w:val="left"/>
              <w:rPr/>
            </w:pPr>
            <w:r>
              <w:rPr/>
              <w:t>)</w:t>
            </w:r>
          </w:p>
        </w:tc>
        <w:tc>
          <w:tcPr>
            <w:tcW w:w="62"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(323</w:t>
            </w:r>
          </w:p>
        </w:tc>
        <w:tc>
          <w:tcPr>
            <w:tcW w:w="95" w:type="dxa"/>
            <w:tcBorders/>
            <w:vAlign w:val="bottom"/>
          </w:tcPr>
          <w:p>
            <w:pPr>
              <w:pStyle w:val="TableContents"/>
              <w:bidi w:val="0"/>
              <w:spacing w:before="0" w:after="283"/>
              <w:jc w:val="left"/>
              <w:rPr/>
            </w:pPr>
            <w:r>
              <w:rPr/>
              <w:t>)</w:t>
            </w:r>
          </w:p>
        </w:tc>
      </w:tr>
    </w:tbl>
    <w:p>
      <w:pPr>
        <w:pStyle w:val="TextBody"/>
        <w:bidi w:val="0"/>
        <w:spacing w:before="0" w:after="0"/>
        <w:jc w:val="left"/>
        <w:rPr/>
      </w:pPr>
      <w:r>
        <w:rPr/>
      </w:r>
    </w:p>
    <w:tbl>
      <w:tblPr>
        <w:tblW w:w="9872" w:type="dxa"/>
        <w:jc w:val="left"/>
        <w:tblInd w:w="0" w:type="dxa"/>
        <w:shd w:fill="FFFFFF" w:val="clear"/>
        <w:tblLayout w:type="fixed"/>
        <w:tblCellMar>
          <w:top w:w="0" w:type="dxa"/>
          <w:left w:w="0" w:type="dxa"/>
          <w:bottom w:w="0" w:type="dxa"/>
          <w:right w:w="0" w:type="dxa"/>
        </w:tblCellMar>
      </w:tblPr>
      <w:tblGrid>
        <w:gridCol w:w="5870"/>
        <w:gridCol w:w="60"/>
        <w:gridCol w:w="2135"/>
        <w:gridCol w:w="60"/>
        <w:gridCol w:w="131"/>
        <w:gridCol w:w="574"/>
        <w:gridCol w:w="84"/>
        <w:gridCol w:w="63"/>
        <w:gridCol w:w="131"/>
        <w:gridCol w:w="684"/>
        <w:gridCol w:w="80"/>
      </w:tblGrid>
      <w:tr>
        <w:trPr/>
        <w:tc>
          <w:tcPr>
            <w:tcW w:w="5870" w:type="dxa"/>
            <w:tcBorders/>
            <w:shd w:fill="FFFFFF" w:val="clear"/>
            <w:vAlign w:val="bottom"/>
          </w:tcPr>
          <w:p>
            <w:pPr>
              <w:pStyle w:val="TableContents"/>
              <w:bidi w:val="0"/>
              <w:spacing w:before="0" w:after="283"/>
              <w:jc w:val="left"/>
              <w:rPr/>
            </w:pPr>
            <w:r>
              <w:rPr/>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283"/>
              <w:jc w:val="left"/>
              <w:rPr/>
            </w:pPr>
            <w:r>
              <w:rPr/>
            </w:r>
          </w:p>
        </w:tc>
        <w:tc>
          <w:tcPr>
            <w:tcW w:w="60" w:type="dxa"/>
            <w:tcBorders/>
            <w:shd w:fill="FFFFFF" w:val="clear"/>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667" w:type="dxa"/>
            <w:gridSpan w:val="6"/>
            <w:tcBorders/>
            <w:shd w:fill="FFFFFF" w:val="cle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Nine Months Ended</w:t>
            </w:r>
          </w:p>
        </w:tc>
        <w:tc>
          <w:tcPr>
            <w:tcW w:w="8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667" w:type="dxa"/>
            <w:gridSpan w:val="6"/>
            <w:tcBorders>
              <w:bottom w:val="single" w:sz="12" w:space="0" w:color="000000"/>
            </w:tcBorders>
            <w:shd w:fill="FFFFFF" w:val="clear"/>
            <w:tcMar>
              <w:bottom w:w="28" w:type="dxa"/>
            </w:tcMar>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September 30</w:t>
            </w:r>
            <w:r>
              <w:rPr>
                <w:rFonts w:ascii="Times New Roman" w:hAnsi="Times New Roman"/>
                <w:b w:val="false"/>
                <w:i w:val="false"/>
                <w:caps w:val="false"/>
                <w:smallCaps w:val="false"/>
                <w:color w:val="000000"/>
                <w:sz w:val="20"/>
              </w:rPr>
              <w:t>,</w:t>
            </w:r>
          </w:p>
        </w:tc>
        <w:tc>
          <w:tcPr>
            <w:tcW w:w="8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bottom w:val="single" w:sz="12" w:space="0" w:color="000000"/>
            </w:tcBorders>
            <w:shd w:fill="FFFFFF" w:val="clear"/>
            <w:tcMar>
              <w:bottom w:w="28" w:type="dxa"/>
            </w:tcMar>
            <w:vAlign w:val="bottom"/>
          </w:tcPr>
          <w:p>
            <w:pPr>
              <w:pStyle w:val="TableContents"/>
              <w:bidi w:val="0"/>
              <w:spacing w:before="0" w:after="0"/>
              <w:ind w:left="144" w:right="0" w:hanging="144"/>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Rate Contracts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Location</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05"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84"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5"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8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investment securities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1,455</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15,436</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FFFF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investment securities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74"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(1,320</w:t>
            </w:r>
          </w:p>
        </w:tc>
        <w:tc>
          <w:tcPr>
            <w:tcW w:w="84"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4"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(15,681</w:t>
            </w:r>
          </w:p>
        </w:tc>
        <w:tc>
          <w:tcPr>
            <w:tcW w:w="80"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870"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fixed rate loans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 Loans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3"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948</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FFFF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fixed rate loans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 Loans</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574"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84"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1"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84"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(956</w:t>
            </w:r>
          </w:p>
        </w:tc>
        <w:tc>
          <w:tcPr>
            <w:tcW w:w="80"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fair value hedges included in the Consolidated Balance Sheets at the dates indicated (dollars in thousands):</w:t>
      </w:r>
    </w:p>
    <w:p>
      <w:pPr>
        <w:pStyle w:val="TextBody"/>
        <w:bidi w:val="0"/>
        <w:spacing w:before="0" w:after="0"/>
        <w:jc w:val="both"/>
        <w:rPr/>
      </w:pPr>
      <w:r>
        <w:rPr/>
      </w:r>
    </w:p>
    <w:tbl>
      <w:tblPr>
        <w:tblW w:w="9730" w:type="dxa"/>
        <w:jc w:val="left"/>
        <w:tblInd w:w="0" w:type="dxa"/>
        <w:tblLayout w:type="fixed"/>
        <w:tblCellMar>
          <w:top w:w="0" w:type="dxa"/>
          <w:left w:w="0" w:type="dxa"/>
          <w:bottom w:w="0" w:type="dxa"/>
          <w:right w:w="0" w:type="dxa"/>
        </w:tblCellMar>
      </w:tblPr>
      <w:tblGrid>
        <w:gridCol w:w="5510"/>
        <w:gridCol w:w="60"/>
        <w:gridCol w:w="150"/>
        <w:gridCol w:w="857"/>
        <w:gridCol w:w="64"/>
        <w:gridCol w:w="64"/>
        <w:gridCol w:w="150"/>
        <w:gridCol w:w="728"/>
        <w:gridCol w:w="60"/>
        <w:gridCol w:w="60"/>
        <w:gridCol w:w="145"/>
        <w:gridCol w:w="831"/>
        <w:gridCol w:w="62"/>
        <w:gridCol w:w="62"/>
        <w:gridCol w:w="145"/>
        <w:gridCol w:w="707"/>
        <w:gridCol w:w="75"/>
      </w:tblGrid>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180" w:right="0" w:hanging="180"/>
              <w:jc w:val="left"/>
              <w:rPr>
                <w:color w:val="000000"/>
              </w:rPr>
            </w:pPr>
            <w:r>
              <w:rPr>
                <w:color w:val="000000"/>
              </w:rPr>
              <w:t>Included in other liabilities:</w:t>
            </w:r>
          </w:p>
        </w:tc>
        <w:tc>
          <w:tcPr>
            <w:tcW w:w="60"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57" w:type="dxa"/>
            <w:tcBorders/>
            <w:shd w:fill="CCEEFF" w:val="clear"/>
            <w:vAlign w:val="bottom"/>
          </w:tcPr>
          <w:p>
            <w:pPr>
              <w:pStyle w:val="TableContents"/>
              <w:bidi w:val="0"/>
              <w:spacing w:before="0" w:after="0"/>
              <w:jc w:val="righ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72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707"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ind w:left="180" w:right="0" w:hanging="180"/>
              <w:jc w:val="left"/>
              <w:rPr/>
            </w:pPr>
            <w:r>
              <w:rPr/>
              <w:t> </w:t>
            </w:r>
          </w:p>
        </w:tc>
      </w:tr>
      <w:tr>
        <w:trPr/>
        <w:tc>
          <w:tcPr>
            <w:tcW w:w="55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180" w:right="0" w:hanging="180"/>
              <w:jc w:val="left"/>
              <w:rPr>
                <w:color w:val="000000"/>
              </w:rPr>
            </w:pPr>
            <w:r>
              <w:rPr>
                <w:color w:val="000000"/>
              </w:rPr>
              <w:t>Included in other assets: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57" w:type="dxa"/>
            <w:tcBorders/>
            <w:shd w:fill="CCEEFF" w:val="clear"/>
            <w:vAlign w:val="bottom"/>
          </w:tcPr>
          <w:p>
            <w:pPr>
              <w:pStyle w:val="TableContents"/>
              <w:bidi w:val="0"/>
              <w:spacing w:before="0" w:after="0"/>
              <w:jc w:val="right"/>
              <w:rPr>
                <w:color w:val="000000"/>
              </w:rPr>
            </w:pPr>
            <w:r>
              <w:rPr>
                <w:color w:val="000000"/>
              </w:rPr>
              <w:t>8,509</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728" w:type="dxa"/>
            <w:tcBorders/>
            <w:shd w:fill="CCEEFF" w:val="clear"/>
            <w:vAlign w:val="bottom"/>
          </w:tcPr>
          <w:p>
            <w:pPr>
              <w:pStyle w:val="TableContents"/>
              <w:bidi w:val="0"/>
              <w:spacing w:before="0" w:after="0"/>
              <w:jc w:val="right"/>
              <w:rPr>
                <w:color w:val="000000"/>
              </w:rPr>
            </w:pPr>
            <w:r>
              <w:rPr>
                <w:color w:val="000000"/>
              </w:rPr>
              <w:t>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9,493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707" w:type="dxa"/>
            <w:tcBorders/>
            <w:shd w:fill="CCEEFF" w:val="clear"/>
            <w:vAlign w:val="bottom"/>
          </w:tcPr>
          <w:p>
            <w:pPr>
              <w:pStyle w:val="TableContents"/>
              <w:bidi w:val="0"/>
              <w:spacing w:before="0" w:after="0"/>
              <w:jc w:val="right"/>
              <w:rPr>
                <w:color w:val="000000"/>
              </w:rPr>
            </w:pPr>
            <w:r>
              <w:rPr>
                <w:color w:val="000000"/>
              </w:rPr>
              <w:t>482</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0"/>
              <w:jc w:val="right"/>
              <w:rPr>
                <w:color w:val="000000"/>
              </w:rPr>
            </w:pPr>
            <w:r>
              <w:rPr>
                <w:color w:val="000000"/>
              </w:rPr>
              <w:t>123,760</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color w:val="000000"/>
              </w:rPr>
            </w:pPr>
            <w:r>
              <w:rPr>
                <w:color w:val="000000"/>
              </w:rPr>
              <w:t>21,580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123,760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color w:val="000000"/>
              </w:rPr>
            </w:pPr>
            <w:r>
              <w:rPr>
                <w:color w:val="000000"/>
              </w:rPr>
              <w:t>20,125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Mortgage banking derivatives</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net gains (losses) relating to free standing derivative instruments used for risk management are summarized below for the periods indicated (dollars in thousands):</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tbl>
      <w:tblPr>
        <w:tblW w:w="8096" w:type="dxa"/>
        <w:jc w:val="left"/>
        <w:tblInd w:w="0" w:type="dxa"/>
        <w:tblLayout w:type="fixed"/>
        <w:tblCellMar>
          <w:top w:w="0" w:type="dxa"/>
          <w:left w:w="0" w:type="dxa"/>
          <w:bottom w:w="0" w:type="dxa"/>
          <w:right w:w="0" w:type="dxa"/>
        </w:tblCellMar>
      </w:tblPr>
      <w:tblGrid>
        <w:gridCol w:w="3620"/>
        <w:gridCol w:w="2570"/>
        <w:gridCol w:w="60"/>
        <w:gridCol w:w="199"/>
        <w:gridCol w:w="631"/>
        <w:gridCol w:w="127"/>
        <w:gridCol w:w="95"/>
        <w:gridCol w:w="199"/>
        <w:gridCol w:w="535"/>
        <w:gridCol w:w="60"/>
      </w:tblGrid>
      <w:tr>
        <w:trPr/>
        <w:tc>
          <w:tcPr>
            <w:tcW w:w="362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6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 </w:t>
            </w:r>
          </w:p>
        </w:tc>
        <w:tc>
          <w:tcPr>
            <w:tcW w:w="257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ind w:left="180" w:right="0" w:hanging="180"/>
              <w:jc w:val="left"/>
              <w:rPr/>
            </w:pPr>
            <w:r>
              <w:rPr/>
              <w:t> </w:t>
            </w:r>
          </w:p>
        </w:tc>
      </w:tr>
      <w:tr>
        <w:trPr/>
        <w:tc>
          <w:tcPr>
            <w:tcW w:w="3620" w:type="dxa"/>
            <w:tcBorders/>
            <w:vAlign w:val="bottom"/>
          </w:tcPr>
          <w:p>
            <w:pPr>
              <w:pStyle w:val="TableContents"/>
              <w:bidi w:val="0"/>
              <w:spacing w:before="0" w:after="283"/>
              <w:ind w:left="180" w:right="0" w:hanging="180"/>
              <w:jc w:val="left"/>
              <w:rPr/>
            </w:pPr>
            <w:r>
              <w:rPr/>
            </w:r>
          </w:p>
        </w:tc>
        <w:tc>
          <w:tcPr>
            <w:tcW w:w="2570" w:type="dxa"/>
            <w:tcBorders>
              <w:bottom w:val="single" w:sz="12" w:space="0" w:color="000000"/>
            </w:tcBorders>
            <w:tcMar>
              <w:bottom w:w="28" w:type="dxa"/>
            </w:tcMar>
            <w:vAlign w:val="bottom"/>
          </w:tcPr>
          <w:p>
            <w:pPr>
              <w:pStyle w:val="TableContents"/>
              <w:bidi w:val="0"/>
              <w:spacing w:before="0" w:after="283"/>
              <w:jc w:val="center"/>
              <w:rPr/>
            </w:pPr>
            <w:r>
              <w:rPr/>
              <w:t> </w:t>
            </w:r>
            <w:r>
              <w:rPr>
                <w:b/>
              </w:rPr>
              <w:t>Location</w:t>
            </w:r>
            <w:r>
              <w:rPr/>
              <w:t xml:space="preserve">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2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2022</w:t>
            </w:r>
          </w:p>
        </w:tc>
        <w:tc>
          <w:tcPr>
            <w:tcW w:w="60"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Gain (loss) on mortgage banking derivatives</w:t>
            </w:r>
          </w:p>
        </w:tc>
        <w:tc>
          <w:tcPr>
            <w:tcW w:w="257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gain (loss) on sales of loans</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tbl>
      <w:tblPr>
        <w:tblW w:w="8897" w:type="dxa"/>
        <w:jc w:val="left"/>
        <w:tblInd w:w="0" w:type="dxa"/>
        <w:tblLayout w:type="fixed"/>
        <w:tblCellMar>
          <w:top w:w="0" w:type="dxa"/>
          <w:left w:w="0" w:type="dxa"/>
          <w:bottom w:w="0" w:type="dxa"/>
          <w:right w:w="0" w:type="dxa"/>
        </w:tblCellMar>
      </w:tblPr>
      <w:tblGrid>
        <w:gridCol w:w="3635"/>
        <w:gridCol w:w="3020"/>
        <w:gridCol w:w="60"/>
        <w:gridCol w:w="237"/>
        <w:gridCol w:w="567"/>
        <w:gridCol w:w="160"/>
        <w:gridCol w:w="101"/>
        <w:gridCol w:w="237"/>
        <w:gridCol w:w="770"/>
        <w:gridCol w:w="110"/>
      </w:tblGrid>
      <w:tr>
        <w:trPr/>
        <w:tc>
          <w:tcPr>
            <w:tcW w:w="3635" w:type="dxa"/>
            <w:tcBorders/>
            <w:vAlign w:val="bottom"/>
          </w:tcPr>
          <w:p>
            <w:pPr>
              <w:pStyle w:val="TableContents"/>
              <w:bidi w:val="0"/>
              <w:spacing w:before="0" w:after="283"/>
              <w:jc w:val="left"/>
              <w:rPr/>
            </w:pPr>
            <w:r>
              <w:rPr/>
            </w:r>
          </w:p>
        </w:tc>
        <w:tc>
          <w:tcPr>
            <w:tcW w:w="30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2072"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Nine Months Ended</w:t>
            </w:r>
          </w:p>
        </w:tc>
        <w:tc>
          <w:tcPr>
            <w:tcW w:w="110"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2"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rPr>
            </w:pPr>
            <w:r>
              <w:rPr>
                <w:rFonts w:ascii="Times New Roman" w:hAnsi="Times New Roman"/>
                <w:b/>
                <w:color w:val="000000"/>
              </w:rPr>
              <w:t>September 30,</w:t>
            </w:r>
          </w:p>
        </w:tc>
        <w:tc>
          <w:tcPr>
            <w:tcW w:w="110"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center"/>
              <w:rPr>
                <w:rFonts w:ascii="Times New Roman" w:hAnsi="Times New Roman"/>
                <w:b/>
                <w:color w:val="000000"/>
              </w:rPr>
            </w:pPr>
            <w:r>
              <w:rPr>
                <w:rFonts w:ascii="Times New Roman" w:hAnsi="Times New Roman"/>
                <w:b/>
                <w:color w:val="000000"/>
              </w:rPr>
            </w:r>
          </w:p>
        </w:tc>
        <w:tc>
          <w:tcPr>
            <w:tcW w:w="3020" w:type="dxa"/>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Location</w:t>
            </w:r>
          </w:p>
        </w:tc>
        <w:tc>
          <w:tcPr>
            <w:tcW w:w="60"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rPr>
            </w:pPr>
            <w:r>
              <w:rPr>
                <w:rFonts w:ascii="Times New Roman" w:hAnsi="Times New Roman"/>
                <w:b/>
                <w:color w:val="000000"/>
              </w:rPr>
              <w:t>2023</w:t>
            </w:r>
          </w:p>
        </w:tc>
        <w:tc>
          <w:tcPr>
            <w:tcW w:w="1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color w:val="000000"/>
              </w:rPr>
            </w:pPr>
            <w:r>
              <w:rPr>
                <w:rFonts w:ascii="Times New Roman" w:hAnsi="Times New Roman"/>
                <w:color w:val="000000"/>
              </w:rPr>
              <w:t>2022</w:t>
            </w:r>
          </w:p>
        </w:tc>
        <w:tc>
          <w:tcPr>
            <w:tcW w:w="11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Gain (loss) on mortgage banking derivatives</w:t>
            </w:r>
          </w:p>
        </w:tc>
        <w:tc>
          <w:tcPr>
            <w:tcW w:w="3020"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Net gain (loss) on sales of loans</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567"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(48</w:t>
            </w:r>
          </w:p>
        </w:tc>
        <w:tc>
          <w:tcPr>
            <w:tcW w:w="160"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101"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770"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(534</w:t>
            </w:r>
          </w:p>
        </w:tc>
        <w:tc>
          <w:tcPr>
            <w:tcW w:w="110"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amount and fair value of mortgage banking derivatives in the Consolidated Balance Sheets at the dates indicated (dollars in thousands):</w:t>
      </w:r>
    </w:p>
    <w:p>
      <w:pPr>
        <w:pStyle w:val="TextBody"/>
        <w:bidi w:val="0"/>
        <w:spacing w:before="0" w:after="0"/>
        <w:jc w:val="both"/>
        <w:rPr/>
      </w:pPr>
      <w:r>
        <w:rPr/>
      </w:r>
    </w:p>
    <w:tbl>
      <w:tblPr>
        <w:tblW w:w="8184" w:type="dxa"/>
        <w:jc w:val="left"/>
        <w:tblInd w:w="0" w:type="dxa"/>
        <w:tblLayout w:type="fixed"/>
        <w:tblCellMar>
          <w:top w:w="0" w:type="dxa"/>
          <w:left w:w="0" w:type="dxa"/>
          <w:bottom w:w="0" w:type="dxa"/>
          <w:right w:w="0" w:type="dxa"/>
        </w:tblCellMar>
      </w:tblPr>
      <w:tblGrid>
        <w:gridCol w:w="4610"/>
        <w:gridCol w:w="60"/>
        <w:gridCol w:w="161"/>
        <w:gridCol w:w="784"/>
        <w:gridCol w:w="69"/>
        <w:gridCol w:w="69"/>
        <w:gridCol w:w="161"/>
        <w:gridCol w:w="438"/>
        <w:gridCol w:w="60"/>
        <w:gridCol w:w="60"/>
        <w:gridCol w:w="157"/>
        <w:gridCol w:w="763"/>
        <w:gridCol w:w="67"/>
        <w:gridCol w:w="67"/>
        <w:gridCol w:w="157"/>
        <w:gridCol w:w="426"/>
        <w:gridCol w:w="75"/>
      </w:tblGrid>
      <w:tr>
        <w:trPr/>
        <w:tc>
          <w:tcPr>
            <w:tcW w:w="46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68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September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2022</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8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Included in other assets:</w:t>
            </w:r>
          </w:p>
        </w:tc>
        <w:tc>
          <w:tcPr>
            <w:tcW w:w="60"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8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15,000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23,500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rate lock commitments</w:t>
            </w:r>
          </w:p>
        </w:tc>
        <w:tc>
          <w:tcPr>
            <w:tcW w:w="60" w:type="dxa"/>
            <w:tcBorders/>
            <w:vAlign w:val="bottom"/>
          </w:tcPr>
          <w:p>
            <w:pPr>
              <w:pStyle w:val="TableContents"/>
              <w:bidi w:val="0"/>
              <w:spacing w:before="0" w:after="283"/>
              <w:jc w:val="righ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25,066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4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27,348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4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369</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Total included in other assets</w:t>
            </w:r>
          </w:p>
        </w:tc>
        <w:tc>
          <w:tcPr>
            <w:tcW w:w="60"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w:t>
            </w:r>
          </w:p>
        </w:tc>
        <w:tc>
          <w:tcPr>
            <w:tcW w:w="784" w:type="dxa"/>
            <w:tcBorders>
              <w:bottom w:val="double" w:sz="8" w:space="0" w:color="000000"/>
            </w:tcBorders>
            <w:tcMar>
              <w:bottom w:w="28" w:type="dxa"/>
            </w:tcMar>
            <w:vAlign w:val="bottom"/>
          </w:tcPr>
          <w:p>
            <w:pPr>
              <w:pStyle w:val="TableContents"/>
              <w:bidi w:val="0"/>
              <w:spacing w:before="0" w:after="283"/>
              <w:jc w:val="right"/>
              <w:rPr/>
            </w:pPr>
            <w:r>
              <w:rPr/>
              <w:t>40,066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w:t>
            </w:r>
          </w:p>
        </w:tc>
        <w:tc>
          <w:tcPr>
            <w:tcW w:w="438" w:type="dxa"/>
            <w:tcBorders>
              <w:bottom w:val="double" w:sz="8" w:space="0" w:color="000000"/>
            </w:tcBorders>
            <w:tcMar>
              <w:bottom w:w="28" w:type="dxa"/>
            </w:tcMar>
            <w:vAlign w:val="bottom"/>
          </w:tcPr>
          <w:p>
            <w:pPr>
              <w:pStyle w:val="TableContents"/>
              <w:bidi w:val="0"/>
              <w:spacing w:before="0" w:after="283"/>
              <w:jc w:val="right"/>
              <w:rPr/>
            </w:pPr>
            <w:r>
              <w:rPr/>
              <w:t>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double" w:sz="8" w:space="0" w:color="000000"/>
            </w:tcBorders>
            <w:tcMar>
              <w:bottom w:w="28" w:type="dxa"/>
            </w:tcMar>
            <w:vAlign w:val="bottom"/>
          </w:tcPr>
          <w:p>
            <w:pPr>
              <w:pStyle w:val="TableContents"/>
              <w:bidi w:val="0"/>
              <w:spacing w:before="0" w:after="283"/>
              <w:jc w:val="left"/>
              <w:rPr/>
            </w:pPr>
            <w:r>
              <w:rPr/>
              <w:t>$</w:t>
            </w:r>
          </w:p>
        </w:tc>
        <w:tc>
          <w:tcPr>
            <w:tcW w:w="763" w:type="dxa"/>
            <w:tcBorders>
              <w:bottom w:val="double" w:sz="8" w:space="0" w:color="000000"/>
            </w:tcBorders>
            <w:tcMar>
              <w:bottom w:w="28" w:type="dxa"/>
            </w:tcMar>
            <w:vAlign w:val="bottom"/>
          </w:tcPr>
          <w:p>
            <w:pPr>
              <w:pStyle w:val="TableContents"/>
              <w:bidi w:val="0"/>
              <w:spacing w:before="0" w:after="283"/>
              <w:jc w:val="right"/>
              <w:rPr/>
            </w:pPr>
            <w:r>
              <w:rPr/>
              <w:t>50,848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7" w:type="dxa"/>
            <w:tcBorders>
              <w:bottom w:val="double" w:sz="8" w:space="0" w:color="000000"/>
            </w:tcBorders>
            <w:tcMar>
              <w:bottom w:w="28" w:type="dxa"/>
            </w:tcMar>
            <w:vAlign w:val="bottom"/>
          </w:tcPr>
          <w:p>
            <w:pPr>
              <w:pStyle w:val="TableContents"/>
              <w:bidi w:val="0"/>
              <w:spacing w:before="0" w:after="283"/>
              <w:jc w:val="left"/>
              <w:rPr/>
            </w:pPr>
            <w:r>
              <w:rPr/>
              <w:t>$</w:t>
            </w:r>
          </w:p>
        </w:tc>
        <w:tc>
          <w:tcPr>
            <w:tcW w:w="426" w:type="dxa"/>
            <w:tcBorders>
              <w:bottom w:val="double" w:sz="8" w:space="0" w:color="000000"/>
            </w:tcBorders>
            <w:tcMar>
              <w:bottom w:w="28" w:type="dxa"/>
            </w:tcMar>
            <w:vAlign w:val="bottom"/>
          </w:tcPr>
          <w:p>
            <w:pPr>
              <w:pStyle w:val="TableContents"/>
              <w:bidi w:val="0"/>
              <w:spacing w:before="0" w:after="283"/>
              <w:jc w:val="right"/>
              <w:rPr/>
            </w:pPr>
            <w:r>
              <w:rPr/>
              <w:t>555</w:t>
            </w:r>
          </w:p>
        </w:tc>
        <w:tc>
          <w:tcPr>
            <w:tcW w:w="75" w:type="dxa"/>
            <w:tcBorders/>
            <w:vAlign w:val="bottom"/>
          </w:tcPr>
          <w:p>
            <w:pPr>
              <w:pStyle w:val="TableContents"/>
              <w:bidi w:val="0"/>
              <w:spacing w:before="0" w:after="283"/>
              <w:ind w:left="180" w:right="0" w:hanging="180"/>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Included in other liabilities:</w:t>
            </w:r>
          </w:p>
        </w:tc>
        <w:tc>
          <w:tcPr>
            <w:tcW w:w="6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7,811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5,615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0"/>
              <w:jc w:val="left"/>
              <w:rPr/>
            </w:pPr>
            <w:r>
              <w:rPr/>
              <w:t>Interest rate lock commitments</w:t>
            </w:r>
          </w:p>
        </w:tc>
        <w:tc>
          <w:tcPr>
            <w:tcW w:w="60" w:type="dxa"/>
            <w:tcBorders/>
            <w:vAlign w:val="bottom"/>
          </w:tcPr>
          <w:p>
            <w:pPr>
              <w:pStyle w:val="TableContents"/>
              <w:bidi w:val="0"/>
              <w:spacing w:before="0" w:after="283"/>
              <w:jc w:val="righ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43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426"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w:t>
            </w:r>
            <w:r>
              <w:rPr>
                <w:rFonts w:ascii="Times New Roman" w:hAnsi="Times New Roman"/>
                <w:b w:val="false"/>
                <w:i w:val="false"/>
                <w:caps w:val="false"/>
                <w:smallCaps w:val="false"/>
                <w:color w:val="000000"/>
                <w:spacing w:val="0"/>
                <w:sz w:val="20"/>
              </w:rPr>
              <w:t>otal included in other liabilities</w:t>
            </w:r>
          </w:p>
        </w:tc>
        <w:tc>
          <w:tcPr>
            <w:tcW w:w="60"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w:t>
            </w:r>
          </w:p>
        </w:tc>
        <w:tc>
          <w:tcPr>
            <w:tcW w:w="784" w:type="dxa"/>
            <w:tcBorders>
              <w:bottom w:val="double" w:sz="8" w:space="0" w:color="000000"/>
            </w:tcBorders>
            <w:tcMar>
              <w:bottom w:w="28" w:type="dxa"/>
            </w:tcMar>
            <w:vAlign w:val="bottom"/>
          </w:tcPr>
          <w:p>
            <w:pPr>
              <w:pStyle w:val="TableContents"/>
              <w:bidi w:val="0"/>
              <w:spacing w:before="0" w:after="283"/>
              <w:jc w:val="right"/>
              <w:rPr/>
            </w:pPr>
            <w:r>
              <w:rPr/>
              <w:t>7,811</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61" w:type="dxa"/>
            <w:tcBorders>
              <w:bottom w:val="double" w:sz="8" w:space="0" w:color="000000"/>
            </w:tcBorders>
            <w:tcMar>
              <w:bottom w:w="28" w:type="dxa"/>
            </w:tcMar>
            <w:vAlign w:val="bottom"/>
          </w:tcPr>
          <w:p>
            <w:pPr>
              <w:pStyle w:val="TableContents"/>
              <w:bidi w:val="0"/>
              <w:spacing w:before="0" w:after="283"/>
              <w:jc w:val="left"/>
              <w:rPr/>
            </w:pPr>
            <w:r>
              <w:rPr/>
              <w:t>$</w:t>
            </w:r>
          </w:p>
        </w:tc>
        <w:tc>
          <w:tcPr>
            <w:tcW w:w="438" w:type="dxa"/>
            <w:tcBorders>
              <w:bottom w:val="double" w:sz="8" w:space="0" w:color="000000"/>
            </w:tcBorders>
            <w:tcMar>
              <w:bottom w:w="28" w:type="dxa"/>
            </w:tcMar>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bottom w:val="double" w:sz="8" w:space="0" w:color="000000"/>
            </w:tcBorders>
            <w:tcMar>
              <w:bottom w:w="28" w:type="dxa"/>
            </w:tcMar>
            <w:vAlign w:val="bottom"/>
          </w:tcPr>
          <w:p>
            <w:pPr>
              <w:pStyle w:val="TableContents"/>
              <w:bidi w:val="0"/>
              <w:spacing w:before="0" w:after="283"/>
              <w:jc w:val="left"/>
              <w:rPr/>
            </w:pPr>
            <w:r>
              <w:rPr/>
              <w:t>$</w:t>
            </w:r>
          </w:p>
        </w:tc>
        <w:tc>
          <w:tcPr>
            <w:tcW w:w="763" w:type="dxa"/>
            <w:tcBorders>
              <w:bottom w:val="double" w:sz="8" w:space="0" w:color="000000"/>
            </w:tcBorders>
            <w:tcMar>
              <w:bottom w:w="28" w:type="dxa"/>
            </w:tcMar>
            <w:vAlign w:val="bottom"/>
          </w:tcPr>
          <w:p>
            <w:pPr>
              <w:pStyle w:val="TableContents"/>
              <w:bidi w:val="0"/>
              <w:spacing w:before="0" w:after="283"/>
              <w:jc w:val="right"/>
              <w:rPr/>
            </w:pPr>
            <w:r>
              <w:rPr/>
              <w:t>5,615</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57" w:type="dxa"/>
            <w:tcBorders>
              <w:bottom w:val="double" w:sz="8" w:space="0" w:color="000000"/>
            </w:tcBorders>
            <w:tcMar>
              <w:bottom w:w="28" w:type="dxa"/>
            </w:tcMar>
            <w:vAlign w:val="bottom"/>
          </w:tcPr>
          <w:p>
            <w:pPr>
              <w:pStyle w:val="TableContents"/>
              <w:bidi w:val="0"/>
              <w:spacing w:before="0" w:after="283"/>
              <w:jc w:val="left"/>
              <w:rPr/>
            </w:pPr>
            <w:r>
              <w:rPr/>
              <w:t>$</w:t>
            </w:r>
          </w:p>
        </w:tc>
        <w:tc>
          <w:tcPr>
            <w:tcW w:w="426" w:type="dxa"/>
            <w:tcBorders>
              <w:bottom w:val="double" w:sz="8" w:space="0" w:color="000000"/>
            </w:tcBorders>
            <w:tcMar>
              <w:bottom w:w="28" w:type="dxa"/>
            </w:tcMar>
            <w:vAlign w:val="bottom"/>
          </w:tcPr>
          <w:p>
            <w:pPr>
              <w:pStyle w:val="TableContents"/>
              <w:bidi w:val="0"/>
              <w:spacing w:before="0" w:after="283"/>
              <w:jc w:val="right"/>
              <w:rPr/>
            </w:pPr>
            <w:r>
              <w:rPr/>
              <w:t>128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had received cash collateral of $21.7 million to offset asset derivative positions on its interest rate swaps at September 30, 2023. This amount is reported in other liabilities in the Consolidated Balance Sheets. The Company had advanced $1.1 million to offset liability derivative positions on its interest rate swaps at September 30, 2023. Additionally, the Company had advanced $440 thousand on its mortgage forward contracts at September 30, 2023. The advanced cash collateral amounts are reported in cash and due from banks in the Consolidated Balance Sheets.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factors used in the earnings per share computation for the periods indicated follow (dollars in thousands, except per share data):</w:t>
      </w:r>
    </w:p>
    <w:p>
      <w:pPr>
        <w:pStyle w:val="TextBody"/>
        <w:bidi w:val="0"/>
        <w:spacing w:before="0" w:after="0"/>
        <w:jc w:val="left"/>
        <w:rPr/>
      </w:pPr>
      <w:r>
        <w:rPr/>
      </w:r>
    </w:p>
    <w:tbl>
      <w:tblPr>
        <w:tblW w:w="9345" w:type="dxa"/>
        <w:jc w:val="left"/>
        <w:tblInd w:w="0" w:type="dxa"/>
        <w:tblLayout w:type="fixed"/>
        <w:tblCellMar>
          <w:top w:w="0" w:type="dxa"/>
          <w:left w:w="0" w:type="dxa"/>
          <w:bottom w:w="0" w:type="dxa"/>
          <w:right w:w="0" w:type="dxa"/>
        </w:tblCellMar>
      </w:tblPr>
      <w:tblGrid>
        <w:gridCol w:w="4550"/>
        <w:gridCol w:w="60"/>
        <w:gridCol w:w="125"/>
        <w:gridCol w:w="950"/>
        <w:gridCol w:w="60"/>
        <w:gridCol w:w="60"/>
        <w:gridCol w:w="125"/>
        <w:gridCol w:w="950"/>
        <w:gridCol w:w="60"/>
        <w:gridCol w:w="60"/>
        <w:gridCol w:w="125"/>
        <w:gridCol w:w="950"/>
        <w:gridCol w:w="60"/>
        <w:gridCol w:w="60"/>
        <w:gridCol w:w="125"/>
        <w:gridCol w:w="950"/>
        <w:gridCol w:w="75"/>
      </w:tblGrid>
      <w:tr>
        <w:trPr/>
        <w:tc>
          <w:tcPr>
            <w:tcW w:w="4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Nine Months Ended</w:t>
            </w:r>
          </w:p>
          <w:p>
            <w:pPr>
              <w:pStyle w:val="TableContents"/>
              <w:bidi w:val="0"/>
              <w:spacing w:before="0" w:after="0"/>
              <w:jc w:val="center"/>
              <w:rPr>
                <w:rFonts w:ascii="Times New Roman" w:hAnsi="Times New Roman"/>
                <w:b/>
                <w:sz w:val="20"/>
              </w:rPr>
            </w:pPr>
            <w:r>
              <w:rPr>
                <w:rFonts w:ascii="Times New Roman" w:hAnsi="Times New Roman"/>
                <w:b/>
                <w:sz w:val="20"/>
              </w:rPr>
              <w:t>September 30,</w:t>
            </w:r>
          </w:p>
        </w:tc>
        <w:tc>
          <w:tcPr>
            <w:tcW w:w="7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45,619</w:t>
            </w:r>
          </w:p>
        </w:tc>
        <w:tc>
          <w:tcPr>
            <w:tcW w:w="75" w:type="dxa"/>
            <w:tcBorders/>
            <w:shd w:fill="CCEEFF" w:val="clear"/>
            <w:vAlign w:val="bottom"/>
          </w:tcPr>
          <w:p>
            <w:pPr>
              <w:pStyle w:val="TableContents"/>
              <w:bidi w:val="0"/>
              <w:spacing w:before="0" w:after="283"/>
              <w:ind w:left="180" w:right="0" w:hanging="180"/>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16,842,594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17,286,531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16,978,499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17,496,217</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Effect of dilutive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awards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511,588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615,368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462,402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607,808</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diluted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17,354,182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17,901,899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17,440,901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18,104,025</w:t>
            </w:r>
          </w:p>
        </w:tc>
        <w:tc>
          <w:tcPr>
            <w:tcW w:w="75" w:type="dxa"/>
            <w:tcBorders/>
            <w:vAlign w:val="bottom"/>
          </w:tcPr>
          <w:p>
            <w:pPr>
              <w:pStyle w:val="TableContents"/>
              <w:bidi w:val="0"/>
              <w:spacing w:before="0" w:after="283"/>
              <w:ind w:left="180" w:right="0" w:hanging="180"/>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Basic earnings per share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2.61</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13.  FAIR VALUE DISCLOSURES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1 Inputs</w:t>
            </w:r>
            <w:r>
              <w:rPr>
                <w:rFonts w:ascii="Times New Roman" w:hAnsi="Times New Roman"/>
                <w:sz w:val="20"/>
              </w:rPr>
              <w:t xml:space="preserve"> - Unadjusted quoted prices in active markets for identical assets or liabilities that the reporting entity has the ability to access at the measurement 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2 Inputs</w:t>
            </w:r>
            <w:r>
              <w:rPr>
                <w:rFonts w:ascii="Times New Roman" w:hAnsi="Times New Roman"/>
                <w:sz w:val="2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3 Inputs</w:t>
            </w:r>
            <w:r>
              <w:rPr>
                <w:rFonts w:ascii="Times New Roman" w:hAnsi="Times New Roman"/>
                <w:sz w:val="2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fair value measurements at the dates indicated (dollars in thousands):</w:t>
      </w:r>
    </w:p>
    <w:p>
      <w:pPr>
        <w:pStyle w:val="TextBody"/>
        <w:bidi w:val="0"/>
        <w:spacing w:before="0" w:after="0"/>
        <w:jc w:val="left"/>
        <w:rPr/>
      </w:pPr>
      <w:r>
        <w:rPr/>
      </w:r>
    </w:p>
    <w:tbl>
      <w:tblPr>
        <w:tblW w:w="8524" w:type="dxa"/>
        <w:jc w:val="left"/>
        <w:tblInd w:w="0" w:type="dxa"/>
        <w:tblLayout w:type="fixed"/>
        <w:tblCellMar>
          <w:top w:w="0" w:type="dxa"/>
          <w:left w:w="0" w:type="dxa"/>
          <w:bottom w:w="0" w:type="dxa"/>
          <w:right w:w="0" w:type="dxa"/>
        </w:tblCellMar>
      </w:tblPr>
      <w:tblGrid>
        <w:gridCol w:w="4985"/>
        <w:gridCol w:w="60"/>
        <w:gridCol w:w="210"/>
        <w:gridCol w:w="439"/>
        <w:gridCol w:w="60"/>
        <w:gridCol w:w="60"/>
        <w:gridCol w:w="125"/>
        <w:gridCol w:w="695"/>
        <w:gridCol w:w="80"/>
        <w:gridCol w:w="60"/>
        <w:gridCol w:w="125"/>
        <w:gridCol w:w="590"/>
        <w:gridCol w:w="60"/>
        <w:gridCol w:w="60"/>
        <w:gridCol w:w="125"/>
        <w:gridCol w:w="695"/>
        <w:gridCol w:w="95"/>
      </w:tblGrid>
      <w:tr>
        <w:trPr/>
        <w:tc>
          <w:tcPr>
            <w:tcW w:w="4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160,573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160,573</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285,351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285,351</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39,714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39,714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71,953</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16,763</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10,615</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14,496</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22,607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22,607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328,845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328,845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0"/>
              <w:jc w:val="left"/>
              <w:rPr/>
            </w:pPr>
            <w:r>
              <w:rPr/>
              <w:t xml:space="preserve">Commercial mortgage-backed securities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41,967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41,967</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10,038</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21,162</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Securities</w:t>
      </w:r>
      <w:r>
        <w:rPr>
          <w:rFonts w:ascii="Times New Roman" w:hAnsi="Times New Roman"/>
          <w:color w:val="000000"/>
          <w:sz w:val="20"/>
          <w:shd w:fill="FFFFFF" w:val="clear"/>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Mortgage servicing rights</w:t>
      </w:r>
      <w:r>
        <w:rPr>
          <w:rFonts w:ascii="Times New Roman" w:hAnsi="Times New Roman"/>
          <w:color w:val="000000"/>
          <w:sz w:val="20"/>
          <w:shd w:fill="FFFFFF" w:val="clear"/>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the three and nine months ended September 30, 2023 and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Derivatives</w:t>
      </w:r>
      <w:r>
        <w:rPr>
          <w:rFonts w:ascii="Times New Roman" w:hAnsi="Times New Roman"/>
          <w:color w:val="000000"/>
          <w:sz w:val="20"/>
          <w:shd w:fill="FFFFFF" w:val="clear"/>
        </w:rPr>
        <w:t xml:space="preserve"> – Fair value of derivatives is based on valuation models using observable market data as of the measurement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investment</w:t>
      </w:r>
      <w:r>
        <w:rPr>
          <w:rFonts w:ascii="Times New Roman" w:hAnsi="Times New Roman"/>
          <w:color w:val="000000"/>
          <w:sz w:val="20"/>
          <w:shd w:fill="FFFFFF" w:val="clear"/>
        </w:rPr>
        <w:t xml:space="preserve"> – Includes certain collateral-dependent loans which are reported at the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Fair Values of Assets Recorded on a Recurring Basis for which the Fair Value Option has been Elected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sale (mandatory)</w:t>
      </w:r>
      <w:r>
        <w:rPr>
          <w:rFonts w:ascii="Times New Roman" w:hAnsi="Times New Roman"/>
          <w:color w:val="000000"/>
          <w:sz w:val="20"/>
          <w:shd w:fill="FFFFFF" w:val="clear"/>
        </w:rPr>
        <w:t xml:space="preserve"> –</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September 30, 2023, and December 31, 2022, the Company had no gains or losses recorded attributable to changes in instrument-specific credit risk. Fair value is determined using quoted prices for similar assets, adjusted for specific attributes of that loan. At September 30, 2023 and December 31, 2022 the aggregate fair value of loans held for sale for mandatory delivery was $14.5 million and $10.0 million, respectively. The aggregate unpaid principal balance as of the same dates was $14.3 million and $9.9 million, respectively, representing differences between fair value and unpaid principal balance of $180 thousand and $163 thousand, respectively. The Company had no loans held for sale for mandatory delivery designated as nonaccrual or 90 days or more past due at September 30, 2023 and December 31, 2022.</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total fair value option impact on noninterest income for loans held for sale for mandatory delivery is included in Net gain on sales of loans in the Consolidated Statements of Comprehensive Income (Loss). For the three months ended September 30, 2023 and 2022 the net loss amount totaled $330 thousand and $284 thousand, respectively. For the nine months ended September 30, 2023 and 2022 the net loss amount totaled $78 thousand and $1.9 million,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quantitative information about recurring and non-recurring Level 3 fair value measurements at the dates indicated (dollars in thousands):</w:t>
      </w:r>
    </w:p>
    <w:p>
      <w:pPr>
        <w:pStyle w:val="TextBody"/>
        <w:bidi w:val="0"/>
        <w:spacing w:before="0" w:after="0"/>
        <w:jc w:val="left"/>
        <w:rPr/>
      </w:pPr>
      <w:r>
        <w:rPr/>
      </w:r>
    </w:p>
    <w:tbl>
      <w:tblPr>
        <w:tblW w:w="10130" w:type="dxa"/>
        <w:jc w:val="left"/>
        <w:tblInd w:w="0" w:type="dxa"/>
        <w:tblLayout w:type="fixed"/>
        <w:tblCellMar>
          <w:top w:w="0" w:type="dxa"/>
          <w:left w:w="0" w:type="dxa"/>
          <w:bottom w:w="0" w:type="dxa"/>
          <w:right w:w="0" w:type="dxa"/>
        </w:tblCellMar>
      </w:tblPr>
      <w:tblGrid>
        <w:gridCol w:w="2135"/>
        <w:gridCol w:w="60"/>
        <w:gridCol w:w="125"/>
        <w:gridCol w:w="590"/>
        <w:gridCol w:w="60"/>
        <w:gridCol w:w="2975"/>
        <w:gridCol w:w="60"/>
        <w:gridCol w:w="3050"/>
        <w:gridCol w:w="60"/>
        <w:gridCol w:w="60"/>
        <w:gridCol w:w="770"/>
        <w:gridCol w:w="185"/>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29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w:t>
            </w:r>
          </w:p>
          <w:p>
            <w:pPr>
              <w:pStyle w:val="TableContents"/>
              <w:bidi w:val="0"/>
              <w:spacing w:before="0" w:after="0"/>
              <w:jc w:val="center"/>
              <w:rPr>
                <w:rFonts w:ascii="Times New Roman" w:hAnsi="Times New Roman"/>
                <w:b/>
                <w:sz w:val="20"/>
              </w:rPr>
            </w:pPr>
            <w:r>
              <w:rPr>
                <w:rFonts w:ascii="Times New Roman" w:hAnsi="Times New Roman"/>
                <w:b/>
                <w:sz w:val="20"/>
              </w:rPr>
              <w:t>Techniques</w:t>
            </w:r>
          </w:p>
        </w:tc>
        <w:tc>
          <w:tcPr>
            <w:tcW w:w="60" w:type="dxa"/>
            <w:tcBorders/>
            <w:vAlign w:val="bottom"/>
          </w:tcPr>
          <w:p>
            <w:pPr>
              <w:pStyle w:val="TableContents"/>
              <w:bidi w:val="0"/>
              <w:spacing w:before="0" w:after="283"/>
              <w:jc w:val="left"/>
              <w:rPr/>
            </w:pPr>
            <w:r>
              <w:rPr/>
              <w:t> </w:t>
            </w:r>
          </w:p>
        </w:tc>
        <w:tc>
          <w:tcPr>
            <w:tcW w:w="30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Unobservable</w:t>
            </w:r>
          </w:p>
          <w:p>
            <w:pPr>
              <w:pStyle w:val="TableContents"/>
              <w:bidi w:val="0"/>
              <w:spacing w:before="0" w:after="0"/>
              <w:jc w:val="center"/>
              <w:rPr>
                <w:rFonts w:ascii="Times New Roman" w:hAnsi="Times New Roman"/>
                <w:b/>
                <w:sz w:val="20"/>
              </w:rPr>
            </w:pPr>
            <w:r>
              <w:rPr>
                <w:rFonts w:ascii="Times New Roman" w:hAnsi="Times New Roman"/>
                <w:b/>
                <w:sz w:val="20"/>
              </w:rPr>
              <w:t>Inputs</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 of</w:t>
            </w:r>
          </w:p>
          <w:p>
            <w:pPr>
              <w:pStyle w:val="TableContents"/>
              <w:bidi w:val="0"/>
              <w:spacing w:before="0" w:after="0"/>
              <w:jc w:val="center"/>
              <w:rPr>
                <w:rFonts w:ascii="Times New Roman" w:hAnsi="Times New Roman"/>
                <w:b/>
                <w:sz w:val="20"/>
              </w:rPr>
            </w:pPr>
            <w:r>
              <w:rPr>
                <w:rFonts w:ascii="Times New Roman" w:hAnsi="Times New Roman"/>
                <w:b/>
                <w:sz w:val="20"/>
              </w:rPr>
              <w:t>Discounts</w:t>
            </w:r>
          </w:p>
        </w:tc>
        <w:tc>
          <w:tcPr>
            <w:tcW w:w="185"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Non-recurring:</w:t>
            </w:r>
          </w:p>
        </w:tc>
        <w:tc>
          <w:tcPr>
            <w:tcW w:w="60" w:type="dxa"/>
            <w:tcBorders/>
            <w:vAlign w:val="bottom"/>
          </w:tcPr>
          <w:p>
            <w:pPr>
              <w:pStyle w:val="TableContents"/>
              <w:bidi w:val="0"/>
              <w:spacing w:before="0" w:after="283"/>
              <w:jc w:val="right"/>
              <w:rPr/>
            </w:pPr>
            <w:r>
              <w:rPr/>
              <w:t> </w:t>
            </w:r>
          </w:p>
        </w:tc>
        <w:tc>
          <w:tcPr>
            <w:tcW w:w="71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30" w:type="dxa"/>
            <w:gridSpan w:val="2"/>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1,447</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283"/>
              <w:jc w:val="left"/>
              <w:rPr/>
            </w:pPr>
            <w:r>
              <w:rPr/>
              <w:t>Recurring: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27,749</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283"/>
              <w:jc w:val="left"/>
              <w:rPr/>
            </w:pPr>
            <w:r>
              <w:rPr/>
              <w:t>Non-recurring: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Recurring: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 rate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fair values, and related carrying amounts, of the Company’s financial instruments that are not previously disclosed in the recurring fair value section are as follows (dollars in thousands):</w:t>
      </w:r>
    </w:p>
    <w:p>
      <w:pPr>
        <w:pStyle w:val="TextBody"/>
        <w:bidi w:val="0"/>
        <w:spacing w:before="0" w:after="0"/>
        <w:jc w:val="left"/>
        <w:rPr/>
      </w:pPr>
      <w:r>
        <w:rPr/>
      </w:r>
    </w:p>
    <w:tbl>
      <w:tblPr>
        <w:tblW w:w="9400" w:type="dxa"/>
        <w:jc w:val="left"/>
        <w:tblInd w:w="0" w:type="dxa"/>
        <w:tblLayout w:type="fixed"/>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75"/>
      </w:tblGrid>
      <w:tr>
        <w:trPr/>
        <w:tc>
          <w:tcPr>
            <w:tcW w:w="4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September 30, 2023</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352,424</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2,951,488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2,893,974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2,893,974</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60" w:right="0" w:hanging="180"/>
              <w:jc w:val="left"/>
              <w:rPr/>
            </w:pPr>
            <w:r>
              <w:rPr/>
              <w:t>Loans held for sale (best efforts)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5,913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5,913</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17,672</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3,620,614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3,619,724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3,619,724</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3,922</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33,321</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67,262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67,262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400" w:type="dxa"/>
        <w:jc w:val="left"/>
        <w:tblInd w:w="0" w:type="dxa"/>
        <w:tblLayout w:type="fixed"/>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75"/>
      </w:tblGrid>
      <w:tr>
        <w:trPr/>
        <w:tc>
          <w:tcPr>
            <w:tcW w:w="4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2,708,793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2,662,609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2,662,609</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60" w:right="0" w:hanging="180"/>
              <w:jc w:val="left"/>
              <w:rPr/>
            </w:pPr>
            <w:r>
              <w:rPr/>
              <w:t>Loans held for sale (best efforts)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20,745</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3,406,430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3,405,222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3,405,222</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34,606</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70,835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SUBSEQUENT EVENTS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Dividend Declaration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October 19, 2023, the Company’s board of directors declared a cash dividend of $0.13 per share of common stock to be paid on November 13, 2023 to all shareholders of record as of the close of business on October 30, 2023.</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z w:val="20"/>
          <w:shd w:fill="FFFFFF" w:val="clear"/>
        </w:rPr>
        <w:t>Redemption of Subordinated Debt</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On November 8, 2023, the Company will notify holders of its Subordinated Debt Securities due December 15, 2028 (the “2028 Notes”) that it has elected to redeem all the outstanding 2028 Notes effective on December 15, 2023 (the “Redemption Date”).  Each of the 2028 Notes will be redeemed pursuant to the terms of the Indenture, dated as of December 14, 2018, between the Company and Ardent Trust Company, N.A., as trustee for the 2028 Notes (the “Trustee”), at the redemption price totaling approximately $12.4 million in aggregate principal amount, plus accrued and unpaid interest totaling approximately $146 thousand, which will represent a price equal to 100% of the principal amount of the 2028 Notes plus any accrued and unpaid interest thereon to the Redemption Date.  As provided in the redemption notice, on the Redemption Date, the Trustee will pay the relevant Redemption Price to the holders of 2028 Notes appearing on the books and records of the Trustee on the Redemption Date.  The 2028 Notes will cease to represent the right to payment of principal and interest upon the payment to the holders of 2028 Notes by the Trustee representing the Redemption Price.  The Company received all necessary regulatory approvals for the redemption of the 2028 Notes.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9" w:name="ManagementsDiscussionandA"/>
      <w:bookmarkStart w:id="10" w:name="ManagementsDiscussionandA"/>
      <w:bookmarkEnd w:id="10"/>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rPr>
            </w:pPr>
            <w:r>
              <w:rPr>
                <w:b/>
              </w:rPr>
              <w:t>Item 2.</w:t>
            </w:r>
          </w:p>
        </w:tc>
        <w:tc>
          <w:tcPr>
            <w:tcW w:w="905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2022 (the “2022 Annual Report on Form 10-K”) filed with the Securities and Exchange Commission (the “SEC”) pursuant to Rule 424(b) of the Securities Act of 1933, as amended (the “Securities Act”), on March 13, 2023.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w:t>
      </w:r>
      <w:r>
        <w:rPr>
          <w:rFonts w:ascii="Times New Roman;Times;serif" w:hAnsi="Times New Roman;Times;serif"/>
          <w:b/>
          <w:color w:val="000000"/>
          <w:sz w:val="20"/>
          <w:shd w:fill="FFFFFF" w:val="clear"/>
        </w:rPr>
        <w:t>autionary Notice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rPr/>
      </w:pPr>
      <w:r>
        <w:rPr/>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both"/>
              <w:rPr/>
            </w:pPr>
            <w:r>
              <w:rPr/>
              <w:t>potential recession in the United States and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tc>
      </w:tr>
    </w:tbl>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0"/>
              <w:jc w:val="both"/>
              <w:rPr/>
            </w:pPr>
            <w:r>
              <w:rPr/>
              <w:t>increased competition for deposits and related changes in deposit customer behavior;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persistence of the current inflationary environment in the United States and our market areas, and its impact on market interest rates, the economy and credit quality;</w:t>
            </w:r>
          </w:p>
        </w:tc>
      </w:tr>
    </w:tbl>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both"/>
              <w:rPr/>
            </w:pPr>
            <w:r>
              <w:rPr/>
              <w:t>the adequacy of the allowance for credit losses;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our ability to effectively execute our expansion strategy and manage our growth, including identifying and consummating suitable acquisitions;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business and economic conditions, particularly those affecting our market areas, as well as the concentration of our business in such market areas;</w:t>
            </w:r>
          </w:p>
        </w:tc>
      </w:tr>
    </w:tbl>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0"/>
              <w:jc w:val="both"/>
              <w:rPr/>
            </w:pPr>
            <w:r>
              <w:rPr/>
              <w:t>high concentrations of loans secured by real estate located in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risks associated with our commercial loan portfolio, including the risk of declines in commercial real estate prices or deterioration in value of the general business assets that secure such loans;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potential changes in the prices, values and sales volumes of commercial and residential real estate securing our real estate loans;</w:t>
            </w:r>
          </w:p>
        </w:tc>
      </w:tr>
    </w:tbl>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0"/>
              <w:jc w:val="both"/>
              <w:rPr/>
            </w:pPr>
            <w:r>
              <w:rPr/>
              <w:t>increases in unemployment rates in the United States and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risks associated with our agricultural loan portfolio, including the heightened sensitivity to weather conditions, commodity prices, and other factors generally outside the borrowers and our control;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risks related to the significant amount of credit that we have extended to a limited number of borrowers and in a limited geographic area;</w:t>
            </w:r>
          </w:p>
        </w:tc>
      </w:tr>
    </w:tbl>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both"/>
              <w:rPr/>
            </w:pPr>
            <w:r>
              <w:rPr/>
              <w:t>public funds deposits comprising a relatively high percentage of our deposits;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potential impairment on the goodwill we have recorded or may record in connection with business acquisitions;</w:t>
            </w:r>
          </w:p>
        </w:tc>
      </w:tr>
    </w:tbl>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0"/>
              <w:jc w:val="both"/>
              <w:rPr/>
            </w:pPr>
            <w:r>
              <w:rPr/>
              <w:t>our ability to maintain our reputation;</w:t>
            </w:r>
          </w:p>
        </w:tc>
      </w:tr>
    </w:tbl>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both"/>
              <w:rPr/>
            </w:pPr>
            <w:r>
              <w:rPr/>
              <w:t>our ability to successfully manage our credit risk and the sufficiency of our allowance for credit losses;</w:t>
            </w:r>
          </w:p>
        </w:tc>
      </w:tr>
    </w:tbl>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both"/>
              <w:rPr/>
            </w:pPr>
            <w:r>
              <w:rPr/>
              <w:t>our ability to attract, hire and retain qualified management personnel;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our dependence on our management team, including our ability to retain executive officers and key employees and their customer and community relationships;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t>interest rate fluctuations, which could have an adverse effect on our profitability;</w:t>
            </w:r>
          </w:p>
        </w:tc>
      </w:tr>
    </w:tbl>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0"/>
              <w:jc w:val="both"/>
              <w:rPr/>
            </w:pPr>
            <w:r>
              <w:rPr/>
              <w:t>competition from banks, credit unions and other financial services providers;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our ability to keep pace with technological change or difficulties we may experience when implementing new technologies;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risks related to cyber incidents or other system failures, such as service denials, cyber-attacks, security breaches and data breaches;</w:t>
            </w:r>
          </w:p>
        </w:tc>
      </w:tr>
    </w:tbl>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jc w:val="both"/>
              <w:rPr/>
            </w:pPr>
            <w:r>
              <w:rPr/>
              <w:t>our ability to maintain effective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employee error, fraudulent activity by employees or customers and inaccurate or incomplete information about our customers and counterparties;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increased capital requirements imposed by banking regulators, which may require us to raise capital at a time when capital is not available on favorable terms or at all;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our ability to maintain adequate liquidity and to raise necessary capital to fund our acquisition strategy and operations or to meet increased minimum regulatory capital levels;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costs and effects of litigation, investigations or similar matters to which we may be subject, including any effect on our reputation;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natural disasters, severe weather, acts of god, acts of war or terrorism, outbreaks of hostilities, public health outbreaks (such as the COVID-19 pandemic or any future pandemic), other international or domestic calamities, and other external events or matters beyond our control;</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jc w:val="both"/>
              <w:rPr/>
            </w:pPr>
            <w:r>
              <w:rPr/>
              <w:t>uncertainty regarding United States fiscal debt and budget matters;</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both"/>
              <w:rPr/>
            </w:pPr>
            <w:r>
              <w:rPr/>
              <w:t>tariffs and trade barriers;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foregoing factors should not be construed as exhaustive and should be read together with the other cautionary statements included in this Form 10-Q and the risk factors set forth in our 2022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maintains an Internet web site at </w:t>
      </w:r>
      <w:r>
        <w:rPr>
          <w:rFonts w:ascii="Times New Roman;Times;serif" w:hAnsi="Times New Roman;Times;serif"/>
          <w:i/>
          <w:color w:val="000000"/>
          <w:sz w:val="20"/>
          <w:u w:val="single"/>
          <w:shd w:fill="FFFFFF" w:val="clear"/>
        </w:rPr>
        <w:t>www.spfi.bank</w:t>
      </w:r>
      <w:r>
        <w:rPr>
          <w:rFonts w:ascii="Times New Roman;Times;serif" w:hAnsi="Times New Roman;Times;serif"/>
          <w:color w:val="000000"/>
          <w:sz w:val="20"/>
          <w:shd w:fill="FFFFFF" w:val="clear"/>
        </w:rPr>
        <w:t xml:space="preserve">. The Company makes available, free of charge, on its web site (under </w:t>
      </w:r>
      <w:r>
        <w:rPr>
          <w:rFonts w:ascii="Times New Roman;Times;serif" w:hAnsi="Times New Roman;Times;serif"/>
          <w:i/>
          <w:color w:val="000000"/>
          <w:sz w:val="20"/>
          <w:u w:val="single"/>
          <w:shd w:fill="FFFFFF" w:val="clear"/>
        </w:rPr>
        <w:t>www.spfi.bank/financials-filings/sec-filings</w:t>
      </w:r>
      <w:r>
        <w:rPr>
          <w:rFonts w:ascii="Times New Roman;Times;serif" w:hAnsi="Times New Roman;Times;serif"/>
          <w:color w:val="000000"/>
          <w:sz w:val="20"/>
          <w:shd w:fill="FFFFFF" w:val="clear"/>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Times;serif" w:hAnsi="Times New Roman;Times;serif"/>
          <w:i/>
          <w:color w:val="000000"/>
          <w:sz w:val="20"/>
          <w:u w:val="single"/>
          <w:shd w:fill="FFFFFF" w:val="clear"/>
        </w:rPr>
        <w:t>www.spfi.bank/corporate-governance/documents-charters</w:t>
      </w:r>
      <w:r>
        <w:rPr>
          <w:rFonts w:ascii="Times New Roman;Times;serif" w:hAnsi="Times New Roman;Times;serif"/>
          <w:color w:val="000000"/>
          <w:sz w:val="20"/>
          <w:shd w:fill="FFFFFF" w:val="clear"/>
        </w:rPr>
        <w:t xml:space="preserve"> ) links to the Company’s Code of Conduct and the charters for its board committees. In addition, the SEC maintains an Internet site (at </w:t>
      </w:r>
      <w:r>
        <w:rPr>
          <w:rFonts w:ascii="Times New Roman;Times;serif" w:hAnsi="Times New Roman;Times;serif"/>
          <w:i/>
          <w:color w:val="000000"/>
          <w:sz w:val="20"/>
          <w:u w:val="single"/>
          <w:shd w:fill="FFFFFF" w:val="clear"/>
        </w:rPr>
        <w:t>www.sec.gov</w:t>
      </w:r>
      <w:r>
        <w:rPr>
          <w:rFonts w:ascii="Times New Roman;Times;serif" w:hAnsi="Times New Roman;Times;serif"/>
          <w:color w:val="000000"/>
          <w:sz w:val="20"/>
          <w:shd w:fill="FFFFFF" w:val="clear"/>
        </w:rPr>
        <w:t xml:space="preserve"> ) that contains reports, proxy and information statements, and other information regarding issuers that file electronically with the SEC.</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routinely posts important information for investors on its web site (under </w:t>
      </w:r>
      <w:r>
        <w:rPr>
          <w:rFonts w:ascii="Times New Roman;Times;serif" w:hAnsi="Times New Roman;Times;serif"/>
          <w:i/>
          <w:color w:val="000000"/>
          <w:sz w:val="20"/>
          <w:u w:val="single"/>
          <w:shd w:fill="FFFFFF" w:val="clear"/>
        </w:rPr>
        <w:t>www.spfi.bank</w:t>
      </w:r>
      <w:r>
        <w:rPr>
          <w:rFonts w:ascii="Times New Roman;Times;serif" w:hAnsi="Times New Roman;Times;serif"/>
          <w:color w:val="000000"/>
          <w:sz w:val="20"/>
          <w:shd w:fill="FFFFFF" w:val="clear"/>
        </w:rPr>
        <w:t xml:space="preserve"> and, more specifically, under the News &amp; Events tab at </w:t>
      </w:r>
      <w:r>
        <w:rPr>
          <w:rFonts w:ascii="Times New Roman;Times;serif" w:hAnsi="Times New Roman;Times;serif"/>
          <w:i/>
          <w:color w:val="000000"/>
          <w:sz w:val="20"/>
          <w:u w:val="single"/>
          <w:shd w:fill="FFFFFF" w:val="clear"/>
        </w:rPr>
        <w:t>www.spfi.bank/news-events/press-releases</w:t>
      </w:r>
      <w:r>
        <w:rPr>
          <w:rFonts w:ascii="Times New Roman;Times;serif" w:hAnsi="Times New Roman;Times;serif"/>
          <w:color w:val="000000"/>
          <w:sz w:val="20"/>
          <w:shd w:fill="FFFFFF" w:val="clear"/>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contained on, or that may be accessed through, the Company’s web site is not incorporated by reference into, and is not a part of, this Form 10-Q.</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Economic Conditions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financial condition at September 30, 2023, as well as the results of operations for the three and nine months ended September 30, 2023, have been impacted by significant increases in market interest rates due to the increases in the prime lending rate since March 2022 by the Federal Reserve in response to the persistent inflationary environment in the United States. In addition, recent events in other parts of the banking industry have brought additional focus on investment securities portfolios, interest rate risk, liquidity management and capital. As a result, we are providing additional information on our deposits and liquidity position at September 30, 2023 to help illustrate the more traditional and stable nature of our banking model compared to other financial institutions who have recently experienced liquidity and capital challenges.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Deposits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Total deposits were $3.62 billion at September 30, 2023, an increase of $214.2 million during the nine months ended September 30, 2023. Total deposits were comprised of 29% of noninterest-bearing deposits, 10% of time deposits and 61% of interest-bearing nonmaturity deposits. Retail customers accounted for approximately 44% of total deposits, with commercial and public funds accounting for approximately 47% and 9%, respectively. Our average deposit account size was approximately $36 thousand. An estimated 16% of total deposits were uninsured or uncollateralized at September 30, 2023.</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had available borrowing capacity of up to approximately $1.89 billion through the FHLB, the FRB’s Discount Window, and access to the FRB’s Term Funding Program (“BTFP”) at September 30, 2023. The unused line with the FHLB was $1.09 billion and the unused line with the FRB was $612 million at September 30, 2023. No advances were made on these lines during the first three quarters of 2023 and there are no outstanding advances as of September 30, 2023. We have not pledged any securities for the BTFP but have approximately $179 million of available securities that can be used as collateral. Additionally, we have uncollateralized lines with multiple banks totaling $140 million at September 30, 2023. These lines are not guaranteed and we are not placing reliance on them.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had net income of $13.5 million, or $0.78 per diluted common share, for the three months ended September 30, 2023, compared to net income of $15.5 million, or $0.86 per diluted common share for the three months ended September 30, 2022. Return on average equity (annualized) was 14.01% and return on average assets (annualized) was 1.27% for the three months ended September 30, 2023, compared to 17.37% and 1.53%, respectively, for the three months ended September 30,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had net income of $52.4 million, or $3.01 per diluted common share for the nine months ended September 30, 2023, compared to net income of $45.6 million, or $2.52 per diluted common share for the nine months ended September 30, 2022. Return on average equity (annualized) was 18.70% and return on average assets (annualized) was 1.73% for the nine months ended September 30, 2023, compared to 16.25% and 1.53%, respectively, for the nine months ended September 30, 2022.</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Net Interest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67"/>
        <w:gridCol w:w="60"/>
        <w:gridCol w:w="140"/>
        <w:gridCol w:w="980"/>
        <w:gridCol w:w="60"/>
        <w:gridCol w:w="60"/>
        <w:gridCol w:w="140"/>
        <w:gridCol w:w="680"/>
        <w:gridCol w:w="60"/>
        <w:gridCol w:w="60"/>
        <w:gridCol w:w="72"/>
        <w:gridCol w:w="533"/>
        <w:gridCol w:w="215"/>
        <w:gridCol w:w="60"/>
        <w:gridCol w:w="140"/>
        <w:gridCol w:w="980"/>
        <w:gridCol w:w="60"/>
        <w:gridCol w:w="60"/>
        <w:gridCol w:w="140"/>
        <w:gridCol w:w="680"/>
        <w:gridCol w:w="60"/>
        <w:gridCol w:w="60"/>
        <w:gridCol w:w="72"/>
        <w:gridCol w:w="533"/>
        <w:gridCol w:w="233"/>
      </w:tblGrid>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Three Months Ended September 30,</w:t>
            </w:r>
          </w:p>
        </w:tc>
        <w:tc>
          <w:tcPr>
            <w:tcW w:w="233" w:type="dxa"/>
            <w:tcBorders/>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33" w:type="dxa"/>
            <w:tcBorders/>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Yield/</w:t>
            </w:r>
          </w:p>
          <w:p>
            <w:pPr>
              <w:pStyle w:val="TableContents"/>
              <w:bidi w:val="0"/>
              <w:spacing w:before="0" w:after="0"/>
              <w:jc w:val="center"/>
              <w:rPr>
                <w:b/>
              </w:rPr>
            </w:pPr>
            <w:r>
              <w:rPr>
                <w:b/>
              </w:rPr>
              <w:t>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Yield/</w:t>
            </w:r>
          </w:p>
          <w:p>
            <w:pPr>
              <w:pStyle w:val="TableContents"/>
              <w:bidi w:val="0"/>
              <w:spacing w:before="0" w:after="0"/>
              <w:jc w:val="center"/>
              <w:rPr>
                <w:b/>
              </w:rPr>
            </w:pPr>
            <w:r>
              <w:rPr>
                <w:b/>
              </w:rPr>
              <w:t>Rate</w:t>
            </w:r>
          </w:p>
        </w:tc>
        <w:tc>
          <w:tcPr>
            <w:tcW w:w="233" w:type="dxa"/>
            <w:tcBorders/>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5" w:type="dxa"/>
            <w:gridSpan w:val="22"/>
            <w:tcBorders/>
            <w:vAlign w:val="bottom"/>
          </w:tcPr>
          <w:p>
            <w:pPr>
              <w:pStyle w:val="TableContents"/>
              <w:bidi w:val="0"/>
              <w:spacing w:before="0" w:after="0"/>
              <w:jc w:val="center"/>
              <w:rPr>
                <w:b/>
              </w:rPr>
            </w:pPr>
            <w:r>
              <w:rPr>
                <w:b/>
              </w:rPr>
              <w:t>(Dollars in thousands)</w:t>
            </w:r>
          </w:p>
        </w:tc>
        <w:tc>
          <w:tcPr>
            <w:tcW w:w="233" w:type="dxa"/>
            <w:tcBorders/>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144" w:right="0" w:hanging="144"/>
              <w:jc w:val="left"/>
              <w:rPr>
                <w:b/>
              </w:rPr>
            </w:pPr>
            <w:r>
              <w:rPr>
                <w:b/>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144" w:right="0" w:hanging="144"/>
              <w:jc w:val="left"/>
              <w:rPr/>
            </w:pPr>
            <w:r>
              <w:rPr/>
              <w:t>Interest-earning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5"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lineRule="auto" w:line="240" w:before="0" w:after="0"/>
              <w:ind w:left="324" w:right="0" w:hanging="144"/>
              <w:jc w:val="left"/>
              <w:rPr/>
            </w:pPr>
            <w:r>
              <w:rPr/>
              <w:t>Loans(1)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3,005,699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46,250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6.10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2,671,183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34,464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5.12</w:t>
            </w:r>
          </w:p>
        </w:tc>
        <w:tc>
          <w:tcPr>
            <w:tcW w:w="233" w:type="dxa"/>
            <w:tcBorders/>
            <w:shd w:fill="CCEEFF" w:val="clear"/>
            <w:vAlign w:val="bottom"/>
          </w:tcPr>
          <w:p>
            <w:pPr>
              <w:pStyle w:val="TableContents"/>
              <w:bidi w:val="0"/>
              <w:spacing w:before="0" w:after="0"/>
              <w:jc w:val="left"/>
              <w:rPr/>
            </w:pPr>
            <w:r>
              <w:rPr/>
              <w:t>%</w:t>
            </w:r>
          </w:p>
        </w:tc>
      </w:tr>
      <w:tr>
        <w:trPr/>
        <w:tc>
          <w:tcPr>
            <w:tcW w:w="4067" w:type="dxa"/>
            <w:tcBorders/>
            <w:vAlign w:val="bottom"/>
          </w:tcPr>
          <w:p>
            <w:pPr>
              <w:pStyle w:val="TableContents"/>
              <w:bidi w:val="0"/>
              <w:spacing w:before="0" w:after="0"/>
              <w:ind w:left="324" w:right="0" w:hanging="144"/>
              <w:jc w:val="left"/>
              <w:rPr/>
            </w:pPr>
            <w:r>
              <w:rPr/>
              <w:t>Investment securities – taxable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561,068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3.83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617,722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4,166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2.68</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159,577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2.62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215,508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1,428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2.63</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lineRule="auto" w:line="240" w:before="0" w:after="0"/>
              <w:ind w:left="324" w:right="0" w:hanging="144"/>
              <w:jc w:val="left"/>
              <w:rPr/>
            </w:pPr>
            <w:r>
              <w:rPr/>
              <w:t>Other interest-earning assets(2)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325,201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4.92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293,636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1.83</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Total interest-earning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4,051,545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56,757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5.56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3,798,049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41,409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4.33</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144" w:right="0" w:hanging="144"/>
              <w:jc w:val="left"/>
              <w:rPr/>
            </w:pPr>
            <w:r>
              <w:rPr/>
              <w:t>Noninterest-earning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177,216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208,135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504" w:right="0" w:hanging="144"/>
              <w:jc w:val="left"/>
              <w:rPr/>
            </w:pPr>
            <w:r>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4,228,761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4,006,184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144" w:right="0" w:hanging="144"/>
              <w:jc w:val="left"/>
              <w:rPr>
                <w:b/>
              </w:rPr>
            </w:pPr>
            <w:r>
              <w:rPr>
                <w:b/>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144" w:right="0" w:hanging="144"/>
              <w:jc w:val="left"/>
              <w:rPr/>
            </w:pPr>
            <w:r>
              <w:rPr/>
              <w:t>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NOW, savings and money market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2,223,014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16,061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2.87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1,873,786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0.74</w:t>
            </w:r>
          </w:p>
        </w:tc>
        <w:tc>
          <w:tcPr>
            <w:tcW w:w="233" w:type="dxa"/>
            <w:tcBorders/>
            <w:shd w:fill="CCEEFF" w:val="clear"/>
            <w:vAlign w:val="bottom"/>
          </w:tcPr>
          <w:p>
            <w:pPr>
              <w:pStyle w:val="TableContents"/>
              <w:bidi w:val="0"/>
              <w:spacing w:before="0" w:after="0"/>
              <w:jc w:val="left"/>
              <w:rPr/>
            </w:pPr>
            <w:r>
              <w:rPr/>
              <w:t>%</w:t>
            </w:r>
          </w:p>
        </w:tc>
      </w:tr>
      <w:tr>
        <w:trPr/>
        <w:tc>
          <w:tcPr>
            <w:tcW w:w="4067" w:type="dxa"/>
            <w:tcBorders/>
            <w:vAlign w:val="bottom"/>
          </w:tcPr>
          <w:p>
            <w:pPr>
              <w:pStyle w:val="TableContents"/>
              <w:bidi w:val="0"/>
              <w:spacing w:before="0" w:after="0"/>
              <w:ind w:left="324" w:right="0" w:hanging="144"/>
              <w:jc w:val="left"/>
              <w:rPr/>
            </w:pPr>
            <w:r>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344,395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3.35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330,133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1.23</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Short-term borrowings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0.00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0.00</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324" w:right="0" w:hanging="144"/>
              <w:jc w:val="left"/>
              <w:rPr/>
            </w:pPr>
            <w:r>
              <w:rPr/>
              <w:t>Notes payable &amp; other longer-term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right"/>
              <w:rPr/>
            </w:pPr>
            <w:r>
              <w:rPr/>
              <w:t>0.00</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Subordinated debt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76,077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5.28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75,914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0"/>
              <w:jc w:val="right"/>
              <w:rPr/>
            </w:pPr>
            <w:r>
              <w:rPr/>
              <w:t>5.29</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324" w:right="0" w:hanging="144"/>
              <w:jc w:val="left"/>
              <w:rPr/>
            </w:pPr>
            <w:r>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7.37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3.91</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504" w:right="0" w:hanging="144"/>
              <w:jc w:val="left"/>
              <w:rPr/>
            </w:pPr>
            <w:r>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2,689,882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20,839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bottom"/>
          </w:tcPr>
          <w:p>
            <w:pPr>
              <w:pStyle w:val="TableContents"/>
              <w:bidi w:val="0"/>
              <w:spacing w:before="0" w:after="0"/>
              <w:jc w:val="right"/>
              <w:rPr/>
            </w:pPr>
            <w:r>
              <w:rPr/>
              <w:t>3.07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2,326,230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6,006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bottom"/>
          </w:tcPr>
          <w:p>
            <w:pPr>
              <w:pStyle w:val="TableContents"/>
              <w:bidi w:val="0"/>
              <w:spacing w:before="0" w:after="0"/>
              <w:jc w:val="right"/>
              <w:rPr/>
            </w:pPr>
            <w:r>
              <w:rPr/>
              <w:t>1.02</w:t>
            </w:r>
          </w:p>
        </w:tc>
        <w:tc>
          <w:tcPr>
            <w:tcW w:w="233" w:type="dxa"/>
            <w:tcBorders/>
            <w:shd w:fill="CCEEFF" w:val="clear"/>
            <w:vAlign w:val="bottom"/>
          </w:tcPr>
          <w:p>
            <w:pPr>
              <w:pStyle w:val="TableContents"/>
              <w:bidi w:val="0"/>
              <w:spacing w:before="0" w:after="0"/>
              <w:jc w:val="left"/>
              <w:rPr/>
            </w:pPr>
            <w:r>
              <w:rPr/>
              <w:t>%</w:t>
            </w:r>
          </w:p>
        </w:tc>
      </w:tr>
      <w:tr>
        <w:trPr/>
        <w:tc>
          <w:tcPr>
            <w:tcW w:w="40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144" w:right="0" w:hanging="144"/>
              <w:jc w:val="left"/>
              <w:rPr/>
            </w:pPr>
            <w:r>
              <w:rPr/>
              <w:t>Noninterest-bearing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324" w:right="0" w:hanging="144"/>
              <w:jc w:val="left"/>
              <w:rPr/>
            </w:pPr>
            <w:r>
              <w:rPr/>
              <w:t>Noninterest-bearing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1,071,175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1,248,804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324" w:right="0" w:hanging="144"/>
              <w:jc w:val="left"/>
              <w:rPr/>
            </w:pPr>
            <w:r>
              <w:rPr/>
              <w:t>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85,713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78,139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504" w:right="0" w:hanging="144"/>
              <w:jc w:val="left"/>
              <w:rPr/>
            </w:pPr>
            <w:r>
              <w:rPr/>
              <w:t>Total noninterest-bearing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1,156,888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1,326,943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504" w:right="0" w:hanging="144"/>
              <w:jc w:val="left"/>
              <w:rPr/>
            </w:pPr>
            <w:r>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381,991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353,011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684" w:right="0" w:hanging="144"/>
              <w:jc w:val="left"/>
              <w:rPr/>
            </w:pPr>
            <w:r>
              <w:rPr/>
              <w:t>Total liabilities and stockholders’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4,228,761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4,006,184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4067" w:type="dxa"/>
            <w:tcBorders/>
            <w:vAlign w:val="bottom"/>
          </w:tcPr>
          <w:p>
            <w:pPr>
              <w:pStyle w:val="TableContents"/>
              <w:bidi w:val="0"/>
              <w:spacing w:before="0" w:after="0"/>
              <w:ind w:left="144" w:right="0" w:hanging="144"/>
              <w:jc w:val="left"/>
              <w:rPr/>
            </w:pPr>
            <w:r>
              <w:rPr/>
              <w:t>Net 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35,918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35,403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4067" w:type="dxa"/>
            <w:tcBorders/>
            <w:shd w:fill="CCEEFF" w:val="clear"/>
            <w:vAlign w:val="bottom"/>
          </w:tcPr>
          <w:p>
            <w:pPr>
              <w:pStyle w:val="TableContents"/>
              <w:bidi w:val="0"/>
              <w:spacing w:before="0" w:after="0"/>
              <w:ind w:left="144" w:right="0" w:hanging="144"/>
              <w:jc w:val="left"/>
              <w:rPr/>
            </w:pPr>
            <w:r>
              <w:rPr/>
              <w:t>Net interest spread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pPr>
            <w:r>
              <w:rPr/>
              <w:t>2.48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pPr>
            <w:r>
              <w:rPr/>
              <w:t>3.30</w:t>
            </w:r>
          </w:p>
        </w:tc>
        <w:tc>
          <w:tcPr>
            <w:tcW w:w="233" w:type="dxa"/>
            <w:tcBorders/>
            <w:shd w:fill="CCEEFF" w:val="clear"/>
            <w:vAlign w:val="bottom"/>
          </w:tcPr>
          <w:p>
            <w:pPr>
              <w:pStyle w:val="TableContents"/>
              <w:bidi w:val="0"/>
              <w:spacing w:before="0" w:after="0"/>
              <w:jc w:val="left"/>
              <w:rPr/>
            </w:pPr>
            <w:r>
              <w:rPr/>
              <w:t>%</w:t>
            </w:r>
          </w:p>
        </w:tc>
      </w:tr>
      <w:tr>
        <w:trPr/>
        <w:tc>
          <w:tcPr>
            <w:tcW w:w="4067" w:type="dxa"/>
            <w:tcBorders/>
            <w:vAlign w:val="bottom"/>
          </w:tcPr>
          <w:p>
            <w:pPr>
              <w:pStyle w:val="TableContents"/>
              <w:bidi w:val="0"/>
              <w:spacing w:lineRule="auto" w:line="240" w:before="0" w:after="0"/>
              <w:ind w:left="144" w:right="0" w:hanging="144"/>
              <w:jc w:val="left"/>
              <w:rPr/>
            </w:pPr>
            <w:r>
              <w:rPr/>
              <w:t>Net interest margin(3)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3" w:type="dxa"/>
            <w:tcBorders>
              <w:bottom w:val="double" w:sz="8" w:space="0" w:color="000000"/>
            </w:tcBorders>
            <w:tcMar>
              <w:bottom w:w="28" w:type="dxa"/>
            </w:tcMar>
            <w:vAlign w:val="bottom"/>
          </w:tcPr>
          <w:p>
            <w:pPr>
              <w:pStyle w:val="TableContents"/>
              <w:bidi w:val="0"/>
              <w:spacing w:before="0" w:after="0"/>
              <w:jc w:val="right"/>
              <w:rPr/>
            </w:pPr>
            <w:r>
              <w:rPr/>
              <w:t>3.52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3" w:type="dxa"/>
            <w:tcBorders>
              <w:bottom w:val="double" w:sz="8" w:space="0" w:color="000000"/>
            </w:tcBorders>
            <w:tcMar>
              <w:bottom w:w="28" w:type="dxa"/>
            </w:tcMar>
            <w:vAlign w:val="bottom"/>
          </w:tcPr>
          <w:p>
            <w:pPr>
              <w:pStyle w:val="TableContents"/>
              <w:bidi w:val="0"/>
              <w:spacing w:before="0" w:after="0"/>
              <w:jc w:val="right"/>
              <w:rPr/>
            </w:pPr>
            <w:r>
              <w:rPr/>
              <w:t>3.70</w:t>
            </w:r>
          </w:p>
        </w:tc>
        <w:tc>
          <w:tcPr>
            <w:tcW w:w="233"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37"/>
        <w:gridCol w:w="60"/>
        <w:gridCol w:w="140"/>
        <w:gridCol w:w="980"/>
        <w:gridCol w:w="60"/>
        <w:gridCol w:w="60"/>
        <w:gridCol w:w="140"/>
        <w:gridCol w:w="800"/>
        <w:gridCol w:w="60"/>
        <w:gridCol w:w="60"/>
        <w:gridCol w:w="71"/>
        <w:gridCol w:w="529"/>
        <w:gridCol w:w="215"/>
        <w:gridCol w:w="60"/>
        <w:gridCol w:w="140"/>
        <w:gridCol w:w="980"/>
        <w:gridCol w:w="60"/>
        <w:gridCol w:w="60"/>
        <w:gridCol w:w="140"/>
        <w:gridCol w:w="800"/>
        <w:gridCol w:w="60"/>
        <w:gridCol w:w="60"/>
        <w:gridCol w:w="71"/>
        <w:gridCol w:w="529"/>
        <w:gridCol w:w="233"/>
      </w:tblGrid>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Nine Months Ended September 30,</w:t>
            </w:r>
          </w:p>
        </w:tc>
        <w:tc>
          <w:tcPr>
            <w:tcW w:w="233"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33"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Yield/</w:t>
            </w:r>
          </w:p>
          <w:p>
            <w:pPr>
              <w:pStyle w:val="TableContents"/>
              <w:bidi w:val="0"/>
              <w:spacing w:before="0" w:after="0"/>
              <w:jc w:val="center"/>
              <w:rPr>
                <w:b/>
              </w:rPr>
            </w:pPr>
            <w:r>
              <w:rPr>
                <w:b/>
              </w:rPr>
              <w:t>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Yield/</w:t>
            </w:r>
          </w:p>
          <w:p>
            <w:pPr>
              <w:pStyle w:val="TableContents"/>
              <w:bidi w:val="0"/>
              <w:spacing w:before="0" w:after="0"/>
              <w:jc w:val="center"/>
              <w:rPr>
                <w:b/>
              </w:rPr>
            </w:pPr>
            <w:r>
              <w:rPr>
                <w:b/>
              </w:rPr>
              <w:t>Rate</w:t>
            </w:r>
          </w:p>
        </w:tc>
        <w:tc>
          <w:tcPr>
            <w:tcW w:w="233"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5" w:type="dxa"/>
            <w:gridSpan w:val="22"/>
            <w:tcBorders/>
            <w:vAlign w:val="bottom"/>
          </w:tcPr>
          <w:p>
            <w:pPr>
              <w:pStyle w:val="TableContents"/>
              <w:bidi w:val="0"/>
              <w:spacing w:before="0" w:after="0"/>
              <w:jc w:val="center"/>
              <w:rPr>
                <w:b/>
              </w:rPr>
            </w:pPr>
            <w:r>
              <w:rPr>
                <w:b/>
              </w:rPr>
              <w:t>(Dollars in thousands)</w:t>
            </w:r>
          </w:p>
        </w:tc>
        <w:tc>
          <w:tcPr>
            <w:tcW w:w="233"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144" w:right="0" w:hanging="144"/>
              <w:jc w:val="left"/>
              <w:rPr>
                <w:b/>
              </w:rPr>
            </w:pPr>
            <w:r>
              <w:rPr>
                <w:b/>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144" w:right="0" w:hanging="144"/>
              <w:jc w:val="left"/>
              <w:rPr/>
            </w:pPr>
            <w:r>
              <w:rPr/>
              <w:t>Interest-earning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0"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lineRule="auto" w:line="240" w:before="0" w:after="0"/>
              <w:ind w:left="324" w:right="0" w:hanging="144"/>
              <w:jc w:val="left"/>
              <w:rPr/>
            </w:pPr>
            <w:r>
              <w:rPr/>
              <w:t>Loans(1)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2,892,887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128,724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5.95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2,567,683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99,262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5.17</w:t>
            </w:r>
          </w:p>
        </w:tc>
        <w:tc>
          <w:tcPr>
            <w:tcW w:w="233" w:type="dxa"/>
            <w:tcBorders/>
            <w:shd w:fill="CCEEFF" w:val="clear"/>
            <w:vAlign w:val="bottom"/>
          </w:tcPr>
          <w:p>
            <w:pPr>
              <w:pStyle w:val="TableContents"/>
              <w:bidi w:val="0"/>
              <w:spacing w:before="0" w:after="0"/>
              <w:jc w:val="left"/>
              <w:rPr/>
            </w:pPr>
            <w:r>
              <w:rPr/>
              <w:t>%</w:t>
            </w:r>
          </w:p>
        </w:tc>
      </w:tr>
      <w:tr>
        <w:trPr/>
        <w:tc>
          <w:tcPr>
            <w:tcW w:w="3837" w:type="dxa"/>
            <w:tcBorders/>
            <w:vAlign w:val="bottom"/>
          </w:tcPr>
          <w:p>
            <w:pPr>
              <w:pStyle w:val="TableContents"/>
              <w:bidi w:val="0"/>
              <w:spacing w:before="0" w:after="0"/>
              <w:ind w:left="324" w:right="0" w:hanging="144"/>
              <w:jc w:val="left"/>
              <w:rPr/>
            </w:pPr>
            <w:r>
              <w:rPr/>
              <w:t>Investment securities – taxable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574,159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16,027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3.73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592,069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2.27</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324" w:right="0" w:hanging="144"/>
              <w:jc w:val="left"/>
              <w:rPr/>
            </w:pPr>
            <w:r>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194,492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2.66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216,951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2.66</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lineRule="auto" w:line="240" w:before="0" w:after="0"/>
              <w:ind w:left="324" w:right="0" w:hanging="144"/>
              <w:jc w:val="left"/>
              <w:rPr/>
            </w:pPr>
            <w:r>
              <w:rPr/>
              <w:t>Other interest-earning assets(2)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212,384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7,010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pPr>
            <w:r>
              <w:rPr/>
              <w:t>4.41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363,659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pPr>
            <w:r>
              <w:rPr/>
              <w:t>0.81</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144" w:right="0" w:hanging="144"/>
              <w:jc w:val="left"/>
              <w:rPr/>
            </w:pPr>
            <w:r>
              <w:rPr/>
              <w:t>Total interest-earning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3,873,922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155,631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5.37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3,740,362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115,848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4.14</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144" w:right="0" w:hanging="144"/>
              <w:jc w:val="left"/>
              <w:rPr/>
            </w:pPr>
            <w:r>
              <w:rPr/>
              <w:t>Noninterest-earning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183,149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236,296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144" w:right="0" w:hanging="144"/>
              <w:jc w:val="left"/>
              <w:rPr/>
            </w:pPr>
            <w:r>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4,057,071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3,976,658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144" w:right="0" w:hanging="144"/>
              <w:jc w:val="left"/>
              <w:rPr>
                <w:b/>
              </w:rPr>
            </w:pPr>
            <w:r>
              <w:rPr>
                <w:b/>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144" w:right="0" w:hanging="144"/>
              <w:jc w:val="left"/>
              <w:rPr/>
            </w:pPr>
            <w:r>
              <w:rPr/>
              <w:t>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324" w:right="0" w:hanging="144"/>
              <w:jc w:val="left"/>
              <w:rPr/>
            </w:pPr>
            <w:r>
              <w:rPr/>
              <w:t>NOW, savings and money market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2,090,250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38,529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2.46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1,905,000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5,782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0.41</w:t>
            </w:r>
          </w:p>
        </w:tc>
        <w:tc>
          <w:tcPr>
            <w:tcW w:w="233" w:type="dxa"/>
            <w:tcBorders/>
            <w:shd w:fill="CCEEFF" w:val="clear"/>
            <w:vAlign w:val="bottom"/>
          </w:tcPr>
          <w:p>
            <w:pPr>
              <w:pStyle w:val="TableContents"/>
              <w:bidi w:val="0"/>
              <w:spacing w:before="0" w:after="0"/>
              <w:jc w:val="left"/>
              <w:rPr/>
            </w:pPr>
            <w:r>
              <w:rPr/>
              <w:t>%</w:t>
            </w:r>
          </w:p>
        </w:tc>
      </w:tr>
      <w:tr>
        <w:trPr/>
        <w:tc>
          <w:tcPr>
            <w:tcW w:w="3837" w:type="dxa"/>
            <w:tcBorders/>
            <w:vAlign w:val="bottom"/>
          </w:tcPr>
          <w:p>
            <w:pPr>
              <w:pStyle w:val="TableContents"/>
              <w:bidi w:val="0"/>
              <w:spacing w:before="0" w:after="0"/>
              <w:ind w:left="324" w:right="0" w:hanging="144"/>
              <w:jc w:val="left"/>
              <w:rPr/>
            </w:pPr>
            <w:r>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309,250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2.70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334,686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1.18</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324" w:right="0" w:hanging="144"/>
              <w:jc w:val="left"/>
              <w:rPr/>
            </w:pPr>
            <w:r>
              <w:rPr/>
              <w:t>Short-term borrowings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6.02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0.00</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324" w:right="0" w:hanging="144"/>
              <w:jc w:val="left"/>
              <w:rPr/>
            </w:pPr>
            <w:r>
              <w:rPr/>
              <w:t>Notes payable &amp; other longer-term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0"/>
              <w:jc w:val="right"/>
              <w:rPr/>
            </w:pPr>
            <w:r>
              <w:rPr/>
              <w:t>0.00</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324" w:right="0" w:hanging="144"/>
              <w:jc w:val="left"/>
              <w:rPr/>
            </w:pPr>
            <w:r>
              <w:rPr/>
              <w:t>Subordinated debt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76,031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5.34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75,852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0"/>
              <w:jc w:val="right"/>
              <w:rPr/>
            </w:pPr>
            <w:r>
              <w:rPr/>
              <w:t>5.35</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324" w:right="0" w:hanging="144"/>
              <w:jc w:val="left"/>
              <w:rPr/>
            </w:pPr>
            <w:r>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2,402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pPr>
            <w:r>
              <w:rPr/>
              <w:t>6.92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1,005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pPr>
            <w:r>
              <w:rPr/>
              <w:t>2.90</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504" w:right="0" w:hanging="144"/>
              <w:jc w:val="left"/>
              <w:rPr/>
            </w:pPr>
            <w:r>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2,522,035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50,212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bottom"/>
          </w:tcPr>
          <w:p>
            <w:pPr>
              <w:pStyle w:val="TableContents"/>
              <w:bidi w:val="0"/>
              <w:spacing w:before="0" w:after="0"/>
              <w:jc w:val="right"/>
              <w:rPr/>
            </w:pPr>
            <w:r>
              <w:rPr/>
              <w:t>2.66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2,361,935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12,786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bottom"/>
          </w:tcPr>
          <w:p>
            <w:pPr>
              <w:pStyle w:val="TableContents"/>
              <w:bidi w:val="0"/>
              <w:spacing w:before="0" w:after="0"/>
              <w:jc w:val="right"/>
              <w:rPr/>
            </w:pPr>
            <w:r>
              <w:rPr/>
              <w:t>0.72</w:t>
            </w:r>
          </w:p>
        </w:tc>
        <w:tc>
          <w:tcPr>
            <w:tcW w:w="233" w:type="dxa"/>
            <w:tcBorders/>
            <w:shd w:fill="CCEEFF" w:val="clear"/>
            <w:vAlign w:val="bottom"/>
          </w:tcPr>
          <w:p>
            <w:pPr>
              <w:pStyle w:val="TableContents"/>
              <w:bidi w:val="0"/>
              <w:spacing w:before="0" w:after="0"/>
              <w:jc w:val="left"/>
              <w:rPr/>
            </w:pPr>
            <w:r>
              <w:rPr/>
              <w:t>%</w:t>
            </w:r>
          </w:p>
        </w:tc>
      </w:tr>
      <w:tr>
        <w:trPr/>
        <w:tc>
          <w:tcPr>
            <w:tcW w:w="38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144" w:right="0" w:hanging="144"/>
              <w:jc w:val="left"/>
              <w:rPr/>
            </w:pPr>
            <w:r>
              <w:rPr/>
              <w:t>Noninterest-bearing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324" w:right="0" w:hanging="144"/>
              <w:jc w:val="left"/>
              <w:rPr/>
            </w:pPr>
            <w:r>
              <w:rPr/>
              <w:t>Noninterest-bearing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1,085,345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1,174,783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324" w:right="0" w:hanging="144"/>
              <w:jc w:val="left"/>
              <w:rPr/>
            </w:pPr>
            <w:r>
              <w:rPr/>
              <w:t>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74,865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64,639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504" w:right="0" w:hanging="144"/>
              <w:jc w:val="left"/>
              <w:rPr/>
            </w:pPr>
            <w:r>
              <w:rPr/>
              <w:t>Total noninterest-bearing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1,160,210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1,239,422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504" w:right="0" w:hanging="144"/>
              <w:jc w:val="left"/>
              <w:rPr/>
            </w:pPr>
            <w:r>
              <w:rPr/>
              <w:t>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374,826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375,301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684" w:right="0" w:hanging="144"/>
              <w:jc w:val="left"/>
              <w:rPr/>
            </w:pPr>
            <w:r>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4,057,071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3,976,658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3837" w:type="dxa"/>
            <w:tcBorders/>
            <w:vAlign w:val="bottom"/>
          </w:tcPr>
          <w:p>
            <w:pPr>
              <w:pStyle w:val="TableContents"/>
              <w:bidi w:val="0"/>
              <w:spacing w:before="0" w:after="0"/>
              <w:ind w:left="144" w:right="0" w:hanging="144"/>
              <w:jc w:val="left"/>
              <w:rPr/>
            </w:pPr>
            <w:r>
              <w:rPr/>
              <w:t>Net 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105,419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103,062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3837" w:type="dxa"/>
            <w:tcBorders/>
            <w:shd w:fill="CCEEFF" w:val="clear"/>
            <w:vAlign w:val="bottom"/>
          </w:tcPr>
          <w:p>
            <w:pPr>
              <w:pStyle w:val="TableContents"/>
              <w:bidi w:val="0"/>
              <w:spacing w:before="0" w:after="0"/>
              <w:ind w:left="144" w:right="0" w:hanging="144"/>
              <w:jc w:val="left"/>
              <w:rPr/>
            </w:pPr>
            <w:r>
              <w:rPr/>
              <w:t>Net interest spread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29" w:type="dxa"/>
            <w:tcBorders>
              <w:bottom w:val="double" w:sz="8" w:space="0" w:color="000000"/>
            </w:tcBorders>
            <w:shd w:fill="CCEEFF" w:val="clear"/>
            <w:tcMar>
              <w:bottom w:w="28" w:type="dxa"/>
            </w:tcMar>
            <w:vAlign w:val="bottom"/>
          </w:tcPr>
          <w:p>
            <w:pPr>
              <w:pStyle w:val="TableContents"/>
              <w:bidi w:val="0"/>
              <w:spacing w:before="0" w:after="0"/>
              <w:jc w:val="right"/>
              <w:rPr/>
            </w:pPr>
            <w:r>
              <w:rPr/>
              <w:t>2.71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29" w:type="dxa"/>
            <w:tcBorders>
              <w:bottom w:val="double" w:sz="8" w:space="0" w:color="000000"/>
            </w:tcBorders>
            <w:shd w:fill="CCEEFF" w:val="clear"/>
            <w:tcMar>
              <w:bottom w:w="28" w:type="dxa"/>
            </w:tcMar>
            <w:vAlign w:val="bottom"/>
          </w:tcPr>
          <w:p>
            <w:pPr>
              <w:pStyle w:val="TableContents"/>
              <w:bidi w:val="0"/>
              <w:spacing w:before="0" w:after="0"/>
              <w:jc w:val="right"/>
              <w:rPr/>
            </w:pPr>
            <w:r>
              <w:rPr/>
              <w:t>3.42</w:t>
            </w:r>
          </w:p>
        </w:tc>
        <w:tc>
          <w:tcPr>
            <w:tcW w:w="233" w:type="dxa"/>
            <w:tcBorders/>
            <w:shd w:fill="CCEEFF" w:val="clear"/>
            <w:vAlign w:val="bottom"/>
          </w:tcPr>
          <w:p>
            <w:pPr>
              <w:pStyle w:val="TableContents"/>
              <w:bidi w:val="0"/>
              <w:spacing w:before="0" w:after="0"/>
              <w:jc w:val="left"/>
              <w:rPr/>
            </w:pPr>
            <w:r>
              <w:rPr/>
              <w:t>%</w:t>
            </w:r>
          </w:p>
        </w:tc>
      </w:tr>
      <w:tr>
        <w:trPr/>
        <w:tc>
          <w:tcPr>
            <w:tcW w:w="3837" w:type="dxa"/>
            <w:tcBorders/>
            <w:vAlign w:val="bottom"/>
          </w:tcPr>
          <w:p>
            <w:pPr>
              <w:pStyle w:val="TableContents"/>
              <w:bidi w:val="0"/>
              <w:spacing w:lineRule="auto" w:line="240" w:before="0" w:after="0"/>
              <w:ind w:left="144" w:right="0" w:hanging="144"/>
              <w:jc w:val="left"/>
              <w:rPr/>
            </w:pPr>
            <w:r>
              <w:rPr/>
              <w:t>Net interest margin(3)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529" w:type="dxa"/>
            <w:tcBorders>
              <w:bottom w:val="double" w:sz="8" w:space="0" w:color="000000"/>
            </w:tcBorders>
            <w:tcMar>
              <w:bottom w:w="28" w:type="dxa"/>
            </w:tcMar>
            <w:vAlign w:val="bottom"/>
          </w:tcPr>
          <w:p>
            <w:pPr>
              <w:pStyle w:val="TableContents"/>
              <w:bidi w:val="0"/>
              <w:spacing w:before="0" w:after="0"/>
              <w:jc w:val="right"/>
              <w:rPr/>
            </w:pPr>
            <w:r>
              <w:rPr/>
              <w:t>3.64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529" w:type="dxa"/>
            <w:tcBorders>
              <w:bottom w:val="double" w:sz="8" w:space="0" w:color="000000"/>
            </w:tcBorders>
            <w:tcMar>
              <w:bottom w:w="28" w:type="dxa"/>
            </w:tcMar>
            <w:vAlign w:val="bottom"/>
          </w:tcPr>
          <w:p>
            <w:pPr>
              <w:pStyle w:val="TableContents"/>
              <w:bidi w:val="0"/>
              <w:spacing w:before="0" w:after="0"/>
              <w:jc w:val="right"/>
              <w:rPr/>
            </w:pPr>
            <w:r>
              <w:rPr/>
              <w:t>3.68</w:t>
            </w:r>
          </w:p>
        </w:tc>
        <w:tc>
          <w:tcPr>
            <w:tcW w:w="233"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pPr>
            <w:r>
              <w:rPr/>
              <w:t>(1)</w:t>
            </w:r>
          </w:p>
        </w:tc>
        <w:tc>
          <w:tcPr>
            <w:tcW w:w="6815" w:type="dxa"/>
            <w:tcBorders/>
            <w:vAlign w:val="center"/>
          </w:tcPr>
          <w:p>
            <w:pPr>
              <w:pStyle w:val="TableContents"/>
              <w:bidi w:val="0"/>
              <w:spacing w:before="0" w:after="0"/>
              <w:jc w:val="both"/>
              <w:rPr/>
            </w:pPr>
            <w:r>
              <w:rPr/>
              <w:t>Average loan balances include nonaccrual loans and loans held for sale.</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both"/>
              <w:rPr/>
            </w:pPr>
            <w:r>
              <w:rPr/>
              <w:t>Includes income and average balances for interest-earning deposits at other banks, federal funds sold and other miscellaneous interest-earning assets.</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(3)</w:t>
            </w:r>
          </w:p>
        </w:tc>
        <w:tc>
          <w:tcPr>
            <w:tcW w:w="9923" w:type="dxa"/>
            <w:tcBorders/>
            <w:vAlign w:val="center"/>
          </w:tcPr>
          <w:p>
            <w:pPr>
              <w:pStyle w:val="TableContents"/>
              <w:bidi w:val="0"/>
              <w:spacing w:before="0" w:after="0"/>
              <w:jc w:val="both"/>
              <w:rPr/>
            </w:pPr>
            <w:r>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tbl>
      <w:tblPr>
        <w:tblW w:w="8604" w:type="dxa"/>
        <w:jc w:val="left"/>
        <w:tblInd w:w="0" w:type="dxa"/>
        <w:tblLayout w:type="fixed"/>
        <w:tblCellMar>
          <w:top w:w="0" w:type="dxa"/>
          <w:left w:w="0" w:type="dxa"/>
          <w:bottom w:w="0" w:type="dxa"/>
          <w:right w:w="0" w:type="dxa"/>
        </w:tblCellMar>
      </w:tblPr>
      <w:tblGrid>
        <w:gridCol w:w="4715"/>
        <w:gridCol w:w="60"/>
        <w:gridCol w:w="196"/>
        <w:gridCol w:w="787"/>
        <w:gridCol w:w="133"/>
        <w:gridCol w:w="84"/>
        <w:gridCol w:w="196"/>
        <w:gridCol w:w="955"/>
        <w:gridCol w:w="133"/>
        <w:gridCol w:w="84"/>
        <w:gridCol w:w="196"/>
        <w:gridCol w:w="955"/>
        <w:gridCol w:w="110"/>
      </w:tblGrid>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9"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 September 30,</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9"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 over 2022</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1" w:type="dxa"/>
            <w:gridSpan w:val="6"/>
            <w:tcBorders>
              <w:bottom w:val="single" w:sz="12" w:space="0" w:color="000000"/>
            </w:tcBorders>
            <w:tcMar>
              <w:bottom w:w="28" w:type="dxa"/>
            </w:tcMar>
            <w:vAlign w:val="bottom"/>
          </w:tcPr>
          <w:p>
            <w:pPr>
              <w:pStyle w:val="TableContents"/>
              <w:bidi w:val="0"/>
              <w:spacing w:before="0" w:after="0"/>
              <w:jc w:val="center"/>
              <w:rPr>
                <w:b/>
              </w:rPr>
            </w:pPr>
            <w:r>
              <w:rPr>
                <w:b/>
              </w:rPr>
              <w:t>Change due to:</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1" w:type="dxa"/>
            <w:gridSpan w:val="2"/>
            <w:tcBorders/>
            <w:vAlign w:val="bottom"/>
          </w:tcPr>
          <w:p>
            <w:pPr>
              <w:pStyle w:val="TableContents"/>
              <w:bidi w:val="0"/>
              <w:spacing w:before="0" w:after="0"/>
              <w:jc w:val="center"/>
              <w:rPr>
                <w:b/>
              </w:rPr>
            </w:pPr>
            <w:r>
              <w:rPr>
                <w:b/>
              </w:rPr>
              <w:t>Total</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b/>
              </w:rPr>
            </w:pPr>
            <w:r>
              <w:rPr>
                <w:b/>
              </w:rPr>
              <w:t>Volume</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bottom"/>
          </w:tcPr>
          <w:p>
            <w:pPr>
              <w:pStyle w:val="TableContents"/>
              <w:bidi w:val="0"/>
              <w:spacing w:before="0" w:after="0"/>
              <w:jc w:val="center"/>
              <w:rPr>
                <w:b/>
              </w:rPr>
            </w:pPr>
            <w:r>
              <w:rPr>
                <w:b/>
              </w:rPr>
              <w:t>Rate</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bottom"/>
          </w:tcPr>
          <w:p>
            <w:pPr>
              <w:pStyle w:val="TableContents"/>
              <w:bidi w:val="0"/>
              <w:spacing w:before="0" w:after="0"/>
              <w:jc w:val="center"/>
              <w:rPr>
                <w:b/>
              </w:rPr>
            </w:pPr>
            <w:r>
              <w:rPr>
                <w:b/>
              </w:rPr>
              <w:t>Variance</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9" w:type="dxa"/>
            <w:gridSpan w:val="10"/>
            <w:tcBorders/>
            <w:vAlign w:val="bottom"/>
          </w:tcPr>
          <w:p>
            <w:pPr>
              <w:pStyle w:val="TableContents"/>
              <w:bidi w:val="0"/>
              <w:spacing w:before="0" w:after="0"/>
              <w:jc w:val="center"/>
              <w:rPr>
                <w:b/>
              </w:rPr>
            </w:pPr>
            <w:r>
              <w:rPr>
                <w:b/>
              </w:rPr>
              <w:t>(Dollars in thousands)</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jc w:val="left"/>
              <w:rPr>
                <w:b/>
              </w:rPr>
            </w:pPr>
            <w:r>
              <w:rPr>
                <w:b/>
              </w:rPr>
              <w:t>Interest-earning assets:</w:t>
            </w:r>
          </w:p>
        </w:tc>
        <w:tc>
          <w:tcPr>
            <w:tcW w:w="60"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1" w:type="dxa"/>
            <w:gridSpan w:val="2"/>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1"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Loans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pPr>
            <w:r>
              <w:rPr/>
              <w:t>$</w:t>
            </w:r>
          </w:p>
        </w:tc>
        <w:tc>
          <w:tcPr>
            <w:tcW w:w="787" w:type="dxa"/>
            <w:tcBorders/>
            <w:shd w:fill="CCEEFF" w:val="clear"/>
            <w:vAlign w:val="bottom"/>
          </w:tcPr>
          <w:p>
            <w:pPr>
              <w:pStyle w:val="TableContents"/>
              <w:bidi w:val="0"/>
              <w:spacing w:before="0" w:after="0"/>
              <w:jc w:val="right"/>
              <w:rPr/>
            </w:pPr>
            <w:r>
              <w:rPr/>
              <w:t>4,316</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pPr>
            <w:r>
              <w:rPr/>
              <w:t>$</w:t>
            </w:r>
          </w:p>
        </w:tc>
        <w:tc>
          <w:tcPr>
            <w:tcW w:w="955" w:type="dxa"/>
            <w:tcBorders/>
            <w:shd w:fill="CCEEFF" w:val="clear"/>
            <w:vAlign w:val="bottom"/>
          </w:tcPr>
          <w:p>
            <w:pPr>
              <w:pStyle w:val="TableContents"/>
              <w:bidi w:val="0"/>
              <w:spacing w:before="0" w:after="0"/>
              <w:jc w:val="right"/>
              <w:rPr/>
            </w:pPr>
            <w:r>
              <w:rPr/>
              <w:t>7,470</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pPr>
            <w:r>
              <w:rPr/>
              <w:t>$</w:t>
            </w:r>
          </w:p>
        </w:tc>
        <w:tc>
          <w:tcPr>
            <w:tcW w:w="955" w:type="dxa"/>
            <w:tcBorders/>
            <w:shd w:fill="CCEEFF" w:val="clear"/>
            <w:vAlign w:val="bottom"/>
          </w:tcPr>
          <w:p>
            <w:pPr>
              <w:pStyle w:val="TableContents"/>
              <w:bidi w:val="0"/>
              <w:spacing w:before="0" w:after="0"/>
              <w:jc w:val="right"/>
              <w:rPr/>
            </w:pPr>
            <w:r>
              <w:rPr/>
              <w:t>11,786</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Investment securities – taxable</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right"/>
              <w:rPr/>
            </w:pPr>
            <w:r>
              <w:rPr/>
              <w:t>(382</w:t>
            </w:r>
          </w:p>
        </w:tc>
        <w:tc>
          <w:tcPr>
            <w:tcW w:w="133" w:type="dxa"/>
            <w:tcBorders/>
            <w:vAlign w:val="bottom"/>
          </w:tcPr>
          <w:p>
            <w:pPr>
              <w:pStyle w:val="TableContents"/>
              <w:bidi w:val="0"/>
              <w:spacing w:before="0" w:after="0"/>
              <w:jc w:val="left"/>
              <w:rPr/>
            </w:pPr>
            <w:r>
              <w:rPr/>
              <w:t>)</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1,638</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1,256</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0"/>
              <w:jc w:val="right"/>
              <w:rPr/>
            </w:pPr>
            <w:r>
              <w:rPr/>
              <w:t>(371</w:t>
            </w:r>
          </w:p>
        </w:tc>
        <w:tc>
          <w:tcPr>
            <w:tcW w:w="133" w:type="dxa"/>
            <w:tcBorders/>
            <w:shd w:fill="CCEEFF" w:val="clear"/>
            <w:vAlign w:val="bottom"/>
          </w:tcPr>
          <w:p>
            <w:pPr>
              <w:pStyle w:val="TableContents"/>
              <w:bidi w:val="0"/>
              <w:spacing w:before="0" w:after="0"/>
              <w:jc w:val="left"/>
              <w:rPr/>
            </w:pPr>
            <w:r>
              <w:rPr/>
              <w:t>)</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(3</w:t>
            </w:r>
          </w:p>
        </w:tc>
        <w:tc>
          <w:tcPr>
            <w:tcW w:w="133" w:type="dxa"/>
            <w:tcBorders/>
            <w:shd w:fill="CCEEFF" w:val="clear"/>
            <w:vAlign w:val="bottom"/>
          </w:tcPr>
          <w:p>
            <w:pPr>
              <w:pStyle w:val="TableContents"/>
              <w:bidi w:val="0"/>
              <w:spacing w:before="0" w:after="0"/>
              <w:jc w:val="left"/>
              <w:rPr/>
            </w:pPr>
            <w:r>
              <w:rPr/>
              <w:t>)</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(374</w:t>
            </w:r>
          </w:p>
        </w:tc>
        <w:tc>
          <w:tcPr>
            <w:tcW w:w="110" w:type="dxa"/>
            <w:tcBorders/>
            <w:shd w:fill="CCEEFF" w:val="clear"/>
            <w:vAlign w:val="bottom"/>
          </w:tcPr>
          <w:p>
            <w:pPr>
              <w:pStyle w:val="TableContents"/>
              <w:bidi w:val="0"/>
              <w:spacing w:before="0" w:after="0"/>
              <w:jc w:val="left"/>
              <w:rPr/>
            </w:pPr>
            <w:r>
              <w:rPr/>
              <w:t>)</w:t>
            </w:r>
          </w:p>
        </w:tc>
      </w:tr>
      <w:tr>
        <w:trPr/>
        <w:tc>
          <w:tcPr>
            <w:tcW w:w="4715" w:type="dxa"/>
            <w:tcBorders/>
            <w:vAlign w:val="bottom"/>
          </w:tcPr>
          <w:p>
            <w:pPr>
              <w:pStyle w:val="TableContents"/>
              <w:bidi w:val="0"/>
              <w:spacing w:before="0" w:after="0"/>
              <w:ind w:left="180" w:right="0" w:hanging="0"/>
              <w:jc w:val="left"/>
              <w:rPr/>
            </w:pPr>
            <w:r>
              <w:rPr/>
              <w:t>Other interest-earning assets</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787" w:type="dxa"/>
            <w:tcBorders>
              <w:bottom w:val="single" w:sz="12" w:space="0" w:color="000000"/>
            </w:tcBorders>
            <w:tcMar>
              <w:bottom w:w="28" w:type="dxa"/>
            </w:tcMar>
            <w:vAlign w:val="bottom"/>
          </w:tcPr>
          <w:p>
            <w:pPr>
              <w:pStyle w:val="TableContents"/>
              <w:bidi w:val="0"/>
              <w:spacing w:before="0" w:after="0"/>
              <w:jc w:val="right"/>
              <w:rPr/>
            </w:pPr>
            <w:r>
              <w:rPr/>
              <w:t>145</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pPr>
            <w:r>
              <w:rPr/>
              <w:t>2,535</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pPr>
            <w:r>
              <w:rPr/>
              <w:t>2,680</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60" w:right="0" w:hanging="0"/>
              <w:jc w:val="left"/>
              <w:rPr/>
            </w:pPr>
            <w:r>
              <w:rPr/>
              <w:t>Total increase (decrease) in interest income</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bottom"/>
          </w:tcPr>
          <w:p>
            <w:pPr>
              <w:pStyle w:val="TableContents"/>
              <w:bidi w:val="0"/>
              <w:spacing w:before="0" w:after="0"/>
              <w:jc w:val="right"/>
              <w:rPr/>
            </w:pPr>
            <w:r>
              <w:rPr/>
              <w:t>3,708</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pPr>
            <w:r>
              <w:rPr/>
              <w:t>11,640</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pPr>
            <w:r>
              <w:rPr/>
              <w:t>15,348</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jc w:val="left"/>
              <w:rPr>
                <w:b/>
              </w:rPr>
            </w:pPr>
            <w:r>
              <w:rPr>
                <w:b/>
              </w:rPr>
              <w:t>Interest-bearing liabilities: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NOW, Savings, MMDAs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right"/>
              <w:rPr/>
            </w:pPr>
            <w:r>
              <w:rPr/>
              <w:t>655</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11,892</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12,547</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Time deposits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0"/>
              <w:jc w:val="right"/>
              <w:rPr/>
            </w:pPr>
            <w:r>
              <w:rPr/>
              <w:t>44</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1,837</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1,881</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Short-term borrowings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right"/>
              <w:rPr/>
            </w:pPr>
            <w:r>
              <w:rPr/>
              <w:t>—</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Notes payable &amp; other borrowings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0"/>
              <w:jc w:val="right"/>
              <w:rPr/>
            </w:pPr>
            <w:r>
              <w:rPr/>
              <w:t>—</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Subordinated debt securities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right"/>
              <w:rPr/>
            </w:pPr>
            <w:r>
              <w:rPr/>
              <w:t>2</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(2</w:t>
            </w:r>
          </w:p>
        </w:tc>
        <w:tc>
          <w:tcPr>
            <w:tcW w:w="133" w:type="dxa"/>
            <w:tcBorders/>
            <w:vAlign w:val="bottom"/>
          </w:tcPr>
          <w:p>
            <w:pPr>
              <w:pStyle w:val="TableContents"/>
              <w:bidi w:val="0"/>
              <w:spacing w:before="0" w:after="0"/>
              <w:jc w:val="left"/>
              <w:rPr/>
            </w:pPr>
            <w:r>
              <w:rPr/>
              <w:t>)</w:t>
            </w:r>
          </w:p>
        </w:tc>
        <w:tc>
          <w:tcPr>
            <w:tcW w:w="8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pPr>
            <w:r>
              <w:rPr/>
              <w:t>405</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pPr>
            <w:r>
              <w:rPr/>
              <w:t>405</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60" w:right="0" w:hanging="0"/>
              <w:jc w:val="left"/>
              <w:rPr/>
            </w:pPr>
            <w:r>
              <w:rPr/>
              <w:t>Total increase (decrease) interest expense:</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787" w:type="dxa"/>
            <w:tcBorders>
              <w:bottom w:val="single" w:sz="12" w:space="0" w:color="000000"/>
            </w:tcBorders>
            <w:tcMar>
              <w:bottom w:w="28" w:type="dxa"/>
            </w:tcMar>
            <w:vAlign w:val="bottom"/>
          </w:tcPr>
          <w:p>
            <w:pPr>
              <w:pStyle w:val="TableContents"/>
              <w:bidi w:val="0"/>
              <w:spacing w:before="0" w:after="0"/>
              <w:jc w:val="right"/>
              <w:rPr/>
            </w:pPr>
            <w:r>
              <w:rPr/>
              <w:t>701</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pPr>
            <w:r>
              <w:rPr/>
              <w:t>14,132</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pPr>
            <w:r>
              <w:rPr/>
              <w:t>14,833</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jc w:val="left"/>
              <w:rPr/>
            </w:pPr>
            <w:r>
              <w:rPr/>
              <w:t>Increase (decrease) in net interest income</w:t>
            </w:r>
          </w:p>
        </w:tc>
        <w:tc>
          <w:tcPr>
            <w:tcW w:w="6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pPr>
            <w:r>
              <w:rPr/>
              <w:t>$</w:t>
            </w:r>
          </w:p>
        </w:tc>
        <w:tc>
          <w:tcPr>
            <w:tcW w:w="787" w:type="dxa"/>
            <w:tcBorders>
              <w:bottom w:val="double" w:sz="8" w:space="0" w:color="000000"/>
            </w:tcBorders>
            <w:tcMar>
              <w:bottom w:w="28" w:type="dxa"/>
            </w:tcMar>
            <w:vAlign w:val="bottom"/>
          </w:tcPr>
          <w:p>
            <w:pPr>
              <w:pStyle w:val="TableContents"/>
              <w:bidi w:val="0"/>
              <w:spacing w:before="0" w:after="0"/>
              <w:jc w:val="right"/>
              <w:rPr/>
            </w:pPr>
            <w:r>
              <w:rPr/>
              <w:t>3,007</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pPr>
            <w:r>
              <w:rPr/>
              <w:t>$</w:t>
            </w:r>
          </w:p>
        </w:tc>
        <w:tc>
          <w:tcPr>
            <w:tcW w:w="955" w:type="dxa"/>
            <w:tcBorders>
              <w:bottom w:val="double" w:sz="8" w:space="0" w:color="000000"/>
            </w:tcBorders>
            <w:tcMar>
              <w:bottom w:w="28" w:type="dxa"/>
            </w:tcMar>
            <w:vAlign w:val="bottom"/>
          </w:tcPr>
          <w:p>
            <w:pPr>
              <w:pStyle w:val="TableContents"/>
              <w:bidi w:val="0"/>
              <w:spacing w:before="0" w:after="0"/>
              <w:jc w:val="right"/>
              <w:rPr/>
            </w:pPr>
            <w:r>
              <w:rPr/>
              <w:t>(2,492</w:t>
            </w:r>
          </w:p>
        </w:tc>
        <w:tc>
          <w:tcPr>
            <w:tcW w:w="133" w:type="dxa"/>
            <w:tcBorders/>
            <w:vAlign w:val="bottom"/>
          </w:tcPr>
          <w:p>
            <w:pPr>
              <w:pStyle w:val="TableContents"/>
              <w:bidi w:val="0"/>
              <w:spacing w:before="0" w:after="0"/>
              <w:jc w:val="left"/>
              <w:rPr/>
            </w:pPr>
            <w:r>
              <w:rPr/>
              <w:t>)</w:t>
            </w:r>
          </w:p>
        </w:tc>
        <w:tc>
          <w:tcPr>
            <w:tcW w:w="84"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pPr>
            <w:r>
              <w:rPr/>
              <w:t>$</w:t>
            </w:r>
          </w:p>
        </w:tc>
        <w:tc>
          <w:tcPr>
            <w:tcW w:w="955" w:type="dxa"/>
            <w:tcBorders>
              <w:bottom w:val="double" w:sz="8" w:space="0" w:color="000000"/>
            </w:tcBorders>
            <w:tcMar>
              <w:bottom w:w="28" w:type="dxa"/>
            </w:tcMar>
            <w:vAlign w:val="bottom"/>
          </w:tcPr>
          <w:p>
            <w:pPr>
              <w:pStyle w:val="TableContents"/>
              <w:bidi w:val="0"/>
              <w:spacing w:before="0" w:after="0"/>
              <w:jc w:val="right"/>
              <w:rPr/>
            </w:pPr>
            <w:r>
              <w:rPr/>
              <w:t>515</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tbl>
      <w:tblPr>
        <w:tblW w:w="8471" w:type="dxa"/>
        <w:jc w:val="left"/>
        <w:tblInd w:w="0" w:type="dxa"/>
        <w:tblLayout w:type="fixed"/>
        <w:tblCellMar>
          <w:top w:w="0" w:type="dxa"/>
          <w:left w:w="0" w:type="dxa"/>
          <w:bottom w:w="0" w:type="dxa"/>
          <w:right w:w="0" w:type="dxa"/>
        </w:tblCellMar>
      </w:tblPr>
      <w:tblGrid>
        <w:gridCol w:w="4715"/>
        <w:gridCol w:w="60"/>
        <w:gridCol w:w="181"/>
        <w:gridCol w:w="881"/>
        <w:gridCol w:w="123"/>
        <w:gridCol w:w="77"/>
        <w:gridCol w:w="181"/>
        <w:gridCol w:w="881"/>
        <w:gridCol w:w="123"/>
        <w:gridCol w:w="77"/>
        <w:gridCol w:w="181"/>
        <w:gridCol w:w="881"/>
        <w:gridCol w:w="110"/>
      </w:tblGrid>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Nine Months Ended September 30,</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 over 2022</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4" w:type="dxa"/>
            <w:gridSpan w:val="6"/>
            <w:tcBorders>
              <w:bottom w:val="single" w:sz="12" w:space="0" w:color="000000"/>
            </w:tcBorders>
            <w:tcMar>
              <w:bottom w:w="28" w:type="dxa"/>
            </w:tcMar>
            <w:vAlign w:val="bottom"/>
          </w:tcPr>
          <w:p>
            <w:pPr>
              <w:pStyle w:val="TableContents"/>
              <w:bidi w:val="0"/>
              <w:spacing w:before="0" w:after="0"/>
              <w:jc w:val="center"/>
              <w:rPr>
                <w:b/>
              </w:rPr>
            </w:pPr>
            <w:r>
              <w:rPr>
                <w:b/>
              </w:rPr>
              <w:t>Change due to:</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bidi w:val="0"/>
              <w:spacing w:before="0" w:after="0"/>
              <w:jc w:val="center"/>
              <w:rPr>
                <w:b/>
              </w:rPr>
            </w:pPr>
            <w:r>
              <w:rPr>
                <w:b/>
              </w:rPr>
              <w:t>Total</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Volume</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Rate</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Variance</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6" w:type="dxa"/>
            <w:gridSpan w:val="10"/>
            <w:tcBorders/>
            <w:vAlign w:val="bottom"/>
          </w:tcPr>
          <w:p>
            <w:pPr>
              <w:pStyle w:val="TableContents"/>
              <w:bidi w:val="0"/>
              <w:spacing w:before="0" w:after="0"/>
              <w:jc w:val="center"/>
              <w:rPr>
                <w:b/>
              </w:rPr>
            </w:pPr>
            <w:r>
              <w:rPr>
                <w:b/>
              </w:rPr>
              <w:t>(Dollars in thousands)</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jc w:val="left"/>
              <w:rPr>
                <w:b/>
              </w:rPr>
            </w:pPr>
            <w:r>
              <w:rPr>
                <w:b/>
              </w:rPr>
              <w:t>Interest-earning assets:</w:t>
            </w:r>
          </w:p>
        </w:tc>
        <w:tc>
          <w:tcPr>
            <w:tcW w:w="60"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2"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Loan</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1" w:type="dxa"/>
            <w:tcBorders/>
            <w:shd w:fill="CCEEFF" w:val="clear"/>
            <w:vAlign w:val="bottom"/>
          </w:tcPr>
          <w:p>
            <w:pPr>
              <w:pStyle w:val="TableContents"/>
              <w:bidi w:val="0"/>
              <w:spacing w:before="0" w:after="0"/>
              <w:jc w:val="right"/>
              <w:rPr/>
            </w:pPr>
            <w:r>
              <w:rPr/>
              <w:t>12,572</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1" w:type="dxa"/>
            <w:tcBorders/>
            <w:shd w:fill="CCEEFF" w:val="clear"/>
            <w:vAlign w:val="bottom"/>
          </w:tcPr>
          <w:p>
            <w:pPr>
              <w:pStyle w:val="TableContents"/>
              <w:bidi w:val="0"/>
              <w:spacing w:before="0" w:after="0"/>
              <w:jc w:val="right"/>
              <w:rPr/>
            </w:pPr>
            <w:r>
              <w:rPr/>
              <w:t>16,890</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881" w:type="dxa"/>
            <w:tcBorders/>
            <w:shd w:fill="CCEEFF" w:val="clear"/>
            <w:vAlign w:val="bottom"/>
          </w:tcPr>
          <w:p>
            <w:pPr>
              <w:pStyle w:val="TableContents"/>
              <w:bidi w:val="0"/>
              <w:spacing w:before="0" w:after="0"/>
              <w:jc w:val="right"/>
              <w:rPr/>
            </w:pPr>
            <w:r>
              <w:rPr/>
              <w:t>29,462</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Investment securities – taxable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(304</w:t>
            </w:r>
          </w:p>
        </w:tc>
        <w:tc>
          <w:tcPr>
            <w:tcW w:w="123" w:type="dxa"/>
            <w:tcBorders/>
            <w:vAlign w:val="bottom"/>
          </w:tcPr>
          <w:p>
            <w:pPr>
              <w:pStyle w:val="TableContents"/>
              <w:bidi w:val="0"/>
              <w:spacing w:before="0" w:after="0"/>
              <w:jc w:val="left"/>
              <w:rPr/>
            </w:pPr>
            <w:r>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6,273</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5,969</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(447</w:t>
            </w:r>
          </w:p>
        </w:tc>
        <w:tc>
          <w:tcPr>
            <w:tcW w:w="123" w:type="dxa"/>
            <w:tcBorders/>
            <w:shd w:fill="CCEEFF" w:val="clear"/>
            <w:vAlign w:val="bottom"/>
          </w:tcPr>
          <w:p>
            <w:pPr>
              <w:pStyle w:val="TableContents"/>
              <w:bidi w:val="0"/>
              <w:spacing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2</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(445</w:t>
            </w:r>
          </w:p>
        </w:tc>
        <w:tc>
          <w:tcPr>
            <w:tcW w:w="110" w:type="dxa"/>
            <w:tcBorders/>
            <w:shd w:fill="CCEEFF" w:val="clear"/>
            <w:vAlign w:val="bottom"/>
          </w:tcPr>
          <w:p>
            <w:pPr>
              <w:pStyle w:val="TableContents"/>
              <w:bidi w:val="0"/>
              <w:spacing w:before="0" w:after="0"/>
              <w:jc w:val="left"/>
              <w:rPr/>
            </w:pPr>
            <w:r>
              <w:rPr/>
              <w:t>)</w:t>
            </w:r>
          </w:p>
        </w:tc>
      </w:tr>
      <w:tr>
        <w:trPr/>
        <w:tc>
          <w:tcPr>
            <w:tcW w:w="4715" w:type="dxa"/>
            <w:tcBorders/>
            <w:vAlign w:val="bottom"/>
          </w:tcPr>
          <w:p>
            <w:pPr>
              <w:pStyle w:val="TableContents"/>
              <w:bidi w:val="0"/>
              <w:spacing w:before="0" w:after="0"/>
              <w:ind w:left="180" w:right="0" w:hanging="0"/>
              <w:jc w:val="left"/>
              <w:rPr/>
            </w:pPr>
            <w:r>
              <w:rPr/>
              <w:t>Other interest-earning assets</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(921</w:t>
            </w:r>
          </w:p>
        </w:tc>
        <w:tc>
          <w:tcPr>
            <w:tcW w:w="123" w:type="dxa"/>
            <w:tcBorders/>
            <w:vAlign w:val="bottom"/>
          </w:tcPr>
          <w:p>
            <w:pPr>
              <w:pStyle w:val="TableContents"/>
              <w:bidi w:val="0"/>
              <w:spacing w:before="0" w:after="0"/>
              <w:jc w:val="left"/>
              <w:rPr/>
            </w:pPr>
            <w:r>
              <w:rPr/>
              <w:t>)</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5,718</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4,797</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60" w:right="0" w:hanging="0"/>
              <w:jc w:val="left"/>
              <w:rPr/>
            </w:pPr>
            <w:r>
              <w:rPr/>
              <w:t>Total increase (decrease) in interest income</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10,900</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28,883</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39,783</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jc w:val="left"/>
              <w:rPr>
                <w:b/>
              </w:rPr>
            </w:pPr>
            <w:r>
              <w:rPr>
                <w:b/>
              </w:rPr>
              <w:t>Interest-bearing liabilities: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NOW, Savings, MMDAs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562</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32,185</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32,747</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Time deposits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(225</w:t>
            </w:r>
          </w:p>
        </w:tc>
        <w:tc>
          <w:tcPr>
            <w:tcW w:w="123" w:type="dxa"/>
            <w:tcBorders/>
            <w:shd w:fill="CCEEFF" w:val="clear"/>
            <w:vAlign w:val="bottom"/>
          </w:tcPr>
          <w:p>
            <w:pPr>
              <w:pStyle w:val="TableContents"/>
              <w:bidi w:val="0"/>
              <w:spacing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3,502</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3,277</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Short-term borrowings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5</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5</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Notes payable &amp; other borrowings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80" w:right="0" w:hanging="0"/>
              <w:jc w:val="left"/>
              <w:rPr/>
            </w:pPr>
            <w:r>
              <w:rPr/>
              <w:t>Subordinated debt securities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7</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(7</w:t>
            </w:r>
          </w:p>
        </w:tc>
        <w:tc>
          <w:tcPr>
            <w:tcW w:w="123" w:type="dxa"/>
            <w:tcBorders/>
            <w:vAlign w:val="bottom"/>
          </w:tcPr>
          <w:p>
            <w:pPr>
              <w:pStyle w:val="TableContents"/>
              <w:bidi w:val="0"/>
              <w:spacing w:before="0" w:after="0"/>
              <w:jc w:val="left"/>
              <w:rPr/>
            </w:pPr>
            <w:r>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80" w:right="0" w:hanging="0"/>
              <w:jc w:val="left"/>
              <w:rPr/>
            </w:pPr>
            <w:r>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1,397</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shd w:fill="CCEEFF" w:val="clear"/>
            <w:tcMar>
              <w:bottom w:w="28" w:type="dxa"/>
            </w:tcMar>
            <w:vAlign w:val="bottom"/>
          </w:tcPr>
          <w:p>
            <w:pPr>
              <w:pStyle w:val="TableContents"/>
              <w:bidi w:val="0"/>
              <w:spacing w:before="0" w:after="0"/>
              <w:jc w:val="right"/>
              <w:rPr/>
            </w:pPr>
            <w:r>
              <w:rPr/>
              <w:t>1,397</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60" w:right="0" w:hanging="0"/>
              <w:jc w:val="left"/>
              <w:rPr/>
            </w:pPr>
            <w:r>
              <w:rPr/>
              <w:t>Total increase (decrease) interest expense:</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344</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37,082</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pPr>
            <w:r>
              <w:rPr/>
              <w:t>37,426</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jc w:val="left"/>
              <w:rPr/>
            </w:pPr>
            <w:r>
              <w:rPr/>
              <w:t>Increase (decrease) in net interest income</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1" w:type="dxa"/>
            <w:tcBorders>
              <w:bottom w:val="double" w:sz="8" w:space="0" w:color="000000"/>
            </w:tcBorders>
            <w:tcMar>
              <w:bottom w:w="28" w:type="dxa"/>
            </w:tcMar>
            <w:vAlign w:val="bottom"/>
          </w:tcPr>
          <w:p>
            <w:pPr>
              <w:pStyle w:val="TableContents"/>
              <w:bidi w:val="0"/>
              <w:spacing w:before="0" w:after="0"/>
              <w:jc w:val="right"/>
              <w:rPr/>
            </w:pPr>
            <w:r>
              <w:rPr/>
              <w:t>10,556</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1" w:type="dxa"/>
            <w:tcBorders>
              <w:bottom w:val="double" w:sz="8" w:space="0" w:color="000000"/>
            </w:tcBorders>
            <w:tcMar>
              <w:bottom w:w="28" w:type="dxa"/>
            </w:tcMar>
            <w:vAlign w:val="bottom"/>
          </w:tcPr>
          <w:p>
            <w:pPr>
              <w:pStyle w:val="TableContents"/>
              <w:bidi w:val="0"/>
              <w:spacing w:before="0" w:after="0"/>
              <w:jc w:val="right"/>
              <w:rPr/>
            </w:pPr>
            <w:r>
              <w:rPr/>
              <w:t>(8,199</w:t>
            </w:r>
          </w:p>
        </w:tc>
        <w:tc>
          <w:tcPr>
            <w:tcW w:w="123" w:type="dxa"/>
            <w:tcBorders/>
            <w:vAlign w:val="bottom"/>
          </w:tcPr>
          <w:p>
            <w:pPr>
              <w:pStyle w:val="TableContents"/>
              <w:bidi w:val="0"/>
              <w:spacing w:before="0" w:after="0"/>
              <w:jc w:val="left"/>
              <w:rPr/>
            </w:pPr>
            <w:r>
              <w:rPr/>
              <w:t>)</w:t>
            </w:r>
          </w:p>
        </w:tc>
        <w:tc>
          <w:tcPr>
            <w:tcW w:w="77"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881" w:type="dxa"/>
            <w:tcBorders>
              <w:bottom w:val="double" w:sz="8" w:space="0" w:color="000000"/>
            </w:tcBorders>
            <w:tcMar>
              <w:bottom w:w="28" w:type="dxa"/>
            </w:tcMar>
            <w:vAlign w:val="bottom"/>
          </w:tcPr>
          <w:p>
            <w:pPr>
              <w:pStyle w:val="TableContents"/>
              <w:bidi w:val="0"/>
              <w:spacing w:before="0" w:after="0"/>
              <w:jc w:val="right"/>
              <w:rPr/>
            </w:pPr>
            <w:r>
              <w:rPr/>
              <w:t>2,357</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interest income for the three months ended September 30, 2023 was $35.7 million, compared to $35.1 million for the three months ended September 30, 2022, an increase of $0.6 million, or 1.7%. This change in net interest income was primarily due to increased income on interest-earning assets, principally loans and securities, net of increased funding costs on deposits, as market interest rates continued to rise during the period. This rise in rates is attributed to the Federal Open Market Committee (“FOMC”) of the Federal Reserve repeatedly raising their target benchmark interest rate since March 2022 in response to the persistent inflationary environment in the United States. Average interest-earning assets increased $253.5 million, or 6.7%, to $4.05 billion for the three months ended September 30, 2023 compared to $3.80 billion for the three months ended September 30, 2022. The increase is due to growth in both average loans outstanding of $334.5 million, partially offset by a decrease in average investment securities of $112.6 million. The yield on average interest-earning assets increased 123 basis points from 4.33% for the three months ended September 30, 2022 to 5.56% for the three months ended September 30, 2023. The increase in asset yield from the prior year is primarily a result of increased market interest rates and from deploying excess liquidity from lower yielding interest-earning cash and investment securities to higher yielding loans. Average interest-bearing liabilities increased $363.7 million, or 15.6%, to $2.69 billion for the three months ended September 30, 2023 compared to $2.33 billion for the three months ended September 30, 2022. The increase is primarily growth in average interest-bearing deposits of $363.5 million due to funding for higher loan demand and increased focus on deposits and liquidity. The average cost of interest-bearing liabilities increased 205 basis points to 3.07% for the three months ended September 30, 2023 compared to 1.02% for the three months ended September 30, 2022. The increase is primarily a result of higher deposit funding costs as market interest rates have risen significantly since the start of the second quarter of 2022. These changes caused net interest margin to decline 18 basis points to 3.52% for the three months ended September 30, 2023 from 3.70% for the same three-month period in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interest income for the nine months ended September 30, 2023 was $104.6 million, compared to $102.2 million for the nine months ended September 30, 2022, an increase of $2.4 million, or 2.4%. The increase in net interest income was primarily due to increased income on interest-earning assets, principally loans and securities, net of increased funding costs on deposits, as market interest rates continued to rise during the period, which is attributed to the FOMC repeatedly raising their target benchmark interest rate since March 2022. The increase was partially offset by $4.4 million of interest income received related to four credits for the recovery of interest on previously charged-off credits, purchase discount principal recovery, and prepayment penalties during the second quarter of 2022. Average interest-earning assets increased $133.6 million or 3.6%, to $3.88 billion for the nine months ended September 30, 2023 compared to $3.74 billion for the nine months ended September 30, 2022. The increase is primarily due to growth in average loans outstanding of $325.2 million, partially offset by a decrease in average interest-bearing cash balances of $151.3 million. The yield on average interest-earning assets, excluding the $4.4 million recoveries noted above, increased 139 basis points from 3.98% for the nine months ended September 30, 2022 to 5.37% for the nine months ended September 30, 2023. The increase in asset yield from the prior year is a primarily a result of increased market interest rates and from deploying excess liquidity from lower yielding interest-earning cash to higher yielding loans. Average interest-bearing liabilities increased $160.1 million, or 6.8%, to $2.52 billion for the nine months ended September 30, 2023 compared to $2.36 billion for the nine months ended September 30, 2022. The increase is primarily growth in average interest-bearing deposits of $159.8 million due to funding for higher loan demand and increased focus on deposits and liquidity, given recent events in the banking industry. The average cost of interest-bearing liabilities increased 194 basis points to 2.66% for the nine months ended September 30, 2023 compared to 0.72% for the nine months ended September 30, 2022. The increase is primarily a result of higher deposit funding costs as market rates have risen significantly since the start of the second quarter of 2022. These changes caused net interest margin to decrease 4 basis points to 3.64% for the nine months ended September 30, 2023 from 3.68% for the same nine-month period in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Provision for Credit Losses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recorded a negative provision for credit losses of $0.7 million for the three months ended September 30, 2023, compared to a negative provision of $0.8 million for the three months ended September 30, 2022. The negative provision during the third quarter of 2023 was largely attributable to a reduction of $1.3 million in specific reserves, partially offset by organic loan growth and net charge-off activity during the period. The reduction in specific reserves was a result of the full repayment of a $13.3 million nonaccrual relationship in the period. The negative provision in the third quarter of 2022 was largely due to a loan loss recovery of $822 thousand of a direct energy credit during that quarter.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recorded a provision for credit losses for the nine months ended September 30, 2023 of $4.0 million, compared to a negative provision of $2.9 million for the nine months ended September 30, 2022. The provision during the nine months ended September 30, 2023 was largely attributable to organic growth of $303.2 million in loans held for investment. The negative provision for credit losses in the same period of 2022 was based on improved credit metrics in the loan portfolio, specifically in the hotel segment, direct energy segment, and other Permian Basin-related credits during the period, as well as a decline in the amount of loans that were actively under a pandemic-related modification experienced during that period.</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Noninterest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sets forth the major components of our noninterest income for the periods indicated:</w:t>
      </w:r>
    </w:p>
    <w:p>
      <w:pPr>
        <w:pStyle w:val="TextBody"/>
        <w:bidi w:val="0"/>
        <w:spacing w:before="0" w:after="0"/>
        <w:jc w:val="left"/>
        <w:rPr/>
      </w:pPr>
      <w:r>
        <w:rPr/>
      </w:r>
    </w:p>
    <w:tbl>
      <w:tblPr>
        <w:tblW w:w="10068" w:type="dxa"/>
        <w:jc w:val="left"/>
        <w:tblInd w:w="0" w:type="dxa"/>
        <w:tblLayout w:type="fixed"/>
        <w:tblCellMar>
          <w:top w:w="0" w:type="dxa"/>
          <w:left w:w="0" w:type="dxa"/>
          <w:bottom w:w="0" w:type="dxa"/>
          <w:right w:w="0" w:type="dxa"/>
        </w:tblCellMar>
      </w:tblPr>
      <w:tblGrid>
        <w:gridCol w:w="3815"/>
        <w:gridCol w:w="60"/>
        <w:gridCol w:w="140"/>
        <w:gridCol w:w="680"/>
        <w:gridCol w:w="60"/>
        <w:gridCol w:w="60"/>
        <w:gridCol w:w="140"/>
        <w:gridCol w:w="680"/>
        <w:gridCol w:w="60"/>
        <w:gridCol w:w="60"/>
        <w:gridCol w:w="195"/>
        <w:gridCol w:w="889"/>
        <w:gridCol w:w="95"/>
        <w:gridCol w:w="60"/>
        <w:gridCol w:w="140"/>
        <w:gridCol w:w="680"/>
        <w:gridCol w:w="60"/>
        <w:gridCol w:w="60"/>
        <w:gridCol w:w="140"/>
        <w:gridCol w:w="680"/>
        <w:gridCol w:w="60"/>
        <w:gridCol w:w="60"/>
        <w:gridCol w:w="168"/>
        <w:gridCol w:w="916"/>
        <w:gridCol w:w="110"/>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110"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w:t>
            </w:r>
          </w:p>
          <w:p>
            <w:pPr>
              <w:pStyle w:val="TableContents"/>
              <w:bidi w:val="0"/>
              <w:spacing w:before="0" w:after="0"/>
              <w:jc w:val="center"/>
              <w:rPr>
                <w:b/>
              </w:rPr>
            </w:pPr>
            <w:r>
              <w:rPr>
                <w:b/>
              </w:rPr>
              <w:t>(Decrease)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w:t>
            </w:r>
          </w:p>
          <w:p>
            <w:pPr>
              <w:pStyle w:val="TableContents"/>
              <w:bidi w:val="0"/>
              <w:spacing w:before="0" w:after="0"/>
              <w:jc w:val="center"/>
              <w:rPr>
                <w:b/>
              </w:rPr>
            </w:pPr>
            <w:r>
              <w:rPr>
                <w:b/>
              </w:rPr>
              <w:t>(Decrease)</w:t>
            </w:r>
          </w:p>
        </w:tc>
        <w:tc>
          <w:tcPr>
            <w:tcW w:w="110"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3" w:type="dxa"/>
            <w:gridSpan w:val="22"/>
            <w:tcBorders/>
            <w:vAlign w:val="bottom"/>
          </w:tcPr>
          <w:p>
            <w:pPr>
              <w:pStyle w:val="TableContents"/>
              <w:bidi w:val="0"/>
              <w:spacing w:before="0" w:after="0"/>
              <w:jc w:val="center"/>
              <w:rPr>
                <w:b/>
              </w:rPr>
            </w:pPr>
            <w:r>
              <w:rPr>
                <w:b/>
              </w:rPr>
              <w:t>(Dollars in thousands)</w:t>
            </w:r>
          </w:p>
        </w:tc>
        <w:tc>
          <w:tcPr>
            <w:tcW w:w="110"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144" w:right="0" w:hanging="144"/>
              <w:jc w:val="left"/>
              <w:rPr>
                <w:b/>
              </w:rPr>
            </w:pPr>
            <w:r>
              <w:rPr>
                <w:b/>
              </w:rPr>
              <w:t>Noninterest income: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324" w:right="0" w:hanging="144"/>
              <w:jc w:val="left"/>
              <w:rPr/>
            </w:pPr>
            <w:r>
              <w:rPr/>
              <w:t>Service charges on deposit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1,840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5,286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5,149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pPr>
            <w:r>
              <w:rPr/>
              <w:t>$</w:t>
            </w:r>
          </w:p>
        </w:tc>
        <w:tc>
          <w:tcPr>
            <w:tcW w:w="916" w:type="dxa"/>
            <w:tcBorders/>
            <w:shd w:fill="CCEEFF" w:val="clear"/>
            <w:vAlign w:val="bottom"/>
          </w:tcPr>
          <w:p>
            <w:pPr>
              <w:pStyle w:val="TableContents"/>
              <w:bidi w:val="0"/>
              <w:spacing w:before="0" w:after="0"/>
              <w:jc w:val="right"/>
              <w:rPr/>
            </w:pPr>
            <w:r>
              <w:rPr/>
              <w:t>137</w:t>
            </w:r>
          </w:p>
        </w:tc>
        <w:tc>
          <w:tcPr>
            <w:tcW w:w="110"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324" w:right="0" w:hanging="144"/>
              <w:jc w:val="left"/>
              <w:rPr/>
            </w:pPr>
            <w:r>
              <w:rPr/>
              <w:t>Income from insurance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4,856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(4,826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8,003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(6,525</w:t>
            </w:r>
          </w:p>
        </w:tc>
        <w:tc>
          <w:tcPr>
            <w:tcW w:w="110" w:type="dxa"/>
            <w:tcBorders/>
            <w:vAlign w:val="bottom"/>
          </w:tcPr>
          <w:p>
            <w:pPr>
              <w:pStyle w:val="TableContents"/>
              <w:bidi w:val="0"/>
              <w:spacing w:before="0" w:after="0"/>
              <w:jc w:val="left"/>
              <w:rPr/>
            </w:pPr>
            <w:r>
              <w:rPr/>
              <w:t>)</w:t>
            </w:r>
          </w:p>
        </w:tc>
      </w:tr>
      <w:tr>
        <w:trPr/>
        <w:tc>
          <w:tcPr>
            <w:tcW w:w="3815" w:type="dxa"/>
            <w:tcBorders/>
            <w:shd w:fill="CCEEFF" w:val="clear"/>
            <w:vAlign w:val="bottom"/>
          </w:tcPr>
          <w:p>
            <w:pPr>
              <w:pStyle w:val="TableContents"/>
              <w:bidi w:val="0"/>
              <w:spacing w:before="0" w:after="0"/>
              <w:ind w:left="324" w:right="0" w:hanging="144"/>
              <w:jc w:val="left"/>
              <w:rPr/>
            </w:pPr>
            <w:r>
              <w:rPr/>
              <w:t>Bank card services and interchange fees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9,856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300</w:t>
            </w:r>
          </w:p>
        </w:tc>
        <w:tc>
          <w:tcPr>
            <w:tcW w:w="110"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ind w:left="324" w:right="0" w:hanging="144"/>
              <w:jc w:val="left"/>
              <w:rPr/>
            </w:pPr>
            <w:r>
              <w:rPr/>
              <w:t>Mortgage banking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(1,685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12,146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28,593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(16,447</w:t>
            </w:r>
          </w:p>
        </w:tc>
        <w:tc>
          <w:tcPr>
            <w:tcW w:w="110" w:type="dxa"/>
            <w:tcBorders/>
            <w:vAlign w:val="bottom"/>
          </w:tcPr>
          <w:p>
            <w:pPr>
              <w:pStyle w:val="TableContents"/>
              <w:bidi w:val="0"/>
              <w:spacing w:before="0" w:after="0"/>
              <w:jc w:val="left"/>
              <w:rPr/>
            </w:pPr>
            <w:r>
              <w:rPr/>
              <w:t>)</w:t>
            </w:r>
          </w:p>
        </w:tc>
      </w:tr>
      <w:tr>
        <w:trPr/>
        <w:tc>
          <w:tcPr>
            <w:tcW w:w="3815" w:type="dxa"/>
            <w:tcBorders/>
            <w:shd w:fill="CCEEFF" w:val="clear"/>
            <w:vAlign w:val="bottom"/>
          </w:tcPr>
          <w:p>
            <w:pPr>
              <w:pStyle w:val="TableContents"/>
              <w:bidi w:val="0"/>
              <w:spacing w:before="0" w:after="0"/>
              <w:ind w:left="324" w:right="0" w:hanging="144"/>
              <w:jc w:val="left"/>
              <w:rPr/>
            </w:pPr>
            <w:r>
              <w:rPr/>
              <w:t>Investment commissions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(164</w:t>
            </w:r>
          </w:p>
        </w:tc>
        <w:tc>
          <w:tcPr>
            <w:tcW w:w="110" w:type="dxa"/>
            <w:tcBorders/>
            <w:shd w:fill="CCEEFF" w:val="clear"/>
            <w:vAlign w:val="bottom"/>
          </w:tcPr>
          <w:p>
            <w:pPr>
              <w:pStyle w:val="TableContents"/>
              <w:bidi w:val="0"/>
              <w:spacing w:before="0" w:after="0"/>
              <w:jc w:val="left"/>
              <w:rPr/>
            </w:pPr>
            <w:r>
              <w:rPr/>
              <w:t>)</w:t>
            </w:r>
          </w:p>
        </w:tc>
      </w:tr>
      <w:tr>
        <w:trPr/>
        <w:tc>
          <w:tcPr>
            <w:tcW w:w="3815" w:type="dxa"/>
            <w:tcBorders/>
            <w:vAlign w:val="bottom"/>
          </w:tcPr>
          <w:p>
            <w:pPr>
              <w:pStyle w:val="TableContents"/>
              <w:bidi w:val="0"/>
              <w:spacing w:before="0" w:after="0"/>
              <w:ind w:left="324" w:right="0" w:hanging="144"/>
              <w:jc w:val="left"/>
              <w:rPr/>
            </w:pPr>
            <w:r>
              <w:rPr/>
              <w:t>Fiduciary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(36</w:t>
            </w:r>
          </w:p>
        </w:tc>
        <w:tc>
          <w:tcPr>
            <w:tcW w:w="110" w:type="dxa"/>
            <w:tcBorders/>
            <w:vAlign w:val="bottom"/>
          </w:tcPr>
          <w:p>
            <w:pPr>
              <w:pStyle w:val="TableContents"/>
              <w:bidi w:val="0"/>
              <w:spacing w:before="0" w:after="0"/>
              <w:jc w:val="left"/>
              <w:rPr/>
            </w:pPr>
            <w:r>
              <w:rPr/>
              <w:t>)</w:t>
            </w:r>
          </w:p>
        </w:tc>
      </w:tr>
      <w:tr>
        <w:trPr/>
        <w:tc>
          <w:tcPr>
            <w:tcW w:w="3815" w:type="dxa"/>
            <w:tcBorders/>
            <w:shd w:fill="CCEEFF" w:val="clear"/>
            <w:vAlign w:val="bottom"/>
          </w:tcPr>
          <w:p>
            <w:pPr>
              <w:pStyle w:val="TableContents"/>
              <w:bidi w:val="0"/>
              <w:spacing w:before="0" w:after="0"/>
              <w:ind w:left="324" w:right="0" w:hanging="144"/>
              <w:jc w:val="left"/>
              <w:rPr/>
            </w:pPr>
            <w:r>
              <w:rPr/>
              <w:t>Gain on sale of subsidiary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290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33,778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33,778</w:t>
            </w:r>
          </w:p>
        </w:tc>
        <w:tc>
          <w:tcPr>
            <w:tcW w:w="110"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lineRule="auto" w:line="240" w:before="0" w:after="0"/>
              <w:ind w:left="324" w:right="0" w:hanging="144"/>
              <w:jc w:val="left"/>
              <w:rPr/>
            </w:pPr>
            <w:r>
              <w:rPr/>
              <w:t>Other income and fees(1)</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3,915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(2,569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(4,432</w:t>
            </w:r>
          </w:p>
        </w:tc>
        <w:tc>
          <w:tcPr>
            <w:tcW w:w="110" w:type="dxa"/>
            <w:tcBorders/>
            <w:vAlign w:val="bottom"/>
          </w:tcPr>
          <w:p>
            <w:pPr>
              <w:pStyle w:val="TableContents"/>
              <w:bidi w:val="0"/>
              <w:spacing w:before="0" w:after="0"/>
              <w:jc w:val="left"/>
              <w:rPr/>
            </w:pPr>
            <w:r>
              <w:rPr/>
              <w:t>)</w:t>
            </w:r>
          </w:p>
        </w:tc>
      </w:tr>
      <w:tr>
        <w:trPr/>
        <w:tc>
          <w:tcPr>
            <w:tcW w:w="3815" w:type="dxa"/>
            <w:tcBorders/>
            <w:shd w:fill="CCEEFF" w:val="clear"/>
            <w:vAlign w:val="bottom"/>
          </w:tcPr>
          <w:p>
            <w:pPr>
              <w:pStyle w:val="TableContents"/>
              <w:bidi w:val="0"/>
              <w:spacing w:before="0" w:after="0"/>
              <w:ind w:left="144" w:right="0" w:hanging="144"/>
              <w:jc w:val="left"/>
              <w:rPr/>
            </w:pPr>
            <w:r>
              <w:rPr/>
              <w:t>Total noninterest income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12,277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20,937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(8,660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70,080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63,469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6,611</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pPr>
            <w:r>
              <w:rPr/>
              <w:t>Other income and fees includes income and fees associated with the increase in the cash surrender value of life insurance, safe deposit box rental, check printing, collections, wire transfer, Small Business Investment Company (“SBIC”) investments, and other miscellaneous services.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Noninterest income for the three months ended September 30, 2023 was $12.3 million, compared to $20.9 million for the three months ended September 30, 2022, a decrease of $8.7 million, or 41.4%. Significant changes in the components of noninterest income are detailed below.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Mortgage banking activities</w:t>
      </w:r>
      <w:r>
        <w:rPr>
          <w:rFonts w:ascii="Times New Roman;Times;serif" w:hAnsi="Times New Roman;Times;serif"/>
          <w:color w:val="000000"/>
          <w:sz w:val="20"/>
          <w:shd w:fill="FFFFFF" w:val="clear"/>
        </w:rPr>
        <w:t xml:space="preserve"> - Income from mortgage banking activities decreased $1.7 million, or 26.8%, to $4.6 million for the three months ended September 30, 2023 from $6.3 million for the three months ended September 30, 2022. This decrease was mainly the result of mortgage loan originations declining $50.1 million, or 32.9%, in the current year period as compared to the prior year period as mortgage interest rates have risen and overall mortgage lending has slowed.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Income from insurance activities</w:t>
      </w:r>
      <w:r>
        <w:rPr>
          <w:rFonts w:ascii="Times New Roman;Times;serif" w:hAnsi="Times New Roman;Times;serif"/>
          <w:color w:val="000000"/>
          <w:sz w:val="20"/>
          <w:shd w:fill="FFFFFF" w:val="clear"/>
        </w:rPr>
        <w:t xml:space="preserve"> - Due to the sale of Windmark Insurance Agency, Inc. (“Windmark”) in the second quarter of 2023, there was a decline of $4.8 million in income from insurance activities for the three months ended September 30, 2023 as compared to the same period in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Other income and fees</w:t>
      </w:r>
      <w:r>
        <w:rPr>
          <w:rFonts w:ascii="Times New Roman;Times;serif" w:hAnsi="Times New Roman;Times;serif"/>
          <w:color w:val="000000"/>
          <w:sz w:val="20"/>
          <w:shd w:fill="FFFFFF" w:val="clear"/>
        </w:rPr>
        <w:t xml:space="preserve"> - Other noninterest income and fees decreased for the three months ended September 30, 2023 largely as a result of $2.1 million of income related to legal settlements recorded in the third quarter of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Noninterest income for the nine months ended September 30, 2023 was $70.1 million, compared to $63.5 million for the nine months ended September 30, 2022, an increase of $6.6 million, or 10.4%.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Gain on sale of subsidiary</w:t>
      </w:r>
      <w:r>
        <w:rPr>
          <w:rFonts w:ascii="Times New Roman;Times;serif" w:hAnsi="Times New Roman;Times;serif"/>
          <w:color w:val="000000"/>
          <w:sz w:val="20"/>
          <w:shd w:fill="FFFFFF" w:val="clear"/>
        </w:rPr>
        <w:t xml:space="preserve"> - A $33.8 million gain from the sale of Windmark was recorded in the second quarter of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Mortgage banking activities</w:t>
      </w:r>
      <w:r>
        <w:rPr>
          <w:rFonts w:ascii="Times New Roman;Times;serif" w:hAnsi="Times New Roman;Times;serif"/>
          <w:color w:val="000000"/>
          <w:sz w:val="20"/>
          <w:shd w:fill="FFFFFF" w:val="clear"/>
        </w:rPr>
        <w:t xml:space="preserve"> - Income from mortgage banking activities decreased $16.4 million, or 57.5%, to $12.1 million for the nine months ended September 30, 2023 from $28.6 million for the nine months ended September 30, 2022. This decrease was primarily a result of a decrease of $273.1 million, or 46.0%, in mortgage loan originations in the current year period as compared to the prior year period as mortgage interest rates have risen and refinance activity, which was still occurring in the first and second quarters of 2022, has subsided. There was also an $875 thousand decrease in the fair value of the Company’s mortgage servicing rights portfolio for the nine months ended September 30, 2023 as compared to a $6.0 million increase for the same period in 2022, given the changes in market interest rates during the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Income from insurance activities</w:t>
      </w:r>
      <w:r>
        <w:rPr>
          <w:rFonts w:ascii="Times New Roman;Times;serif" w:hAnsi="Times New Roman;Times;serif"/>
          <w:color w:val="000000"/>
          <w:sz w:val="20"/>
          <w:shd w:fill="FFFFFF" w:val="clear"/>
        </w:rPr>
        <w:t xml:space="preserve"> - Due to the sale of Windmark, there was a decline of $6.5 million in income from insurance activities for the nine months ended September 30, 2023 as compared to the same period in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Other income and fees</w:t>
      </w:r>
      <w:r>
        <w:rPr>
          <w:rFonts w:ascii="Times New Roman;Times;serif" w:hAnsi="Times New Roman;Times;serif"/>
          <w:color w:val="000000"/>
          <w:sz w:val="20"/>
          <w:shd w:fill="FFFFFF" w:val="clear"/>
        </w:rPr>
        <w:t xml:space="preserve"> - Other noninterest income and fees increased in the nine months ended September 30, 2022 from earnings on SBIC investments of $2.3 million as compared to $310 thousand in the same period of 2023 and $2.1 million of income related to legal settlements recorded in the third quarter of 2022.</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Noninterest Expense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sets forth the major components of our noninterest expense for the periods indicated:</w:t>
      </w:r>
    </w:p>
    <w:p>
      <w:pPr>
        <w:pStyle w:val="TextBody"/>
        <w:bidi w:val="0"/>
        <w:spacing w:before="0" w:after="0"/>
        <w:jc w:val="left"/>
        <w:rPr/>
      </w:pPr>
      <w:r>
        <w:rPr/>
      </w:r>
    </w:p>
    <w:tbl>
      <w:tblPr>
        <w:tblW w:w="9438" w:type="dxa"/>
        <w:jc w:val="left"/>
        <w:tblInd w:w="0" w:type="dxa"/>
        <w:tblLayout w:type="fixed"/>
        <w:tblCellMar>
          <w:top w:w="0" w:type="dxa"/>
          <w:left w:w="0" w:type="dxa"/>
          <w:bottom w:w="0" w:type="dxa"/>
          <w:right w:w="0" w:type="dxa"/>
        </w:tblCellMar>
      </w:tblPr>
      <w:tblGrid>
        <w:gridCol w:w="2945"/>
        <w:gridCol w:w="60"/>
        <w:gridCol w:w="140"/>
        <w:gridCol w:w="680"/>
        <w:gridCol w:w="60"/>
        <w:gridCol w:w="60"/>
        <w:gridCol w:w="140"/>
        <w:gridCol w:w="680"/>
        <w:gridCol w:w="60"/>
        <w:gridCol w:w="60"/>
        <w:gridCol w:w="195"/>
        <w:gridCol w:w="889"/>
        <w:gridCol w:w="95"/>
        <w:gridCol w:w="60"/>
        <w:gridCol w:w="140"/>
        <w:gridCol w:w="800"/>
        <w:gridCol w:w="60"/>
        <w:gridCol w:w="60"/>
        <w:gridCol w:w="140"/>
        <w:gridCol w:w="800"/>
        <w:gridCol w:w="60"/>
        <w:gridCol w:w="60"/>
        <w:gridCol w:w="195"/>
        <w:gridCol w:w="889"/>
        <w:gridCol w:w="110"/>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4" w:type="dxa"/>
            <w:gridSpan w:val="10"/>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11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w:t>
            </w:r>
          </w:p>
          <w:p>
            <w:pPr>
              <w:pStyle w:val="TableContents"/>
              <w:bidi w:val="0"/>
              <w:spacing w:before="0" w:after="0"/>
              <w:jc w:val="center"/>
              <w:rPr>
                <w:b/>
              </w:rPr>
            </w:pPr>
            <w:r>
              <w:rPr>
                <w:b/>
              </w:rPr>
              <w:t>(Decrease)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w:t>
            </w:r>
          </w:p>
          <w:p>
            <w:pPr>
              <w:pStyle w:val="TableContents"/>
              <w:bidi w:val="0"/>
              <w:spacing w:before="0" w:after="0"/>
              <w:jc w:val="center"/>
              <w:rPr>
                <w:b/>
              </w:rPr>
            </w:pPr>
            <w:r>
              <w:rPr>
                <w:b/>
              </w:rPr>
              <w:t>(Decrease)</w:t>
            </w:r>
          </w:p>
        </w:tc>
        <w:tc>
          <w:tcPr>
            <w:tcW w:w="11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23" w:type="dxa"/>
            <w:gridSpan w:val="22"/>
            <w:tcBorders/>
            <w:vAlign w:val="bottom"/>
          </w:tcPr>
          <w:p>
            <w:pPr>
              <w:pStyle w:val="TableContents"/>
              <w:bidi w:val="0"/>
              <w:spacing w:before="0" w:after="0"/>
              <w:jc w:val="center"/>
              <w:rPr>
                <w:b/>
              </w:rPr>
            </w:pPr>
            <w:r>
              <w:rPr>
                <w:b/>
              </w:rPr>
              <w:t>(Dollars in thousands)</w:t>
            </w:r>
          </w:p>
        </w:tc>
        <w:tc>
          <w:tcPr>
            <w:tcW w:w="110"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b/>
              </w:rPr>
            </w:pPr>
            <w:r>
              <w:rPr>
                <w:b/>
              </w:rPr>
              <w:t>Noninterest expense: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pPr>
            <w:r>
              <w:rPr/>
              <w:t>Salaries and employee benefits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18,709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22,927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(4,218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61,400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67,620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(6,220</w:t>
            </w:r>
          </w:p>
        </w:tc>
        <w:tc>
          <w:tcPr>
            <w:tcW w:w="110" w:type="dxa"/>
            <w:tcBorders/>
            <w:shd w:fill="CCEEFF" w:val="clear"/>
            <w:vAlign w:val="bottom"/>
          </w:tcPr>
          <w:p>
            <w:pPr>
              <w:pStyle w:val="TableContents"/>
              <w:bidi w:val="0"/>
              <w:spacing w:before="0" w:after="0"/>
              <w:jc w:val="left"/>
              <w:rPr/>
            </w:pPr>
            <w:r>
              <w:rPr/>
              <w:t>)</w:t>
            </w:r>
          </w:p>
        </w:tc>
      </w:tr>
      <w:tr>
        <w:trPr/>
        <w:tc>
          <w:tcPr>
            <w:tcW w:w="2945" w:type="dxa"/>
            <w:tcBorders/>
            <w:vAlign w:val="bottom"/>
          </w:tcPr>
          <w:p>
            <w:pPr>
              <w:pStyle w:val="TableContents"/>
              <w:bidi w:val="0"/>
              <w:spacing w:before="0" w:after="0"/>
              <w:ind w:left="180" w:right="0" w:hanging="0"/>
              <w:jc w:val="left"/>
              <w:rPr/>
            </w:pPr>
            <w:r>
              <w:rPr/>
              <w:t>Occupancy expense,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(21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12,246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11,902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344</w:t>
            </w:r>
          </w:p>
        </w:tc>
        <w:tc>
          <w:tcPr>
            <w:tcW w:w="11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pPr>
            <w:r>
              <w:rPr/>
              <w:t>Professional services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(963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7,795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(2,871</w:t>
            </w:r>
          </w:p>
        </w:tc>
        <w:tc>
          <w:tcPr>
            <w:tcW w:w="110" w:type="dxa"/>
            <w:tcBorders/>
            <w:shd w:fill="CCEEFF" w:val="clear"/>
            <w:vAlign w:val="bottom"/>
          </w:tcPr>
          <w:p>
            <w:pPr>
              <w:pStyle w:val="TableContents"/>
              <w:bidi w:val="0"/>
              <w:spacing w:before="0" w:after="0"/>
              <w:jc w:val="left"/>
              <w:rPr/>
            </w:pPr>
            <w:r>
              <w:rPr/>
              <w:t>)</w:t>
            </w:r>
          </w:p>
        </w:tc>
      </w:tr>
      <w:tr>
        <w:trPr/>
        <w:tc>
          <w:tcPr>
            <w:tcW w:w="2945" w:type="dxa"/>
            <w:tcBorders/>
            <w:vAlign w:val="bottom"/>
          </w:tcPr>
          <w:p>
            <w:pPr>
              <w:pStyle w:val="TableContents"/>
              <w:bidi w:val="0"/>
              <w:spacing w:before="0" w:after="0"/>
              <w:ind w:left="180" w:right="0" w:hanging="0"/>
              <w:jc w:val="left"/>
              <w:rPr/>
            </w:pPr>
            <w:r>
              <w:rPr/>
              <w:t>Marketing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(60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2,573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182</w:t>
            </w:r>
          </w:p>
        </w:tc>
        <w:tc>
          <w:tcPr>
            <w:tcW w:w="11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pPr>
            <w:r>
              <w:rPr/>
              <w:t>IT and data services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(90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(332</w:t>
            </w:r>
          </w:p>
        </w:tc>
        <w:tc>
          <w:tcPr>
            <w:tcW w:w="110" w:type="dxa"/>
            <w:tcBorders/>
            <w:shd w:fill="CCEEFF" w:val="clear"/>
            <w:vAlign w:val="bottom"/>
          </w:tcPr>
          <w:p>
            <w:pPr>
              <w:pStyle w:val="TableContents"/>
              <w:bidi w:val="0"/>
              <w:spacing w:before="0" w:after="0"/>
              <w:jc w:val="left"/>
              <w:rPr/>
            </w:pPr>
            <w:r>
              <w:rPr/>
              <w:t>)</w:t>
            </w:r>
          </w:p>
        </w:tc>
      </w:tr>
      <w:tr>
        <w:trPr/>
        <w:tc>
          <w:tcPr>
            <w:tcW w:w="2945" w:type="dxa"/>
            <w:tcBorders/>
            <w:vAlign w:val="bottom"/>
          </w:tcPr>
          <w:p>
            <w:pPr>
              <w:pStyle w:val="TableContents"/>
              <w:bidi w:val="0"/>
              <w:spacing w:before="0" w:after="0"/>
              <w:ind w:left="180" w:right="0" w:hanging="0"/>
              <w:jc w:val="left"/>
              <w:rPr/>
            </w:pPr>
            <w:r>
              <w:rPr/>
              <w:t>Bankcard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1,399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69</w:t>
            </w:r>
          </w:p>
        </w:tc>
        <w:tc>
          <w:tcPr>
            <w:tcW w:w="11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pPr>
            <w:r>
              <w:rPr/>
              <w:t>Appraisal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(76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(570</w:t>
            </w:r>
          </w:p>
        </w:tc>
        <w:tc>
          <w:tcPr>
            <w:tcW w:w="110" w:type="dxa"/>
            <w:tcBorders/>
            <w:shd w:fill="CCEEFF" w:val="clear"/>
            <w:vAlign w:val="bottom"/>
          </w:tcPr>
          <w:p>
            <w:pPr>
              <w:pStyle w:val="TableContents"/>
              <w:bidi w:val="0"/>
              <w:spacing w:before="0" w:after="0"/>
              <w:jc w:val="left"/>
              <w:rPr/>
            </w:pPr>
            <w:r>
              <w:rPr/>
              <w:t>)</w:t>
            </w:r>
          </w:p>
        </w:tc>
      </w:tr>
      <w:tr>
        <w:trPr/>
        <w:tc>
          <w:tcPr>
            <w:tcW w:w="2945" w:type="dxa"/>
            <w:tcBorders/>
            <w:vAlign w:val="bottom"/>
          </w:tcPr>
          <w:p>
            <w:pPr>
              <w:pStyle w:val="TableContents"/>
              <w:bidi w:val="0"/>
              <w:spacing w:before="0" w:after="0"/>
              <w:ind w:left="180" w:right="0" w:hanging="0"/>
              <w:jc w:val="left"/>
              <w:rPr/>
            </w:pPr>
            <w:r>
              <w:rPr/>
              <w:t>Loss on sale of securities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3,409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3,409</w:t>
            </w:r>
          </w:p>
        </w:tc>
        <w:tc>
          <w:tcPr>
            <w:tcW w:w="11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lineRule="auto" w:line="240" w:before="0" w:after="0"/>
              <w:ind w:left="180" w:right="0" w:hanging="0"/>
              <w:jc w:val="left"/>
              <w:rPr/>
            </w:pPr>
            <w:r>
              <w:rPr/>
              <w:t>Other expenses(1)</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4,240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(536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12,246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13,289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(1,043</w:t>
            </w:r>
          </w:p>
        </w:tc>
        <w:tc>
          <w:tcPr>
            <w:tcW w:w="110" w:type="dxa"/>
            <w:tcBorders/>
            <w:shd w:fill="CCEEFF" w:val="clear"/>
            <w:vAlign w:val="bottom"/>
          </w:tcPr>
          <w:p>
            <w:pPr>
              <w:pStyle w:val="TableContents"/>
              <w:bidi w:val="0"/>
              <w:spacing w:before="0" w:after="0"/>
              <w:jc w:val="left"/>
              <w:rPr/>
            </w:pPr>
            <w:r>
              <w:rPr/>
              <w:t>)</w:t>
            </w:r>
          </w:p>
        </w:tc>
      </w:tr>
      <w:tr>
        <w:trPr/>
        <w:tc>
          <w:tcPr>
            <w:tcW w:w="2945" w:type="dxa"/>
            <w:tcBorders/>
            <w:vAlign w:val="bottom"/>
          </w:tcPr>
          <w:p>
            <w:pPr>
              <w:pStyle w:val="TableContents"/>
              <w:bidi w:val="0"/>
              <w:spacing w:before="0" w:after="0"/>
              <w:ind w:left="360" w:right="0" w:hanging="0"/>
              <w:jc w:val="left"/>
              <w:rPr/>
            </w:pPr>
            <w:r>
              <w:rPr/>
              <w:t>Total noninterest expense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31,489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37,401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(5,912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104,349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111,381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(7,032</w:t>
            </w:r>
          </w:p>
        </w:tc>
        <w:tc>
          <w:tcPr>
            <w:tcW w:w="110"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both"/>
              <w:rPr/>
            </w:pPr>
            <w:r>
              <w:rPr/>
              <w:t>Other expenses include items such as banking regulatory assessments, telephone expenses, postage, courier fees, directors’ fees, supplies, and insurance.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Noninterest expense for the three months ended September 30, 2023 was $31.5 million compared to $37.4 million for the three months ended September 30, 2022, a decrease of $5.9 million, or 15.8%. Significant changes in the components of noninterest expense are detailed below.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Salaries and employee benefits</w:t>
      </w:r>
      <w:r>
        <w:rPr>
          <w:rFonts w:ascii="Times New Roman;Times;serif" w:hAnsi="Times New Roman;Times;serif"/>
          <w:color w:val="000000"/>
          <w:sz w:val="20"/>
          <w:shd w:fill="FFFFFF" w:val="clear"/>
        </w:rPr>
        <w:t xml:space="preserve"> - Salaries and employee benefits decreased $4.2 million, or 18.4%, from $22.9 million for the three months ended September 30, 2022 to $18.7 million for the three months ended September 30, 2023. This decrease was primarily driven by approximately $1.8 million in lower mortgage personnel costs, due to the reduction in mortgage loan originations and operations, and also lower core Windmark personnel costs of $2.7 million due to the sale in the second quarter of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Professional services</w:t>
      </w:r>
      <w:r>
        <w:rPr>
          <w:rFonts w:ascii="Times New Roman;Times;serif" w:hAnsi="Times New Roman;Times;serif"/>
          <w:color w:val="000000"/>
          <w:sz w:val="20"/>
          <w:shd w:fill="FFFFFF" w:val="clear"/>
        </w:rPr>
        <w:t xml:space="preserve"> - Professional services decreased $963 thousand during the three months ended September 30, 2023, as compared to the same period in 2022, primarily from a reduction of approximately $842 thousand in legal fees incurred largely as a result of a vendor dispute, which was resolved and accounted for by the end of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Other expenses</w:t>
      </w:r>
      <w:r>
        <w:rPr>
          <w:rFonts w:ascii="Times New Roman;Times;serif" w:hAnsi="Times New Roman;Times;serif"/>
          <w:color w:val="000000"/>
          <w:sz w:val="20"/>
          <w:shd w:fill="FFFFFF" w:val="clear"/>
        </w:rPr>
        <w:t xml:space="preserve"> – Other noninterest expenses declined in the current year period primarily from reduced expenses from mortgage operations, as mortgage originations declined, and Windmark expenses, due to the sale, as compared to the prior year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Noninterest expense for the nine months ended September 30, 2023 was $104.3 million, compared to $111.4 million for the nine months ended September 30, 2022, a decrease of $7.0 million, or 6.3%. Significant changes in the components of noninterest expense are detailed below.</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Salaries and employee benefits</w:t>
      </w:r>
      <w:r>
        <w:rPr>
          <w:rFonts w:ascii="Times New Roman;Times;serif" w:hAnsi="Times New Roman;Times;serif"/>
          <w:color w:val="000000"/>
          <w:sz w:val="20"/>
          <w:shd w:fill="FFFFFF" w:val="clear"/>
        </w:rPr>
        <w:t xml:space="preserve"> - Salaries and employee benefits decreased $6.2 million, or 9.2%, from $67.6 million for the nine months ended September 30, 2022 to $61.4 million for the nine months ended September 30, 2023. This was primarily driven by approximately $5.9 million in lower mortgage personnel costs, due to the reduction in mortgage loan originations and operations. Also, there was lower core Windmark personnel costs due to the sale, partially offset by Windmark transaction and related incentive-based compensation expenses incurred in the first and second quarters of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Professional services</w:t>
      </w:r>
      <w:r>
        <w:rPr>
          <w:rFonts w:ascii="Times New Roman;Times;serif" w:hAnsi="Times New Roman;Times;serif"/>
          <w:color w:val="000000"/>
          <w:sz w:val="20"/>
          <w:shd w:fill="FFFFFF" w:val="clear"/>
        </w:rPr>
        <w:t xml:space="preserve"> - Professional services decreased $2.9 million during the nine months ended September 30, 2023, as compared to the same period in 2022, primarily from a reduction of $2.4 million in legal fees incurred largely as a result of a vendor dispute, which was resolved and accounted for by the end of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Loss on sale of securities</w:t>
      </w:r>
      <w:r>
        <w:rPr>
          <w:rFonts w:ascii="Times New Roman;Times;serif" w:hAnsi="Times New Roman;Times;serif"/>
          <w:color w:val="000000"/>
          <w:sz w:val="20"/>
          <w:shd w:fill="FFFFFF" w:val="clear"/>
        </w:rPr>
        <w:t xml:space="preserve"> - The Company sold approximately $56.2 million of available for sale securities in the second quarter of 2023. This resulted in a loss on sale of $3.4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color w:val="000000"/>
          <w:sz w:val="20"/>
          <w:shd w:fill="FFFFFF" w:val="clear"/>
        </w:rPr>
        <w:t>Other expenses</w:t>
      </w:r>
      <w:r>
        <w:rPr>
          <w:rFonts w:ascii="Times New Roman;Times;serif" w:hAnsi="Times New Roman;Times;serif"/>
          <w:color w:val="000000"/>
          <w:sz w:val="20"/>
          <w:shd w:fill="FFFFFF" w:val="clear"/>
        </w:rPr>
        <w:t xml:space="preserve"> - Other variable mortgage-based expenses also declined during the nine months ended September 30, 2023, as compared to the same period in 2022, as mortgage originations declined. Additionally, the FDIC assessment increased approximately $676 thousand as the assessment rates charged by the FDIC were increased as well as growth in the assessment base for the nine months ended September 30, 2023 as compared to the same period in 2022.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total assets increased $242.4 million, or 6.1%, to $4.19 billion at September 30, 2023, compared to $3.94 billion at December 31, 2022. Our gross loans held for investment increased $245.5 million, or 8.9%, to $2.99 billion at September 30, 2023, compared to $2.75 billion at December 31, 2022. Our securities portfolio decreased $116.7 million, or 16.6%, to $585.0 million at September 30, 2023, compared to $701.7 million at December 31, 2022. Total deposits increased $214.2 million, or 6.3%, to $3.62 billion at September 30, 2023, compared to $3.41 billion at December 31, 2022.</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Loan Portfolio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Loans held for investment increased $245.5 million, or 8.9%, to $2.99 billion at September 30, 2023, compared to $2.75 billion at December 31, 2022. This increase in our loans was primarily the result of organic net loan growth based on strong loan demand. The organic loan growth remained relationship-focused and occurred primarily in commercial real estate loans, residential mortgage loans, and commercial loans.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shows the contractual maturities of our loans held for investment portfolio at September 30, 2023:</w:t>
      </w:r>
    </w:p>
    <w:p>
      <w:pPr>
        <w:pStyle w:val="TextBody"/>
        <w:bidi w:val="0"/>
        <w:spacing w:before="0" w:after="0"/>
        <w:jc w:val="left"/>
        <w:rPr/>
      </w:pPr>
      <w:r>
        <w:rPr/>
      </w:r>
    </w:p>
    <w:tbl>
      <w:tblPr>
        <w:tblW w:w="9947" w:type="dxa"/>
        <w:jc w:val="left"/>
        <w:tblInd w:w="0" w:type="dxa"/>
        <w:tblLayout w:type="fixed"/>
        <w:tblCellMar>
          <w:top w:w="0" w:type="dxa"/>
          <w:left w:w="0" w:type="dxa"/>
          <w:bottom w:w="0" w:type="dxa"/>
          <w:right w:w="0" w:type="dxa"/>
        </w:tblCellMar>
      </w:tblPr>
      <w:tblGrid>
        <w:gridCol w:w="2420"/>
        <w:gridCol w:w="60"/>
        <w:gridCol w:w="201"/>
        <w:gridCol w:w="1153"/>
        <w:gridCol w:w="60"/>
        <w:gridCol w:w="60"/>
        <w:gridCol w:w="190"/>
        <w:gridCol w:w="1330"/>
        <w:gridCol w:w="60"/>
        <w:gridCol w:w="60"/>
        <w:gridCol w:w="228"/>
        <w:gridCol w:w="1306"/>
        <w:gridCol w:w="60"/>
        <w:gridCol w:w="60"/>
        <w:gridCol w:w="206"/>
        <w:gridCol w:w="1178"/>
        <w:gridCol w:w="60"/>
        <w:gridCol w:w="60"/>
        <w:gridCol w:w="140"/>
        <w:gridCol w:w="980"/>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Due in</w:t>
            </w:r>
          </w:p>
          <w:p>
            <w:pPr>
              <w:pStyle w:val="TableContents"/>
              <w:bidi w:val="0"/>
              <w:spacing w:before="0" w:after="0"/>
              <w:jc w:val="center"/>
              <w:rPr>
                <w:b/>
              </w:rPr>
            </w:pPr>
            <w:r>
              <w:rPr>
                <w:b/>
              </w:rPr>
              <w:t xml:space="preserve">One Year or </w:t>
            </w:r>
          </w:p>
          <w:p>
            <w:pPr>
              <w:pStyle w:val="TableContents"/>
              <w:bidi w:val="0"/>
              <w:spacing w:before="0" w:after="0"/>
              <w:jc w:val="center"/>
              <w:rPr>
                <w:b/>
              </w:rPr>
            </w:pPr>
            <w:r>
              <w:rPr>
                <w:b/>
              </w:rPr>
              <w:t>Less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Due after One </w:t>
            </w:r>
          </w:p>
          <w:p>
            <w:pPr>
              <w:pStyle w:val="TableContents"/>
              <w:bidi w:val="0"/>
              <w:spacing w:before="0" w:after="0"/>
              <w:jc w:val="center"/>
              <w:rPr>
                <w:b/>
              </w:rPr>
            </w:pPr>
            <w:r>
              <w:rPr>
                <w:b/>
              </w:rPr>
              <w:t>Year</w:t>
            </w:r>
          </w:p>
          <w:p>
            <w:pPr>
              <w:pStyle w:val="TableContents"/>
              <w:bidi w:val="0"/>
              <w:spacing w:before="0" w:after="0"/>
              <w:jc w:val="center"/>
              <w:rPr>
                <w:b/>
              </w:rPr>
            </w:pPr>
            <w:r>
              <w:rPr>
                <w:b/>
              </w:rPr>
              <w:t xml:space="preserve">Through Five </w:t>
            </w:r>
          </w:p>
          <w:p>
            <w:pPr>
              <w:pStyle w:val="TableContents"/>
              <w:bidi w:val="0"/>
              <w:spacing w:before="0" w:after="0"/>
              <w:jc w:val="center"/>
              <w:rPr>
                <w:b/>
              </w:rPr>
            </w:pPr>
            <w:r>
              <w:rPr>
                <w:b/>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Due after Five </w:t>
            </w:r>
          </w:p>
          <w:p>
            <w:pPr>
              <w:pStyle w:val="TableContents"/>
              <w:bidi w:val="0"/>
              <w:spacing w:before="0" w:after="0"/>
              <w:jc w:val="center"/>
              <w:rPr>
                <w:b/>
              </w:rPr>
            </w:pPr>
            <w:r>
              <w:rPr>
                <w:b/>
              </w:rPr>
              <w:t>Years</w:t>
            </w:r>
          </w:p>
          <w:p>
            <w:pPr>
              <w:pStyle w:val="TableContents"/>
              <w:bidi w:val="0"/>
              <w:spacing w:before="0" w:after="0"/>
              <w:jc w:val="center"/>
              <w:rPr>
                <w:b/>
              </w:rPr>
            </w:pPr>
            <w:r>
              <w:rPr>
                <w:b/>
              </w:rPr>
              <w:t xml:space="preserve">Through </w:t>
            </w:r>
          </w:p>
          <w:p>
            <w:pPr>
              <w:pStyle w:val="TableContents"/>
              <w:bidi w:val="0"/>
              <w:spacing w:before="0" w:after="0"/>
              <w:jc w:val="center"/>
              <w:rPr>
                <w:b/>
              </w:rPr>
            </w:pPr>
            <w:r>
              <w:rPr>
                <w:b/>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Due after</w:t>
            </w:r>
          </w:p>
          <w:p>
            <w:pPr>
              <w:pStyle w:val="TableContents"/>
              <w:bidi w:val="0"/>
              <w:spacing w:before="0" w:after="0"/>
              <w:jc w:val="center"/>
              <w:rPr>
                <w:b/>
              </w:rPr>
            </w:pPr>
            <w:r>
              <w:rPr>
                <w:b/>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2" w:type="dxa"/>
            <w:gridSpan w:val="18"/>
            <w:tcBorders/>
            <w:vAlign w:val="bottom"/>
          </w:tcPr>
          <w:p>
            <w:pPr>
              <w:pStyle w:val="TableContents"/>
              <w:bidi w:val="0"/>
              <w:spacing w:before="0" w:after="0"/>
              <w:jc w:val="center"/>
              <w:rPr>
                <w:b/>
              </w:rPr>
            </w:pPr>
            <w:r>
              <w:rPr>
                <w:b/>
              </w:rPr>
              <w:t>(Dollars in thousands)</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pPr>
            <w:r>
              <w:rPr/>
              <w:t>Commercial real estate</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pPr>
            <w:r>
              <w:rPr/>
              <w:t>$</w:t>
            </w:r>
          </w:p>
        </w:tc>
        <w:tc>
          <w:tcPr>
            <w:tcW w:w="1153" w:type="dxa"/>
            <w:tcBorders/>
            <w:shd w:fill="CCEEFF" w:val="clear"/>
            <w:vAlign w:val="bottom"/>
          </w:tcPr>
          <w:p>
            <w:pPr>
              <w:pStyle w:val="TableContents"/>
              <w:bidi w:val="0"/>
              <w:spacing w:before="0" w:after="0"/>
              <w:jc w:val="right"/>
              <w:rPr/>
            </w:pPr>
            <w:r>
              <w:rPr/>
              <w:t>94,042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pPr>
            <w:r>
              <w:rPr/>
              <w:t>$</w:t>
            </w:r>
          </w:p>
        </w:tc>
        <w:tc>
          <w:tcPr>
            <w:tcW w:w="1330" w:type="dxa"/>
            <w:tcBorders/>
            <w:shd w:fill="CCEEFF" w:val="clear"/>
            <w:vAlign w:val="bottom"/>
          </w:tcPr>
          <w:p>
            <w:pPr>
              <w:pStyle w:val="TableContents"/>
              <w:bidi w:val="0"/>
              <w:spacing w:before="0" w:after="0"/>
              <w:jc w:val="right"/>
              <w:rPr/>
            </w:pPr>
            <w:r>
              <w:rPr/>
              <w:t>579,187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286,365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pPr>
            <w:r>
              <w:rPr/>
              <w:t>$</w:t>
            </w:r>
          </w:p>
        </w:tc>
        <w:tc>
          <w:tcPr>
            <w:tcW w:w="1178" w:type="dxa"/>
            <w:tcBorders/>
            <w:shd w:fill="CCEEFF" w:val="clear"/>
            <w:vAlign w:val="bottom"/>
          </w:tcPr>
          <w:p>
            <w:pPr>
              <w:pStyle w:val="TableContents"/>
              <w:bidi w:val="0"/>
              <w:spacing w:before="0" w:after="0"/>
              <w:jc w:val="right"/>
              <w:rPr/>
            </w:pPr>
            <w:r>
              <w:rPr/>
              <w:t>86,668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1,046,262</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Commercial - specialized</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pPr>
            <w:r>
              <w:rPr/>
              <w:t>124,069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0"/>
              <w:jc w:val="right"/>
              <w:rPr/>
            </w:pPr>
            <w:r>
              <w:rPr/>
              <w:t>125,068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64,504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pPr>
            <w:r>
              <w:rPr/>
              <w:t>52,764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366,405</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pPr>
            <w:r>
              <w:rPr/>
              <w:t>Commercial - general</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pPr>
            <w:r>
              <w:rPr/>
              <w:t>81,376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0"/>
              <w:jc w:val="right"/>
              <w:rPr/>
            </w:pPr>
            <w:r>
              <w:rPr/>
              <w:t>159,153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148,345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pPr>
            <w:r>
              <w:rPr/>
              <w:t>125,693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514,567</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Consumer:</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1-4 family residential</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pPr>
            <w:r>
              <w:rPr/>
              <w:t>48,452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0"/>
              <w:jc w:val="right"/>
              <w:rPr/>
            </w:pPr>
            <w:r>
              <w:rPr/>
              <w:t>100,338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75,056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pPr>
            <w:r>
              <w:rPr/>
              <w:t>310,665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534,511</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0"/>
              <w:jc w:val="left"/>
              <w:rPr/>
            </w:pPr>
            <w:r>
              <w:rPr/>
              <w:t>Auto loans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pPr>
            <w:r>
              <w:rPr/>
              <w:t>3,036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0"/>
              <w:jc w:val="right"/>
              <w:rPr/>
            </w:pPr>
            <w:r>
              <w:rPr/>
              <w:t>192,234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120,754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316,024</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Other consumer</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pPr>
            <w:r>
              <w:rPr/>
              <w:t>8,354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0"/>
              <w:jc w:val="right"/>
              <w:rPr/>
            </w:pPr>
            <w:r>
              <w:rPr/>
              <w:t>47,850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21,121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77,325</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Construction</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3" w:type="dxa"/>
            <w:tcBorders>
              <w:bottom w:val="single" w:sz="12" w:space="0" w:color="000000"/>
            </w:tcBorders>
            <w:tcMar>
              <w:bottom w:w="28" w:type="dxa"/>
            </w:tcMar>
            <w:vAlign w:val="bottom"/>
          </w:tcPr>
          <w:p>
            <w:pPr>
              <w:pStyle w:val="TableContents"/>
              <w:bidi w:val="0"/>
              <w:spacing w:before="0" w:after="0"/>
              <w:jc w:val="right"/>
              <w:rPr/>
            </w:pPr>
            <w:r>
              <w:rPr/>
              <w:t>124,558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0" w:type="dxa"/>
            <w:tcBorders>
              <w:bottom w:val="single" w:sz="12" w:space="0" w:color="000000"/>
            </w:tcBorders>
            <w:tcMar>
              <w:bottom w:w="28" w:type="dxa"/>
            </w:tcMar>
            <w:vAlign w:val="bottom"/>
          </w:tcPr>
          <w:p>
            <w:pPr>
              <w:pStyle w:val="TableContents"/>
              <w:bidi w:val="0"/>
              <w:spacing w:before="0" w:after="0"/>
              <w:jc w:val="right"/>
              <w:rPr/>
            </w:pPr>
            <w:r>
              <w:rPr/>
              <w:t>4,707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tcMar>
              <w:bottom w:w="28" w:type="dxa"/>
            </w:tcMar>
            <w:vAlign w:val="bottom"/>
          </w:tcPr>
          <w:p>
            <w:pPr>
              <w:pStyle w:val="TableContents"/>
              <w:bidi w:val="0"/>
              <w:spacing w:before="0" w:after="0"/>
              <w:jc w:val="right"/>
              <w:rPr/>
            </w:pPr>
            <w:r>
              <w:rPr/>
              <w:t>791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8" w:type="dxa"/>
            <w:tcBorders>
              <w:bottom w:val="single" w:sz="12" w:space="0" w:color="000000"/>
            </w:tcBorders>
            <w:tcMar>
              <w:bottom w:w="28" w:type="dxa"/>
            </w:tcMar>
            <w:vAlign w:val="bottom"/>
          </w:tcPr>
          <w:p>
            <w:pPr>
              <w:pStyle w:val="TableContents"/>
              <w:bidi w:val="0"/>
              <w:spacing w:before="0" w:after="0"/>
              <w:jc w:val="right"/>
              <w:rPr/>
            </w:pPr>
            <w:r>
              <w:rPr/>
              <w:t>8,413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138,469</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Total loans</w:t>
            </w:r>
          </w:p>
        </w:tc>
        <w:tc>
          <w:tcPr>
            <w:tcW w:w="60" w:type="dxa"/>
            <w:tcBorders/>
            <w:shd w:fill="CCEEFF" w:val="cle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3" w:type="dxa"/>
            <w:tcBorders>
              <w:bottom w:val="double" w:sz="8" w:space="0" w:color="000000"/>
            </w:tcBorders>
            <w:shd w:fill="CCEEFF" w:val="clear"/>
            <w:tcMar>
              <w:bottom w:w="28" w:type="dxa"/>
            </w:tcMar>
            <w:vAlign w:val="bottom"/>
          </w:tcPr>
          <w:p>
            <w:pPr>
              <w:pStyle w:val="TableContents"/>
              <w:bidi w:val="0"/>
              <w:spacing w:before="0" w:after="0"/>
              <w:jc w:val="right"/>
              <w:rPr/>
            </w:pPr>
            <w:r>
              <w:rPr/>
              <w:t>483,887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30" w:type="dxa"/>
            <w:tcBorders>
              <w:bottom w:val="double" w:sz="8" w:space="0" w:color="000000"/>
            </w:tcBorders>
            <w:shd w:fill="CCEEFF" w:val="clear"/>
            <w:tcMar>
              <w:bottom w:w="28" w:type="dxa"/>
            </w:tcMar>
            <w:vAlign w:val="bottom"/>
          </w:tcPr>
          <w:p>
            <w:pPr>
              <w:pStyle w:val="TableContents"/>
              <w:bidi w:val="0"/>
              <w:spacing w:before="0" w:after="0"/>
              <w:jc w:val="right"/>
              <w:rPr/>
            </w:pPr>
            <w:r>
              <w:rPr/>
              <w:t>1,208,537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06" w:type="dxa"/>
            <w:tcBorders>
              <w:bottom w:val="double" w:sz="8" w:space="0" w:color="000000"/>
            </w:tcBorders>
            <w:shd w:fill="CCEEFF" w:val="clear"/>
            <w:tcMar>
              <w:bottom w:w="28" w:type="dxa"/>
            </w:tcMar>
            <w:vAlign w:val="bottom"/>
          </w:tcPr>
          <w:p>
            <w:pPr>
              <w:pStyle w:val="TableContents"/>
              <w:bidi w:val="0"/>
              <w:spacing w:before="0" w:after="0"/>
              <w:jc w:val="right"/>
              <w:rPr/>
            </w:pPr>
            <w:r>
              <w:rPr/>
              <w:t>716,936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78" w:type="dxa"/>
            <w:tcBorders>
              <w:bottom w:val="double" w:sz="8" w:space="0" w:color="000000"/>
            </w:tcBorders>
            <w:shd w:fill="CCEEFF" w:val="clear"/>
            <w:tcMar>
              <w:bottom w:w="28" w:type="dxa"/>
            </w:tcMar>
            <w:vAlign w:val="bottom"/>
          </w:tcPr>
          <w:p>
            <w:pPr>
              <w:pStyle w:val="TableContents"/>
              <w:bidi w:val="0"/>
              <w:spacing w:before="0" w:after="0"/>
              <w:jc w:val="right"/>
              <w:rPr/>
            </w:pPr>
            <w:r>
              <w:rPr/>
              <w:t>584,203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2,993,563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shows the distribution between fixed and adjustable interest rate loans for maturities greater than one year as of September 30, 2023:</w:t>
      </w:r>
    </w:p>
    <w:tbl>
      <w:tblPr>
        <w:tblW w:w="4925" w:type="dxa"/>
        <w:jc w:val="left"/>
        <w:tblInd w:w="0" w:type="dxa"/>
        <w:tblLayout w:type="fixed"/>
        <w:tblCellMar>
          <w:top w:w="0" w:type="dxa"/>
          <w:left w:w="0" w:type="dxa"/>
          <w:bottom w:w="0" w:type="dxa"/>
          <w:right w:w="0" w:type="dxa"/>
        </w:tblCellMar>
      </w:tblPr>
      <w:tblGrid>
        <w:gridCol w:w="2420"/>
        <w:gridCol w:w="60"/>
        <w:gridCol w:w="140"/>
        <w:gridCol w:w="980"/>
        <w:gridCol w:w="60"/>
        <w:gridCol w:w="60"/>
        <w:gridCol w:w="141"/>
        <w:gridCol w:w="989"/>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Fixed</w:t>
            </w:r>
          </w:p>
          <w:p>
            <w:pPr>
              <w:pStyle w:val="TableContents"/>
              <w:bidi w:val="0"/>
              <w:spacing w:before="0" w:after="0"/>
              <w:jc w:val="center"/>
              <w:rPr>
                <w:b/>
              </w:rPr>
            </w:pP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Adjustable</w:t>
            </w:r>
          </w:p>
          <w:p>
            <w:pPr>
              <w:pStyle w:val="TableContents"/>
              <w:bidi w:val="0"/>
              <w:spacing w:before="0" w:after="0"/>
              <w:jc w:val="center"/>
              <w:rPr>
                <w:b/>
              </w:rPr>
            </w:pPr>
            <w:r>
              <w:rPr>
                <w:b/>
              </w:rPr>
              <w:t>Rate</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0" w:type="dxa"/>
            <w:gridSpan w:val="6"/>
            <w:tcBorders/>
            <w:vAlign w:val="bottom"/>
          </w:tcPr>
          <w:p>
            <w:pPr>
              <w:pStyle w:val="TableContents"/>
              <w:bidi w:val="0"/>
              <w:spacing w:before="0" w:after="0"/>
              <w:jc w:val="center"/>
              <w:rPr>
                <w:b/>
              </w:rPr>
            </w:pPr>
            <w:r>
              <w:rPr>
                <w:b/>
              </w:rPr>
              <w:t>(Dollars in thousands)</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pPr>
            <w:r>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443,378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pPr>
            <w:r>
              <w:rPr/>
              <w:t>$</w:t>
            </w:r>
          </w:p>
        </w:tc>
        <w:tc>
          <w:tcPr>
            <w:tcW w:w="989" w:type="dxa"/>
            <w:tcBorders/>
            <w:shd w:fill="CCEEFF" w:val="clear"/>
            <w:vAlign w:val="bottom"/>
          </w:tcPr>
          <w:p>
            <w:pPr>
              <w:pStyle w:val="TableContents"/>
              <w:bidi w:val="0"/>
              <w:spacing w:before="0" w:after="0"/>
              <w:jc w:val="right"/>
              <w:rPr/>
            </w:pPr>
            <w:r>
              <w:rPr/>
              <w:t>508,842</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89,556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pPr>
            <w:r>
              <w:rPr/>
              <w:t>152,780</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pPr>
            <w:r>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155,865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pPr>
            <w:r>
              <w:rPr/>
              <w:t>277,326</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301,267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pPr>
            <w:r>
              <w:rPr/>
              <w:t>184,792</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0"/>
              <w:jc w:val="left"/>
              <w:rPr/>
            </w:pPr>
            <w:r>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312,988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68,971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Construction</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pPr>
            <w:r>
              <w:rPr/>
              <w:t>9,829</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pPr>
            <w:r>
              <w:rPr/>
              <w:t>Total loans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1,376,107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pPr>
            <w:r>
              <w:rPr/>
              <w:t>1,133,569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September 30, 2023, there was $1.45 billion in adjustable rate loans, with $704.8 million of these loans that mature or reprice in the next twelve months. Of these loans that mature or reprice in the next twelve months, $463.6 million will reprice immediately upon changes in the underlying index rate, with the remaining $241.2 million being subject to rate floors above the current index or a future repricing date. The </w:t>
      </w:r>
      <w:r>
        <w:rPr>
          <w:rFonts w:ascii="Times New Roman;Times;serif" w:hAnsi="Times New Roman;Times;serif"/>
          <w:i/>
          <w:color w:val="000000"/>
          <w:sz w:val="20"/>
          <w:shd w:fill="FFFFFF" w:val="clear"/>
        </w:rPr>
        <w:t>Wall Street Journal</w:t>
      </w:r>
      <w:r>
        <w:rPr>
          <w:rFonts w:ascii="Times New Roman;Times;serif" w:hAnsi="Times New Roman;Times;serif"/>
          <w:color w:val="000000"/>
          <w:sz w:val="20"/>
          <w:shd w:fill="FFFFFF" w:val="clear"/>
        </w:rPr>
        <w:t xml:space="preserve"> prime rate is the predominate index used by the Bank.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Bank is primarily involved in real estate, commercial, agricultural and consumer lending activities with customers throughout Texas and Eastern New Mexico. We have a collateral concentration, as 64.1% of our loans were secured by real property as of September 30, 2023, compared to 69.8% as of December 31, 2022.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39.5% of loans held for investment as of September 30, 2023 and represented 38.7% of loans held for investment as of December 31, 2022. Further, these loans are geographically diversified, primarily throughout the state of Texas as well as Eastern New Mexico.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Commercial Real Estate</w:t>
      </w:r>
      <w:r>
        <w:rPr>
          <w:rFonts w:ascii="Times New Roman;Times;serif" w:hAnsi="Times New Roman;Times;serif"/>
          <w:color w:val="000000"/>
          <w:sz w:val="20"/>
          <w:shd w:fill="FFFFFF" w:val="clear"/>
        </w:rPr>
        <w:t>.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Commercial real estate loans increased $126.9 million, or 13.8%, to $1.05 billion as of September 30, 2023 from $919.4 million as of December 31, 2022. The increase was primarily driven by an increase of $60.7 million in multifamily property loans and growth of $56.2 million in other income-producing commercial real estate loans.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Commercial – General and Specialized</w:t>
      </w:r>
      <w:r>
        <w:rPr>
          <w:rFonts w:ascii="Times New Roman;Times;serif" w:hAnsi="Times New Roman;Times;serif"/>
          <w:color w:val="000000"/>
          <w:sz w:val="20"/>
          <w:shd w:fill="FFFFFF" w:val="clear"/>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Commercial general loans increased $29.8 million, or 6.1%, to $514.6 million as of September 30, 2023 from $484.8 million as of December 31, 2022. The increase in commercial general loans was primarily due to organic loan growth in service-based commercial loans and more broadly throughout general commercial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Commercial specialized loans increased $38.9 million, or 11.9%, to $366.4 million as of September 30, 2023 from $327.5 million as of December 31, 2022. This increase was primarily due to the funding of $36.3 million in seasonal agricultural production loans and growth of $22.7 million in direct energy loans, partially offset by a net reduction of $23.4 million in finance, investment, and insurance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Consumer</w:t>
      </w:r>
      <w:r>
        <w:rPr>
          <w:rFonts w:ascii="Times New Roman;Times;serif" w:hAnsi="Times New Roman;Times;serif"/>
          <w:color w:val="000000"/>
          <w:sz w:val="20"/>
          <w:shd w:fill="FFFFFF" w:val="clear"/>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Consumer and other loans increased $65.0 million, or 7.5%, to $927.9 million as of September 30, 2023, from $862.9 million as of December 31, 2022. The increase in these loans was primarily a result of a $74.4 million increase in residential mortgage loans, partially offset by a $5.5 million decrease in consumer auto loans. As of September 30, 2023, our consumer loan portfolio was comprised of $534.5 million in 1-4 family residential loans, $316.0 million in auto loans, and $77.3 million in other consumer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Construction</w:t>
      </w:r>
      <w:r>
        <w:rPr>
          <w:rFonts w:ascii="Times New Roman;Times;serif" w:hAnsi="Times New Roman;Times;serif"/>
          <w:color w:val="000000"/>
          <w:sz w:val="20"/>
          <w:shd w:fill="FFFFFF" w:val="clear"/>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Construction loans decreased $15.1 million, or 9.8%, to $138.5 million as of September 30, 2023 from $153.5 million as of December 31, 2022. The decrease resulted from contraction after higher demand for residential construction as a result of home shortages in many of our markets peaked in the first quarter of 2023 and the continued completion of projects.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Non-owner occupied office real estate loans are included in commercial real estate loans and totaled $130.6 million at September 30, 2023. Owner occupied office real estate loans are included in commercial loans and totaled $55.4 million at September 30,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summarizes commitments we have made as of the dates presented.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088"/>
        <w:gridCol w:w="60"/>
        <w:gridCol w:w="217"/>
        <w:gridCol w:w="1243"/>
        <w:gridCol w:w="60"/>
        <w:gridCol w:w="60"/>
        <w:gridCol w:w="208"/>
        <w:gridCol w:w="1192"/>
        <w:gridCol w:w="77"/>
      </w:tblGrid>
      <w:tr>
        <w:trPr/>
        <w:tc>
          <w:tcPr>
            <w:tcW w:w="70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September 30,</w:t>
            </w:r>
          </w:p>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77" w:type="dxa"/>
            <w:tcBorders/>
            <w:vAlign w:val="bottom"/>
          </w:tcPr>
          <w:p>
            <w:pPr>
              <w:pStyle w:val="TableContents"/>
              <w:bidi w:val="0"/>
              <w:spacing w:before="0" w:after="283"/>
              <w:jc w:val="left"/>
              <w:rPr/>
            </w:pPr>
            <w:r>
              <w:rPr/>
              <w:t> </w:t>
            </w:r>
          </w:p>
        </w:tc>
      </w:tr>
      <w:tr>
        <w:trPr/>
        <w:tc>
          <w:tcPr>
            <w:tcW w:w="70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0" w:type="dxa"/>
            <w:gridSpan w:val="6"/>
            <w:tcBorders/>
            <w:vAlign w:val="bottom"/>
          </w:tcPr>
          <w:p>
            <w:pPr>
              <w:pStyle w:val="TableContents"/>
              <w:bidi w:val="0"/>
              <w:spacing w:before="0" w:after="0"/>
              <w:jc w:val="center"/>
              <w:rPr>
                <w:b/>
              </w:rPr>
            </w:pPr>
            <w:r>
              <w:rPr>
                <w:b/>
              </w:rPr>
              <w:t>(Dollars in thousands)</w:t>
            </w:r>
          </w:p>
        </w:tc>
        <w:tc>
          <w:tcPr>
            <w:tcW w:w="77" w:type="dxa"/>
            <w:tcBorders/>
            <w:vAlign w:val="bottom"/>
          </w:tcPr>
          <w:p>
            <w:pPr>
              <w:pStyle w:val="TableContents"/>
              <w:bidi w:val="0"/>
              <w:spacing w:before="0" w:after="283"/>
              <w:jc w:val="left"/>
              <w:rPr/>
            </w:pPr>
            <w:r>
              <w:rPr/>
              <w:t> </w:t>
            </w:r>
          </w:p>
        </w:tc>
      </w:tr>
      <w:tr>
        <w:trPr/>
        <w:tc>
          <w:tcPr>
            <w:tcW w:w="7088" w:type="dxa"/>
            <w:tcBorders/>
            <w:shd w:fill="CCEEFF" w:val="clear"/>
            <w:vAlign w:val="bottom"/>
          </w:tcPr>
          <w:p>
            <w:pPr>
              <w:pStyle w:val="TableContents"/>
              <w:bidi w:val="0"/>
              <w:spacing w:before="0" w:after="0"/>
              <w:ind w:left="144" w:right="0" w:hanging="144"/>
              <w:jc w:val="left"/>
              <w:rPr/>
            </w:pPr>
            <w:r>
              <w:rPr/>
              <w:t>Commitments to grant loans and unfunded commitments under lines of credit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0"/>
              <w:jc w:val="left"/>
              <w:rPr/>
            </w:pPr>
            <w:r>
              <w:rPr/>
              <w:t>$</w:t>
            </w:r>
          </w:p>
        </w:tc>
        <w:tc>
          <w:tcPr>
            <w:tcW w:w="1243" w:type="dxa"/>
            <w:tcBorders/>
            <w:shd w:fill="CCEEFF" w:val="clear"/>
            <w:vAlign w:val="bottom"/>
          </w:tcPr>
          <w:p>
            <w:pPr>
              <w:pStyle w:val="TableContents"/>
              <w:bidi w:val="0"/>
              <w:spacing w:before="0" w:after="0"/>
              <w:jc w:val="right"/>
              <w:rPr/>
            </w:pPr>
            <w:r>
              <w:rPr/>
              <w:t>669,931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pPr>
            <w:r>
              <w:rPr/>
              <w:t>$</w:t>
            </w:r>
          </w:p>
        </w:tc>
        <w:tc>
          <w:tcPr>
            <w:tcW w:w="1192" w:type="dxa"/>
            <w:tcBorders/>
            <w:shd w:fill="CCEEFF" w:val="clear"/>
            <w:vAlign w:val="bottom"/>
          </w:tcPr>
          <w:p>
            <w:pPr>
              <w:pStyle w:val="TableContents"/>
              <w:bidi w:val="0"/>
              <w:spacing w:before="0" w:after="0"/>
              <w:jc w:val="right"/>
              <w:rPr/>
            </w:pPr>
            <w:r>
              <w:rPr/>
              <w:t>682,296</w:t>
            </w:r>
          </w:p>
        </w:tc>
        <w:tc>
          <w:tcPr>
            <w:tcW w:w="77" w:type="dxa"/>
            <w:tcBorders/>
            <w:shd w:fill="CCEEFF" w:val="clear"/>
            <w:vAlign w:val="bottom"/>
          </w:tcPr>
          <w:p>
            <w:pPr>
              <w:pStyle w:val="TableContents"/>
              <w:bidi w:val="0"/>
              <w:spacing w:before="0" w:after="283"/>
              <w:jc w:val="left"/>
              <w:rPr/>
            </w:pPr>
            <w:r>
              <w:rPr/>
              <w:t> </w:t>
            </w:r>
          </w:p>
        </w:tc>
      </w:tr>
      <w:tr>
        <w:trPr/>
        <w:tc>
          <w:tcPr>
            <w:tcW w:w="7088" w:type="dxa"/>
            <w:tcBorders/>
            <w:vAlign w:val="bottom"/>
          </w:tcPr>
          <w:p>
            <w:pPr>
              <w:pStyle w:val="TableContents"/>
              <w:bidi w:val="0"/>
              <w:spacing w:before="0" w:after="0"/>
              <w:ind w:left="144" w:right="0" w:hanging="144"/>
              <w:jc w:val="left"/>
              <w:rPr/>
            </w:pPr>
            <w:r>
              <w:rPr/>
              <w:t>Standby letters of credit</w:t>
            </w:r>
          </w:p>
        </w:tc>
        <w:tc>
          <w:tcPr>
            <w:tcW w:w="60" w:type="dxa"/>
            <w:tcBorders/>
            <w:vAlign w:val="bottom"/>
          </w:tcPr>
          <w:p>
            <w:pPr>
              <w:pStyle w:val="TableContents"/>
              <w:bidi w:val="0"/>
              <w:spacing w:before="0" w:after="283"/>
              <w:jc w:val="lef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3" w:type="dxa"/>
            <w:tcBorders>
              <w:bottom w:val="single" w:sz="12" w:space="0" w:color="000000"/>
            </w:tcBorders>
            <w:tcMar>
              <w:bottom w:w="28" w:type="dxa"/>
            </w:tcMar>
            <w:vAlign w:val="bottom"/>
          </w:tcPr>
          <w:p>
            <w:pPr>
              <w:pStyle w:val="TableContents"/>
              <w:bidi w:val="0"/>
              <w:spacing w:before="0" w:after="0"/>
              <w:jc w:val="right"/>
              <w:rPr/>
            </w:pPr>
            <w:r>
              <w:rPr/>
              <w:t>9,946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2" w:type="dxa"/>
            <w:tcBorders>
              <w:bottom w:val="single" w:sz="12" w:space="0" w:color="000000"/>
            </w:tcBorders>
            <w:tcMar>
              <w:bottom w:w="28" w:type="dxa"/>
            </w:tcMar>
            <w:vAlign w:val="bottom"/>
          </w:tcPr>
          <w:p>
            <w:pPr>
              <w:pStyle w:val="TableContents"/>
              <w:bidi w:val="0"/>
              <w:spacing w:before="0" w:after="0"/>
              <w:jc w:val="right"/>
              <w:rPr/>
            </w:pPr>
            <w:r>
              <w:rPr/>
              <w:t>13,864</w:t>
            </w:r>
          </w:p>
        </w:tc>
        <w:tc>
          <w:tcPr>
            <w:tcW w:w="77" w:type="dxa"/>
            <w:tcBorders/>
            <w:vAlign w:val="bottom"/>
          </w:tcPr>
          <w:p>
            <w:pPr>
              <w:pStyle w:val="TableContents"/>
              <w:bidi w:val="0"/>
              <w:spacing w:before="0" w:after="283"/>
              <w:jc w:val="left"/>
              <w:rPr/>
            </w:pPr>
            <w:r>
              <w:rPr/>
              <w:t> </w:t>
            </w:r>
          </w:p>
        </w:tc>
      </w:tr>
      <w:tr>
        <w:trPr/>
        <w:tc>
          <w:tcPr>
            <w:tcW w:w="7088" w:type="dxa"/>
            <w:tcBorders/>
            <w:shd w:fill="CCEEFF" w:val="clear"/>
            <w:vAlign w:val="bottom"/>
          </w:tcPr>
          <w:p>
            <w:pPr>
              <w:pStyle w:val="TableContents"/>
              <w:bidi w:val="0"/>
              <w:spacing w:before="0" w:after="0"/>
              <w:ind w:left="180" w:right="0" w:hanging="0"/>
              <w:jc w:val="left"/>
              <w:rPr/>
            </w:pPr>
            <w:r>
              <w:rPr/>
              <w:t>Total</w:t>
            </w:r>
          </w:p>
        </w:tc>
        <w:tc>
          <w:tcPr>
            <w:tcW w:w="60" w:type="dxa"/>
            <w:tcBorders/>
            <w:shd w:fill="CCEEFF" w:val="clear"/>
            <w:vAlign w:val="bottom"/>
          </w:tcPr>
          <w:p>
            <w:pPr>
              <w:pStyle w:val="TableContents"/>
              <w:bidi w:val="0"/>
              <w:spacing w:before="0" w:after="283"/>
              <w:jc w:val="lef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43" w:type="dxa"/>
            <w:tcBorders>
              <w:bottom w:val="double" w:sz="8" w:space="0" w:color="000000"/>
            </w:tcBorders>
            <w:shd w:fill="CCEEFF" w:val="clear"/>
            <w:tcMar>
              <w:bottom w:w="28" w:type="dxa"/>
            </w:tcMar>
            <w:vAlign w:val="bottom"/>
          </w:tcPr>
          <w:p>
            <w:pPr>
              <w:pStyle w:val="TableContents"/>
              <w:bidi w:val="0"/>
              <w:spacing w:before="0" w:after="0"/>
              <w:jc w:val="right"/>
              <w:rPr/>
            </w:pPr>
            <w:r>
              <w:rPr/>
              <w:t>679,877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92" w:type="dxa"/>
            <w:tcBorders>
              <w:bottom w:val="double" w:sz="8" w:space="0" w:color="000000"/>
            </w:tcBorders>
            <w:shd w:fill="CCEEFF" w:val="clear"/>
            <w:tcMar>
              <w:bottom w:w="28" w:type="dxa"/>
            </w:tcMar>
            <w:vAlign w:val="bottom"/>
          </w:tcPr>
          <w:p>
            <w:pPr>
              <w:pStyle w:val="TableContents"/>
              <w:bidi w:val="0"/>
              <w:spacing w:before="0" w:after="0"/>
              <w:jc w:val="right"/>
              <w:rPr/>
            </w:pPr>
            <w:r>
              <w:rPr/>
              <w:t>696,160</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Allowance for Credit Losses for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ACL provides a reserve against which loan losses are charged for current expected credit losses.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Effective January 1, 2023, we adopted the CECL model and recognized a cumulative effect adjustment to the ACL for loans and off-balance sheet credit exposures of $1.3 million. The CECL model requires recording life-of-loan projected losses in the loan portfolio based on future economic events and related loan portfolio credit performance. The prior accounting standard recorded reserves based on incurred losses at the balance sheet date.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ACL for loans was $42.1 million at September 30, 2023, compared to $39.3 million at December 31, 2022, an increase of $2.8 million, or 7.1%. The increase is primarily a result of a provision for credit losses of $4.0 million being recorded during the nine months ended September 30, 2023 largely attributable to growth of $245.5 million in loans held for investment. Uncertainty regarding forecasted economic conditions remains, due to the continued rising interest rate environment and persistent high inflation levels in the United States, and provisions for credit losses may be necessary in future periods.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provides an analysis of the ACL for loans during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454"/>
        <w:gridCol w:w="60"/>
        <w:gridCol w:w="140"/>
        <w:gridCol w:w="980"/>
        <w:gridCol w:w="253"/>
        <w:gridCol w:w="60"/>
        <w:gridCol w:w="140"/>
        <w:gridCol w:w="980"/>
        <w:gridCol w:w="253"/>
        <w:gridCol w:w="60"/>
        <w:gridCol w:w="140"/>
        <w:gridCol w:w="980"/>
        <w:gridCol w:w="253"/>
        <w:gridCol w:w="60"/>
        <w:gridCol w:w="140"/>
        <w:gridCol w:w="980"/>
        <w:gridCol w:w="272"/>
      </w:tblGrid>
      <w:tr>
        <w:trPr/>
        <w:tc>
          <w:tcPr>
            <w:tcW w:w="44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3"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3"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272" w:type="dxa"/>
            <w:tcBorders/>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72" w:type="dxa"/>
            <w:tcBorders/>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9" w:type="dxa"/>
            <w:gridSpan w:val="14"/>
            <w:tcBorders/>
            <w:vAlign w:val="bottom"/>
          </w:tcPr>
          <w:p>
            <w:pPr>
              <w:pStyle w:val="TableContents"/>
              <w:bidi w:val="0"/>
              <w:spacing w:before="0" w:after="0"/>
              <w:jc w:val="center"/>
              <w:rPr>
                <w:b/>
              </w:rPr>
            </w:pPr>
            <w:r>
              <w:rPr>
                <w:b/>
              </w:rPr>
              <w:t>(Dollars in thousands)</w:t>
            </w:r>
          </w:p>
        </w:tc>
        <w:tc>
          <w:tcPr>
            <w:tcW w:w="272" w:type="dxa"/>
            <w:tcBorders/>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144" w:right="0" w:hanging="144"/>
              <w:jc w:val="left"/>
              <w:rPr/>
            </w:pPr>
            <w:r>
              <w:rPr/>
              <w:t>Average loans outstanding during the periods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324" w:right="0" w:hanging="144"/>
              <w:jc w:val="left"/>
              <w:rPr/>
            </w:pPr>
            <w:r>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1,029,888</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839,930</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962,767</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796,146</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324" w:right="0" w:hanging="144"/>
              <w:jc w:val="left"/>
              <w:rPr/>
            </w:pPr>
            <w:r>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365,258</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360,296</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342,355</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353,465</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324" w:right="0" w:hanging="144"/>
              <w:jc w:val="left"/>
              <w:rPr/>
            </w:pPr>
            <w:r>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528,668</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475,383</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519,375</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475,056</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324" w:right="0" w:hanging="144"/>
              <w:jc w:val="left"/>
              <w:rPr/>
            </w:pPr>
            <w:r>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504" w:right="0" w:hanging="144"/>
              <w:jc w:val="left"/>
              <w:rPr/>
            </w:pPr>
            <w:r>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528,835</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416,546</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503,878</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396,460</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504" w:right="0" w:hanging="144"/>
              <w:jc w:val="left"/>
              <w:rPr/>
            </w:pPr>
            <w:r>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316,895</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303,912</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319,617</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275,707</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504" w:right="0" w:hanging="144"/>
              <w:jc w:val="left"/>
              <w:rPr/>
            </w:pPr>
            <w:r>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78,787</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88,736</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79,912</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84,400</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324" w:right="0" w:hanging="144"/>
              <w:jc w:val="left"/>
              <w:rPr/>
            </w:pPr>
            <w:r>
              <w:rPr/>
              <w:t>Construction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139,761</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155,393</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143,970</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149,011</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144" w:right="0" w:hanging="144"/>
              <w:jc w:val="left"/>
              <w:rPr/>
            </w:pPr>
            <w:r>
              <w:rPr/>
              <w:t>Loans held for sale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17,607</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30,987</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21,013</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37,438</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144" w:right="0" w:hanging="144"/>
              <w:jc w:val="left"/>
              <w:rPr/>
            </w:pPr>
            <w:r>
              <w:rPr/>
              <w:t>Total average loans outstanding during the periods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3,005,699</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2,671,183</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2,892,887</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2,567,683</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144" w:right="0" w:hanging="144"/>
              <w:jc w:val="left"/>
              <w:rPr/>
            </w:pPr>
            <w:r>
              <w:rPr/>
              <w:t>Net charge-offs (recoveries) during the periods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324" w:right="0" w:hanging="144"/>
              <w:jc w:val="left"/>
              <w:rPr/>
            </w:pPr>
            <w:r>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(418</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0"/>
              <w:ind w:left="324" w:right="0" w:hanging="144"/>
              <w:jc w:val="left"/>
              <w:rPr/>
            </w:pPr>
            <w:r>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(59</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(831</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(139</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(836</w:t>
            </w:r>
          </w:p>
        </w:tc>
        <w:tc>
          <w:tcPr>
            <w:tcW w:w="272" w:type="dxa"/>
            <w:tcBorders/>
            <w:vAlign w:val="bottom"/>
          </w:tcPr>
          <w:p>
            <w:pPr>
              <w:pStyle w:val="TableContents"/>
              <w:bidi w:val="0"/>
              <w:spacing w:before="0" w:after="0"/>
              <w:jc w:val="left"/>
              <w:rPr/>
            </w:pPr>
            <w:r>
              <w:rPr/>
              <w:t>)</w:t>
            </w:r>
          </w:p>
        </w:tc>
      </w:tr>
      <w:tr>
        <w:trPr/>
        <w:tc>
          <w:tcPr>
            <w:tcW w:w="4454" w:type="dxa"/>
            <w:tcBorders/>
            <w:shd w:fill="CCEEFF" w:val="clear"/>
            <w:vAlign w:val="bottom"/>
          </w:tcPr>
          <w:p>
            <w:pPr>
              <w:pStyle w:val="TableContents"/>
              <w:bidi w:val="0"/>
              <w:spacing w:before="0" w:after="0"/>
              <w:ind w:left="324" w:right="0" w:hanging="144"/>
              <w:jc w:val="left"/>
              <w:rPr/>
            </w:pPr>
            <w:r>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(135</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259</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(76</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0"/>
              <w:ind w:left="324" w:right="0" w:hanging="144"/>
              <w:jc w:val="left"/>
              <w:rPr/>
            </w:pPr>
            <w:r>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324" w:right="0" w:firstLine="36"/>
              <w:jc w:val="left"/>
              <w:rPr/>
            </w:pPr>
            <w:r>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53</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324" w:right="0" w:firstLine="36"/>
              <w:jc w:val="left"/>
              <w:rPr/>
            </w:pPr>
            <w:r>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111</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27</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437</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105</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324" w:right="0" w:firstLine="36"/>
              <w:jc w:val="left"/>
              <w:rPr/>
            </w:pPr>
            <w:r>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299</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270</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550</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580</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0" w:right="0" w:firstLine="180"/>
              <w:jc w:val="left"/>
              <w:rPr/>
            </w:pPr>
            <w:r>
              <w:rPr/>
              <w:t>Construction</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272</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166</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144" w:right="0" w:hanging="144"/>
              <w:jc w:val="left"/>
              <w:rPr/>
            </w:pPr>
            <w:r>
              <w:rPr/>
              <w:t>Total net charge-offs (recoveries) during the periods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362</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(654</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1,375</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(426</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r>
      <w:tr>
        <w:trPr/>
        <w:tc>
          <w:tcPr>
            <w:tcW w:w="4454" w:type="dxa"/>
            <w:tcBorders/>
            <w:shd w:fill="CCEEFF" w:val="clear"/>
            <w:vAlign w:val="bottom"/>
          </w:tcPr>
          <w:p>
            <w:pPr>
              <w:pStyle w:val="TableContents"/>
              <w:bidi w:val="0"/>
              <w:spacing w:before="0" w:after="0"/>
              <w:ind w:left="144" w:right="0" w:hanging="144"/>
              <w:jc w:val="left"/>
              <w:rPr/>
            </w:pPr>
            <w:r>
              <w:rPr/>
              <w:t>Ratio of net charge-offs (recoveries) to average loans during the periods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324" w:right="0" w:hanging="144"/>
              <w:jc w:val="left"/>
              <w:rPr/>
            </w:pPr>
            <w:r>
              <w:rPr/>
              <w:t>Commercial real estate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(0.05</w:t>
            </w:r>
          </w:p>
        </w:tc>
        <w:tc>
          <w:tcPr>
            <w:tcW w:w="272" w:type="dxa"/>
            <w:tcBorders/>
            <w:vAlign w:val="bottom"/>
          </w:tcPr>
          <w:p>
            <w:pPr>
              <w:pStyle w:val="TableContents"/>
              <w:bidi w:val="0"/>
              <w:spacing w:before="0" w:after="0"/>
              <w:jc w:val="left"/>
              <w:rPr/>
            </w:pPr>
            <w:r>
              <w:rPr/>
              <w:t>)%</w:t>
            </w:r>
          </w:p>
        </w:tc>
      </w:tr>
      <w:tr>
        <w:trPr/>
        <w:tc>
          <w:tcPr>
            <w:tcW w:w="4454" w:type="dxa"/>
            <w:tcBorders/>
            <w:shd w:fill="CCEEFF" w:val="clear"/>
            <w:vAlign w:val="bottom"/>
          </w:tcPr>
          <w:p>
            <w:pPr>
              <w:pStyle w:val="TableContents"/>
              <w:bidi w:val="0"/>
              <w:spacing w:before="0" w:after="0"/>
              <w:ind w:left="324" w:right="0" w:hanging="144"/>
              <w:jc w:val="left"/>
              <w:rPr/>
            </w:pPr>
            <w:r>
              <w:rPr/>
              <w:t>Commercial – specialized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(0.02</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(0.23</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(0.04</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(0.24</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0"/>
              <w:ind w:left="324" w:right="0" w:hanging="144"/>
              <w:jc w:val="left"/>
              <w:rPr/>
            </w:pPr>
            <w:r>
              <w:rPr/>
              <w:t>Commercial – general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(0.03</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0.05</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(0.02</w:t>
            </w:r>
          </w:p>
        </w:tc>
        <w:tc>
          <w:tcPr>
            <w:tcW w:w="272" w:type="dxa"/>
            <w:tcBorders/>
            <w:vAlign w:val="bottom"/>
          </w:tcPr>
          <w:p>
            <w:pPr>
              <w:pStyle w:val="TableContents"/>
              <w:bidi w:val="0"/>
              <w:spacing w:before="0" w:after="0"/>
              <w:jc w:val="left"/>
              <w:rPr/>
            </w:pPr>
            <w:r>
              <w:rPr/>
              <w:t>)%</w:t>
            </w:r>
          </w:p>
        </w:tc>
      </w:tr>
      <w:tr>
        <w:trPr/>
        <w:tc>
          <w:tcPr>
            <w:tcW w:w="4454" w:type="dxa"/>
            <w:tcBorders/>
            <w:shd w:fill="CCEEFF" w:val="clear"/>
            <w:vAlign w:val="bottom"/>
          </w:tcPr>
          <w:p>
            <w:pPr>
              <w:pStyle w:val="TableContents"/>
              <w:bidi w:val="0"/>
              <w:spacing w:before="0" w:after="0"/>
              <w:ind w:left="324" w:right="0" w:hanging="144"/>
              <w:jc w:val="left"/>
              <w:rPr/>
            </w:pPr>
            <w:r>
              <w:rPr/>
              <w:t>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r>
      <w:tr>
        <w:trPr/>
        <w:tc>
          <w:tcPr>
            <w:tcW w:w="4454" w:type="dxa"/>
            <w:tcBorders/>
            <w:vAlign w:val="bottom"/>
          </w:tcPr>
          <w:p>
            <w:pPr>
              <w:pStyle w:val="TableContents"/>
              <w:bidi w:val="0"/>
              <w:spacing w:before="0" w:after="0"/>
              <w:ind w:left="504" w:right="0" w:hanging="144"/>
              <w:jc w:val="left"/>
              <w:rPr/>
            </w:pPr>
            <w:r>
              <w:rPr/>
              <w:t>1-4 family residential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0.01</w:t>
            </w:r>
          </w:p>
        </w:tc>
        <w:tc>
          <w:tcPr>
            <w:tcW w:w="272" w:type="dxa"/>
            <w:tcBorders/>
            <w:vAlign w:val="bottom"/>
          </w:tcPr>
          <w:p>
            <w:pPr>
              <w:pStyle w:val="TableContents"/>
              <w:bidi w:val="0"/>
              <w:spacing w:before="0" w:after="0"/>
              <w:jc w:val="left"/>
              <w:rPr/>
            </w:pPr>
            <w:r>
              <w:rPr/>
              <w:t>%</w:t>
            </w:r>
          </w:p>
        </w:tc>
      </w:tr>
      <w:tr>
        <w:trPr/>
        <w:tc>
          <w:tcPr>
            <w:tcW w:w="4454" w:type="dxa"/>
            <w:tcBorders/>
            <w:shd w:fill="CCEEFF" w:val="clear"/>
            <w:vAlign w:val="bottom"/>
          </w:tcPr>
          <w:p>
            <w:pPr>
              <w:pStyle w:val="TableContents"/>
              <w:bidi w:val="0"/>
              <w:spacing w:before="0" w:after="0"/>
              <w:ind w:left="504" w:right="0" w:hanging="144"/>
              <w:jc w:val="left"/>
              <w:rPr/>
            </w:pPr>
            <w:r>
              <w:rPr/>
              <w:t>Auto loans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0.04</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0.01</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0.14</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0.04</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0"/>
              <w:ind w:left="504" w:right="0" w:hanging="144"/>
              <w:jc w:val="left"/>
              <w:rPr/>
            </w:pPr>
            <w:r>
              <w:rPr/>
              <w:t>Other 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0.38</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0.30</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0.69</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0.69</w:t>
            </w:r>
          </w:p>
        </w:tc>
        <w:tc>
          <w:tcPr>
            <w:tcW w:w="272" w:type="dxa"/>
            <w:tcBorders/>
            <w:vAlign w:val="bottom"/>
          </w:tcPr>
          <w:p>
            <w:pPr>
              <w:pStyle w:val="TableContents"/>
              <w:bidi w:val="0"/>
              <w:spacing w:before="0" w:after="0"/>
              <w:jc w:val="left"/>
              <w:rPr/>
            </w:pPr>
            <w:r>
              <w:rPr/>
              <w:t>%</w:t>
            </w:r>
          </w:p>
        </w:tc>
      </w:tr>
      <w:tr>
        <w:trPr/>
        <w:tc>
          <w:tcPr>
            <w:tcW w:w="4454" w:type="dxa"/>
            <w:tcBorders/>
            <w:shd w:fill="CCEEFF" w:val="clear"/>
            <w:vAlign w:val="bottom"/>
          </w:tcPr>
          <w:p>
            <w:pPr>
              <w:pStyle w:val="TableContents"/>
              <w:bidi w:val="0"/>
              <w:spacing w:before="0" w:after="0"/>
              <w:ind w:left="324" w:right="0" w:hanging="144"/>
              <w:jc w:val="left"/>
              <w:rPr/>
            </w:pPr>
            <w:r>
              <w:rPr/>
              <w:t>Construction</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0.00</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0.00</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0.19</w:t>
            </w:r>
          </w:p>
        </w:tc>
        <w:tc>
          <w:tcPr>
            <w:tcW w:w="253"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0.11</w:t>
            </w:r>
          </w:p>
        </w:tc>
        <w:tc>
          <w:tcPr>
            <w:tcW w:w="272" w:type="dxa"/>
            <w:tcBorders/>
            <w:shd w:fill="CCEEFF" w:val="clear"/>
            <w:vAlign w:val="bottom"/>
          </w:tcPr>
          <w:p>
            <w:pPr>
              <w:pStyle w:val="TableContents"/>
              <w:bidi w:val="0"/>
              <w:spacing w:before="0" w:after="0"/>
              <w:jc w:val="left"/>
              <w:rPr/>
            </w:pPr>
            <w:r>
              <w:rPr/>
              <w:t>%</w:t>
            </w:r>
          </w:p>
        </w:tc>
      </w:tr>
      <w:tr>
        <w:trPr/>
        <w:tc>
          <w:tcPr>
            <w:tcW w:w="4454" w:type="dxa"/>
            <w:tcBorders/>
            <w:vAlign w:val="bottom"/>
          </w:tcPr>
          <w:p>
            <w:pPr>
              <w:pStyle w:val="TableContents"/>
              <w:bidi w:val="0"/>
              <w:spacing w:before="0" w:after="0"/>
              <w:ind w:left="144" w:right="0" w:hanging="144"/>
              <w:jc w:val="left"/>
              <w:rPr/>
            </w:pPr>
            <w:r>
              <w:rPr/>
              <w:t>Total ratio of net charge-offs (recoveries) to average loans during the periods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pPr>
            <w:r>
              <w:rPr/>
              <w:t>0.01</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pPr>
            <w:r>
              <w:rPr/>
              <w:t>(0.02</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pPr>
            <w:r>
              <w:rPr/>
              <w:t>0.05</w:t>
            </w:r>
          </w:p>
        </w:tc>
        <w:tc>
          <w:tcPr>
            <w:tcW w:w="253"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pPr>
            <w:r>
              <w:rPr/>
              <w:t>(0.02</w:t>
            </w:r>
          </w:p>
        </w:tc>
        <w:tc>
          <w:tcPr>
            <w:tcW w:w="272"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provides other loan data as of the dates indicated.</w:t>
      </w:r>
    </w:p>
    <w:tbl>
      <w:tblPr>
        <w:tblW w:w="9038" w:type="dxa"/>
        <w:jc w:val="left"/>
        <w:tblInd w:w="0" w:type="dxa"/>
        <w:tblLayout w:type="fixed"/>
        <w:tblCellMar>
          <w:top w:w="0" w:type="dxa"/>
          <w:left w:w="0" w:type="dxa"/>
          <w:bottom w:w="0" w:type="dxa"/>
          <w:right w:w="0" w:type="dxa"/>
        </w:tblCellMar>
      </w:tblPr>
      <w:tblGrid>
        <w:gridCol w:w="5585"/>
        <w:gridCol w:w="60"/>
        <w:gridCol w:w="184"/>
        <w:gridCol w:w="1290"/>
        <w:gridCol w:w="215"/>
        <w:gridCol w:w="60"/>
        <w:gridCol w:w="176"/>
        <w:gridCol w:w="1238"/>
        <w:gridCol w:w="230"/>
      </w:tblGrid>
      <w:tr>
        <w:trPr/>
        <w:tc>
          <w:tcPr>
            <w:tcW w:w="5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bidi w:val="0"/>
              <w:spacing w:before="0" w:after="0"/>
              <w:jc w:val="center"/>
              <w:rPr>
                <w:b/>
              </w:rPr>
            </w:pPr>
            <w:r>
              <w:rPr>
                <w:b/>
              </w:rPr>
              <w:t>September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0"/>
              <w:jc w:val="center"/>
              <w:rPr>
                <w:b/>
              </w:rPr>
            </w:pPr>
            <w:r>
              <w:rPr>
                <w:b/>
              </w:rPr>
              <w:t>December 31,</w:t>
            </w:r>
          </w:p>
        </w:tc>
        <w:tc>
          <w:tcPr>
            <w:tcW w:w="230" w:type="dxa"/>
            <w:tcBorders/>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30" w:type="dxa"/>
            <w:tcBorders/>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3" w:type="dxa"/>
            <w:gridSpan w:val="6"/>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pPr>
            <w:r>
              <w:rPr/>
              <w:t>Total loans held for investment outstanding</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2,993,563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2,748,081</w:t>
            </w:r>
          </w:p>
        </w:tc>
        <w:tc>
          <w:tcPr>
            <w:tcW w:w="230"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pPr>
            <w:r>
              <w:rPr/>
              <w:t>Nonaccrual loans</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0"/>
              <w:jc w:val="left"/>
              <w:rPr/>
            </w:pPr>
            <w:r>
              <w:rPr/>
              <w:t>$</w:t>
            </w:r>
          </w:p>
        </w:tc>
        <w:tc>
          <w:tcPr>
            <w:tcW w:w="1290" w:type="dxa"/>
            <w:tcBorders/>
            <w:vAlign w:val="bottom"/>
          </w:tcPr>
          <w:p>
            <w:pPr>
              <w:pStyle w:val="TableContents"/>
              <w:bidi w:val="0"/>
              <w:spacing w:before="0" w:after="0"/>
              <w:jc w:val="right"/>
              <w:rPr/>
            </w:pPr>
            <w:r>
              <w:rPr/>
              <w:t>2,978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pPr>
            <w:r>
              <w:rPr/>
              <w:t>$</w:t>
            </w:r>
          </w:p>
        </w:tc>
        <w:tc>
          <w:tcPr>
            <w:tcW w:w="1238" w:type="dxa"/>
            <w:tcBorders/>
            <w:vAlign w:val="bottom"/>
          </w:tcPr>
          <w:p>
            <w:pPr>
              <w:pStyle w:val="TableContents"/>
              <w:bidi w:val="0"/>
              <w:spacing w:before="0" w:after="0"/>
              <w:jc w:val="right"/>
              <w:rPr/>
            </w:pPr>
            <w:r>
              <w:rPr/>
              <w:t>5,802</w:t>
            </w:r>
          </w:p>
        </w:tc>
        <w:tc>
          <w:tcPr>
            <w:tcW w:w="230"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pPr>
            <w:r>
              <w:rPr/>
              <w:t>Allowance for credit losses on loans</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42,075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pPr>
            <w:r>
              <w:rPr/>
              <w:t>$</w:t>
            </w:r>
          </w:p>
        </w:tc>
        <w:tc>
          <w:tcPr>
            <w:tcW w:w="1238" w:type="dxa"/>
            <w:tcBorders/>
            <w:shd w:fill="CCEEFF" w:val="clear"/>
            <w:vAlign w:val="bottom"/>
          </w:tcPr>
          <w:p>
            <w:pPr>
              <w:pStyle w:val="TableContents"/>
              <w:bidi w:val="0"/>
              <w:spacing w:before="0" w:after="0"/>
              <w:jc w:val="right"/>
              <w:rPr/>
            </w:pPr>
            <w:r>
              <w:rPr/>
              <w:t>39,288</w:t>
            </w:r>
          </w:p>
        </w:tc>
        <w:tc>
          <w:tcPr>
            <w:tcW w:w="230"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pPr>
            <w:r>
              <w:rPr/>
              <w:t>Ratio of allowance to total loans held for investment</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1.41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pPr>
            <w:r>
              <w:rPr/>
              <w:t>1.43</w:t>
            </w:r>
          </w:p>
        </w:tc>
        <w:tc>
          <w:tcPr>
            <w:tcW w:w="230" w:type="dxa"/>
            <w:tcBorders/>
            <w:vAlign w:val="bottom"/>
          </w:tcPr>
          <w:p>
            <w:pPr>
              <w:pStyle w:val="TableContents"/>
              <w:bidi w:val="0"/>
              <w:spacing w:before="0" w:after="0"/>
              <w:jc w:val="left"/>
              <w:rPr/>
            </w:pPr>
            <w:r>
              <w:rPr/>
              <w:t>%</w:t>
            </w:r>
          </w:p>
        </w:tc>
      </w:tr>
      <w:tr>
        <w:trPr/>
        <w:tc>
          <w:tcPr>
            <w:tcW w:w="5585" w:type="dxa"/>
            <w:tcBorders/>
            <w:shd w:fill="CCEEFF" w:val="clear"/>
            <w:vAlign w:val="bottom"/>
          </w:tcPr>
          <w:p>
            <w:pPr>
              <w:pStyle w:val="TableContents"/>
              <w:bidi w:val="0"/>
              <w:spacing w:before="0" w:after="0"/>
              <w:ind w:left="144" w:right="0" w:hanging="144"/>
              <w:jc w:val="left"/>
              <w:rPr/>
            </w:pPr>
            <w:r>
              <w:rPr/>
              <w:t>Ratio of allowance to nonaccrual loans</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pPr>
            <w:r>
              <w:rPr/>
              <w:t>1,412.86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pPr>
            <w:r>
              <w:rPr/>
              <w:t>677.15</w:t>
            </w:r>
          </w:p>
        </w:tc>
        <w:tc>
          <w:tcPr>
            <w:tcW w:w="230" w:type="dxa"/>
            <w:tcBorders/>
            <w:shd w:fill="CCEEFF" w:val="clear"/>
            <w:vAlign w:val="bottom"/>
          </w:tcPr>
          <w:p>
            <w:pPr>
              <w:pStyle w:val="TableContents"/>
              <w:bidi w:val="0"/>
              <w:spacing w:before="0" w:after="0"/>
              <w:jc w:val="left"/>
              <w:rPr/>
            </w:pPr>
            <w:r>
              <w:rPr/>
              <w:t>%</w:t>
            </w:r>
          </w:p>
        </w:tc>
      </w:tr>
      <w:tr>
        <w:trPr/>
        <w:tc>
          <w:tcPr>
            <w:tcW w:w="5585" w:type="dxa"/>
            <w:tcBorders/>
            <w:vAlign w:val="bottom"/>
          </w:tcPr>
          <w:p>
            <w:pPr>
              <w:pStyle w:val="TableContents"/>
              <w:bidi w:val="0"/>
              <w:spacing w:before="0" w:after="0"/>
              <w:ind w:left="144" w:right="0" w:hanging="144"/>
              <w:jc w:val="left"/>
              <w:rPr/>
            </w:pPr>
            <w:r>
              <w:rPr/>
              <w:t>Ratio of nonaccrual loans to total loans held for investment</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0.10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pPr>
            <w:r>
              <w:rPr/>
              <w:t>0.21</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charge-offs (recoveries) totaled $362 thousand and were 0.05% (annualized) of average loans outstanding for the three months ended September 30, 2023, compared to $(654) thousand and (0.10)% (annualized) for the three months ended September 30, 2022. Net charge-offs totaled $1.4 million and were 0.06% (annualized) of average loans outstanding for the nine months ended September 30, 2023, compared to $(426) thousand and (0.02)% (annualized) for the nine months ended September 30, 2022. There was an $822 thousand recovery of a direct energy credit during the third quarter of 2022 that affected both of the period comparisons. There was also a $400 thousand recovery on a commercial tenant relationship in the second quarter of 2022 that affected the nine-month period comparison. The allowance for credit losses on loans as a percentage of loans held for investment was 1.41% at September 30, 2023 and 1.43% at December 31,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left"/>
        <w:rPr/>
      </w:pPr>
      <w:r>
        <w:rPr/>
      </w:r>
    </w:p>
    <w:tbl>
      <w:tblPr>
        <w:tblW w:w="8262" w:type="dxa"/>
        <w:jc w:val="left"/>
        <w:tblInd w:w="0" w:type="dxa"/>
        <w:tblLayout w:type="fixed"/>
        <w:tblCellMar>
          <w:top w:w="0" w:type="dxa"/>
          <w:left w:w="0" w:type="dxa"/>
          <w:bottom w:w="0" w:type="dxa"/>
          <w:right w:w="0" w:type="dxa"/>
        </w:tblCellMar>
      </w:tblPr>
      <w:tblGrid>
        <w:gridCol w:w="3080"/>
        <w:gridCol w:w="60"/>
        <w:gridCol w:w="180"/>
        <w:gridCol w:w="878"/>
        <w:gridCol w:w="77"/>
        <w:gridCol w:w="77"/>
        <w:gridCol w:w="107"/>
        <w:gridCol w:w="1007"/>
        <w:gridCol w:w="215"/>
        <w:gridCol w:w="60"/>
        <w:gridCol w:w="175"/>
        <w:gridCol w:w="852"/>
        <w:gridCol w:w="75"/>
        <w:gridCol w:w="75"/>
        <w:gridCol w:w="107"/>
        <w:gridCol w:w="1007"/>
        <w:gridCol w:w="230"/>
      </w:tblGrid>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6" w:type="dxa"/>
            <w:gridSpan w:val="6"/>
            <w:tcBorders>
              <w:bottom w:val="single" w:sz="12" w:space="0" w:color="000000"/>
            </w:tcBorders>
            <w:tcMar>
              <w:bottom w:w="28" w:type="dxa"/>
            </w:tcMar>
            <w:vAlign w:val="bottom"/>
          </w:tcPr>
          <w:p>
            <w:pPr>
              <w:pStyle w:val="TableContents"/>
              <w:bidi w:val="0"/>
              <w:spacing w:before="0" w:after="0"/>
              <w:jc w:val="center"/>
              <w:rPr>
                <w:b/>
              </w:rPr>
            </w:pPr>
            <w:r>
              <w:rPr>
                <w:b/>
              </w:rPr>
              <w:t>September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1"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2022</w:t>
            </w:r>
          </w:p>
        </w:tc>
        <w:tc>
          <w:tcPr>
            <w:tcW w:w="230" w:type="dxa"/>
            <w:tcBorders/>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30" w:type="dxa"/>
            <w:tcBorders/>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2" w:type="dxa"/>
            <w:gridSpan w:val="14"/>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44" w:right="0" w:hanging="144"/>
              <w:jc w:val="left"/>
              <w:rPr/>
            </w:pPr>
            <w:r>
              <w:rPr/>
              <w:t>Commercial real estate</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pPr>
            <w:r>
              <w:rPr/>
              <w:t>$</w:t>
            </w:r>
          </w:p>
        </w:tc>
        <w:tc>
          <w:tcPr>
            <w:tcW w:w="878" w:type="dxa"/>
            <w:tcBorders/>
            <w:shd w:fill="CCEEFF" w:val="clear"/>
            <w:vAlign w:val="bottom"/>
          </w:tcPr>
          <w:p>
            <w:pPr>
              <w:pStyle w:val="TableContents"/>
              <w:bidi w:val="0"/>
              <w:spacing w:before="0" w:after="0"/>
              <w:jc w:val="right"/>
              <w:rPr/>
            </w:pPr>
            <w:r>
              <w:rPr/>
              <w:t>14,945</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35.5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13,029</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33.1</w:t>
            </w:r>
          </w:p>
        </w:tc>
        <w:tc>
          <w:tcPr>
            <w:tcW w:w="230" w:type="dxa"/>
            <w:tcBorders/>
            <w:shd w:fill="CCEEFF" w:val="clear"/>
            <w:vAlign w:val="bottom"/>
          </w:tcPr>
          <w:p>
            <w:pPr>
              <w:pStyle w:val="TableContents"/>
              <w:bidi w:val="0"/>
              <w:spacing w:before="0" w:after="0"/>
              <w:jc w:val="left"/>
              <w:rPr/>
            </w:pPr>
            <w:r>
              <w:rPr/>
              <w:t>%</w:t>
            </w:r>
          </w:p>
        </w:tc>
      </w:tr>
      <w:tr>
        <w:trPr/>
        <w:tc>
          <w:tcPr>
            <w:tcW w:w="3080" w:type="dxa"/>
            <w:tcBorders/>
            <w:vAlign w:val="bottom"/>
          </w:tcPr>
          <w:p>
            <w:pPr>
              <w:pStyle w:val="TableContents"/>
              <w:bidi w:val="0"/>
              <w:spacing w:before="0" w:after="0"/>
              <w:ind w:left="144" w:right="0" w:hanging="144"/>
              <w:jc w:val="left"/>
              <w:rPr/>
            </w:pPr>
            <w:r>
              <w:rPr/>
              <w:t>Commercial – specialized</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pPr>
            <w:r>
              <w:rPr/>
              <w:t>3,943</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9.4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3,425</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8.7</w:t>
            </w:r>
          </w:p>
        </w:tc>
        <w:tc>
          <w:tcPr>
            <w:tcW w:w="23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44" w:right="0" w:hanging="144"/>
              <w:jc w:val="left"/>
              <w:rPr/>
            </w:pPr>
            <w:r>
              <w:rPr/>
              <w:t>Commercial – general</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pPr>
            <w:r>
              <w:rPr/>
              <w:t>6,370</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15.1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9,215</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23.5</w:t>
            </w:r>
          </w:p>
        </w:tc>
        <w:tc>
          <w:tcPr>
            <w:tcW w:w="23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44" w:right="0" w:hanging="144"/>
              <w:jc w:val="left"/>
              <w:rPr/>
            </w:pPr>
            <w:r>
              <w:rPr/>
              <w:t>Consumer:</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324" w:right="0" w:hanging="144"/>
              <w:jc w:val="left"/>
              <w:rPr/>
            </w:pPr>
            <w:r>
              <w:rPr/>
              <w:t>1-4 family residential</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pPr>
            <w:r>
              <w:rPr/>
              <w:t>8,990</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6,194</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15.8</w:t>
            </w:r>
          </w:p>
        </w:tc>
        <w:tc>
          <w:tcPr>
            <w:tcW w:w="23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324" w:right="0" w:hanging="144"/>
              <w:jc w:val="left"/>
              <w:rPr/>
            </w:pPr>
            <w:r>
              <w:rPr/>
              <w:t>Auto loans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pPr>
            <w:r>
              <w:rPr/>
              <w:t>3,786</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3,926</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10.0</w:t>
            </w:r>
          </w:p>
        </w:tc>
        <w:tc>
          <w:tcPr>
            <w:tcW w:w="23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324" w:right="0" w:hanging="144"/>
              <w:jc w:val="left"/>
              <w:rPr/>
            </w:pPr>
            <w:r>
              <w:rPr/>
              <w:t>Other consumer</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pPr>
            <w:r>
              <w:rPr/>
              <w:t>1,022</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1,376</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3.5</w:t>
            </w:r>
          </w:p>
        </w:tc>
        <w:tc>
          <w:tcPr>
            <w:tcW w:w="230"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44" w:right="0" w:hanging="144"/>
              <w:jc w:val="left"/>
              <w:rPr/>
            </w:pPr>
            <w:r>
              <w:rPr/>
              <w:t>Construction</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pPr>
            <w:r>
              <w:rPr/>
              <w:t>3,019</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2,123</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5.4</w:t>
            </w:r>
          </w:p>
        </w:tc>
        <w:tc>
          <w:tcPr>
            <w:tcW w:w="230"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44" w:right="0" w:hanging="144"/>
              <w:jc w:val="left"/>
              <w:rPr/>
            </w:pPr>
            <w:r>
              <w:rPr/>
              <w:t>Total allowance for credit losses</w:t>
            </w:r>
          </w:p>
        </w:tc>
        <w:tc>
          <w:tcPr>
            <w:tcW w:w="6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8" w:type="dxa"/>
            <w:tcBorders>
              <w:bottom w:val="double" w:sz="8" w:space="0" w:color="000000"/>
            </w:tcBorders>
            <w:shd w:fill="CCEEFF" w:val="clear"/>
            <w:tcMar>
              <w:bottom w:w="28" w:type="dxa"/>
            </w:tcMar>
            <w:vAlign w:val="bottom"/>
          </w:tcPr>
          <w:p>
            <w:pPr>
              <w:pStyle w:val="TableContents"/>
              <w:bidi w:val="0"/>
              <w:spacing w:before="0" w:after="0"/>
              <w:jc w:val="right"/>
              <w:rPr/>
            </w:pPr>
            <w:r>
              <w:rPr/>
              <w:t>42,075</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39,288</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Asset Quality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Real estate we acquire as a result of foreclosure or by deed-in-lieu of foreclosure is classified as other real estate owned (“OREO”) until sold and is initially recorded at fair value less costs to sell when acquired, establishing a new cost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Nonperforming loans include nonaccrual loans and loans past due 90 days or more. Nonperforming assets consist of nonperforming loans plus OREO.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September 30, 2023, our total nonaccrual loans were $3.0 million, or 0.10% of total loans held for investment, as compared to $5.8 million, or 0.21% of total loans held for investment, at December 31, 2022. These loans within this amount that exceeded $250 thousand were specifically analyzed and specific valuation allowances were established as necessary and included in the ACL for loans as of September 30, 2023 to cover any probable loss. One relationship totaling $13.3 million that was placed on nonaccrual during the second quarter of 2023 with a specific reserve of $1.3 million, was fully collected during the third quarter of 2023.</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Nonperforming loans were $4.8 million at September 30, 2023 and $7.8 million at December 31, 2022. In addition to the $13.3 million collection noted above, there was a full repayment during the third quarter of 2023 of one relationship totaling $3.3 million that was nonperforming but still accruing.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Securities Portfolio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securities portfolio decreased $116.7 million, or 16.6%, to $585.0 million at September 30, 2023, compared to $701.7 million at December 31, 2022. The decrease was primarily due to $84.8 million in sales, maturities, prepayments, and calls during the nine months ended September 30, 2023. The Company sold approximately $56.2 million of available for sale securities in the second quarter of 2023. This resulted in a loss on sale of $3.4 million. The average book yield of these securities was approximately 2.71%. The proceeds from the sale were used to help fund loan growth during that quarter.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Certain securities have fair values less than amortized cost and, therefore, contain unrealized losses. During the three months ended September 30, 2023, the fair value of the Company’s available for sale securities declined by $30.9 million. At September 30, 2023,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losses have been recognized in the consolidated financial statements for securities in the portfolio.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pStyle w:val="TextBody"/>
        <w:bidi w:val="0"/>
        <w:spacing w:before="0" w:after="0"/>
        <w:jc w:val="left"/>
        <w:rPr/>
      </w:pPr>
      <w:r>
        <w:rPr/>
      </w:r>
    </w:p>
    <w:tbl>
      <w:tblPr>
        <w:tblW w:w="11651" w:type="dxa"/>
        <w:jc w:val="left"/>
        <w:tblInd w:w="0" w:type="dxa"/>
        <w:tblLayout w:type="fixed"/>
        <w:tblCellMar>
          <w:top w:w="0" w:type="dxa"/>
          <w:left w:w="0" w:type="dxa"/>
          <w:bottom w:w="0" w:type="dxa"/>
          <w:right w:w="0" w:type="dxa"/>
        </w:tblCellMar>
      </w:tblPr>
      <w:tblGrid>
        <w:gridCol w:w="1676"/>
        <w:gridCol w:w="60"/>
        <w:gridCol w:w="296"/>
        <w:gridCol w:w="804"/>
        <w:gridCol w:w="60"/>
        <w:gridCol w:w="60"/>
        <w:gridCol w:w="119"/>
        <w:gridCol w:w="876"/>
        <w:gridCol w:w="215"/>
        <w:gridCol w:w="60"/>
        <w:gridCol w:w="221"/>
        <w:gridCol w:w="879"/>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30"/>
      </w:tblGrid>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bottom w:val="single" w:sz="12" w:space="0" w:color="000000"/>
            </w:tcBorders>
            <w:tcMar>
              <w:bottom w:w="28" w:type="dxa"/>
            </w:tcMar>
            <w:vAlign w:val="bottom"/>
          </w:tcPr>
          <w:p>
            <w:pPr>
              <w:pStyle w:val="TableContents"/>
              <w:bidi w:val="0"/>
              <w:spacing w:before="0" w:after="0"/>
              <w:jc w:val="center"/>
              <w:rPr>
                <w:b/>
              </w:rPr>
            </w:pPr>
            <w:r>
              <w:rPr>
                <w:b/>
              </w:rPr>
              <w:t>As of September 30, 2023</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in One</w:t>
            </w:r>
          </w:p>
          <w:p>
            <w:pPr>
              <w:pStyle w:val="TableContents"/>
              <w:bidi w:val="0"/>
              <w:spacing w:before="0" w:after="0"/>
              <w:jc w:val="center"/>
              <w:rPr>
                <w:b/>
              </w:rPr>
            </w:pPr>
            <w:r>
              <w:rPr>
                <w:b/>
              </w:rPr>
              <w:t>Year or Less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 One Year</w:t>
            </w:r>
          </w:p>
          <w:p>
            <w:pPr>
              <w:pStyle w:val="TableContents"/>
              <w:bidi w:val="0"/>
              <w:spacing w:before="0" w:after="0"/>
              <w:jc w:val="center"/>
              <w:rPr>
                <w:b/>
              </w:rPr>
            </w:pPr>
            <w:r>
              <w:rPr>
                <w:b/>
              </w:rPr>
              <w:t>Through Five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 Five Years</w:t>
            </w:r>
          </w:p>
          <w:p>
            <w:pPr>
              <w:pStyle w:val="TableContents"/>
              <w:bidi w:val="0"/>
              <w:spacing w:before="0" w:after="0"/>
              <w:jc w:val="center"/>
              <w:rPr>
                <w:b/>
              </w:rPr>
            </w:pPr>
            <w:r>
              <w:rPr>
                <w:b/>
              </w:rPr>
              <w:t>Through Ten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w:t>
            </w:r>
          </w:p>
          <w:p>
            <w:pPr>
              <w:pStyle w:val="TableContents"/>
              <w:bidi w:val="0"/>
              <w:spacing w:before="0" w:after="0"/>
              <w:jc w:val="center"/>
              <w:rPr>
                <w:b/>
              </w:rPr>
            </w:pPr>
            <w:r>
              <w:rPr>
                <w:b/>
              </w:rPr>
              <w:t>Ten Years</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144" w:right="0" w:hanging="144"/>
              <w:jc w:val="left"/>
              <w:rPr>
                <w:b/>
              </w:rPr>
            </w:pPr>
            <w:r>
              <w:rPr>
                <w:b/>
              </w:rPr>
              <w:t>Available-for-sale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State and municipal</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0"/>
              <w:jc w:val="left"/>
              <w:rPr/>
            </w:pPr>
            <w:r>
              <w:rPr/>
              <w:t>$</w:t>
            </w:r>
          </w:p>
        </w:tc>
        <w:tc>
          <w:tcPr>
            <w:tcW w:w="804" w:type="dxa"/>
            <w:tcBorders/>
            <w:shd w:fill="CCEEFF" w:val="clear"/>
            <w:vAlign w:val="bottom"/>
          </w:tcPr>
          <w:p>
            <w:pPr>
              <w:pStyle w:val="TableContents"/>
              <w:bidi w:val="0"/>
              <w:spacing w:before="0" w:after="0"/>
              <w:jc w:val="right"/>
              <w:rPr/>
            </w:pPr>
            <w:r>
              <w:rPr/>
              <w:t>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3.65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pPr>
            <w:r>
              <w:rPr/>
              <w:t>$</w:t>
            </w:r>
          </w:p>
        </w:tc>
        <w:tc>
          <w:tcPr>
            <w:tcW w:w="879" w:type="dxa"/>
            <w:tcBorders/>
            <w:shd w:fill="CCEEFF" w:val="clear"/>
            <w:vAlign w:val="bottom"/>
          </w:tcPr>
          <w:p>
            <w:pPr>
              <w:pStyle w:val="TableContents"/>
              <w:bidi w:val="0"/>
              <w:spacing w:before="0" w:after="0"/>
              <w:jc w:val="right"/>
              <w:rPr/>
            </w:pPr>
            <w:r>
              <w:rPr/>
              <w:t>6,143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1.93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pPr>
            <w:r>
              <w:rPr/>
              <w:t>$</w:t>
            </w:r>
          </w:p>
        </w:tc>
        <w:tc>
          <w:tcPr>
            <w:tcW w:w="909" w:type="dxa"/>
            <w:tcBorders/>
            <w:shd w:fill="CCEEFF" w:val="clear"/>
            <w:vAlign w:val="bottom"/>
          </w:tcPr>
          <w:p>
            <w:pPr>
              <w:pStyle w:val="TableContents"/>
              <w:bidi w:val="0"/>
              <w:spacing w:before="0" w:after="0"/>
              <w:jc w:val="right"/>
              <w:rPr/>
            </w:pPr>
            <w:r>
              <w:rPr/>
              <w:t>4,918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2.15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pPr>
            <w:r>
              <w:rPr/>
              <w:t>$</w:t>
            </w:r>
          </w:p>
        </w:tc>
        <w:tc>
          <w:tcPr>
            <w:tcW w:w="937" w:type="dxa"/>
            <w:tcBorders/>
            <w:shd w:fill="CCEEFF" w:val="clear"/>
            <w:vAlign w:val="bottom"/>
          </w:tcPr>
          <w:p>
            <w:pPr>
              <w:pStyle w:val="TableContents"/>
              <w:bidi w:val="0"/>
              <w:spacing w:before="0" w:after="0"/>
              <w:jc w:val="right"/>
              <w:rPr/>
            </w:pPr>
            <w:r>
              <w:rPr/>
              <w:t>191,636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2.28</w:t>
            </w:r>
          </w:p>
        </w:tc>
        <w:tc>
          <w:tcPr>
            <w:tcW w:w="230" w:type="dxa"/>
            <w:tcBorders/>
            <w:shd w:fill="CCEEFF" w:val="clear"/>
            <w:vAlign w:val="bottom"/>
          </w:tcPr>
          <w:p>
            <w:pPr>
              <w:pStyle w:val="TableContents"/>
              <w:bidi w:val="0"/>
              <w:spacing w:before="0" w:after="0"/>
              <w:jc w:val="left"/>
              <w:rPr/>
            </w:pPr>
            <w:r>
              <w:rPr/>
              <w:t>%</w:t>
            </w:r>
          </w:p>
        </w:tc>
      </w:tr>
      <w:tr>
        <w:trPr/>
        <w:tc>
          <w:tcPr>
            <w:tcW w:w="1676" w:type="dxa"/>
            <w:tcBorders/>
            <w:vAlign w:val="bottom"/>
          </w:tcPr>
          <w:p>
            <w:pPr>
              <w:pStyle w:val="TableContents"/>
              <w:bidi w:val="0"/>
              <w:spacing w:before="0" w:after="0"/>
              <w:ind w:left="324" w:right="0" w:hanging="144"/>
              <w:jc w:val="left"/>
              <w:rPr/>
            </w:pPr>
            <w:r>
              <w:rPr/>
              <w:t>Residential mortgage-backed securities</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0.93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pPr>
            <w:r>
              <w:rPr/>
              <w:t>3,344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354,074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2.19</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Commercial mortgage-backed securities</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48,219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30" w:type="dxa"/>
            <w:tcBorders/>
            <w:shd w:fill="CCEEFF" w:val="clear"/>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324" w:right="0" w:hanging="144"/>
              <w:jc w:val="left"/>
              <w:rPr/>
            </w:pPr>
            <w:r>
              <w:rPr/>
              <w:t>Commercial collateralized mortgage obligations</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72,612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5.98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Asset-backed and other amortizing securities</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2,393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3.07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16,648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2.78</w:t>
            </w:r>
          </w:p>
        </w:tc>
        <w:tc>
          <w:tcPr>
            <w:tcW w:w="230" w:type="dxa"/>
            <w:tcBorders/>
            <w:shd w:fill="CCEEFF" w:val="clear"/>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324" w:right="0" w:hanging="144"/>
              <w:jc w:val="left"/>
              <w:rPr/>
            </w:pPr>
            <w:r>
              <w:rPr/>
              <w:t>Other securities</w:t>
            </w:r>
          </w:p>
        </w:tc>
        <w:tc>
          <w:tcPr>
            <w:tcW w:w="60" w:type="dxa"/>
            <w:tcBorders/>
            <w:vAlign w:val="bottom"/>
          </w:tcPr>
          <w:p>
            <w:pPr>
              <w:pStyle w:val="TableContents"/>
              <w:bidi w:val="0"/>
              <w:spacing w:before="0" w:after="283"/>
              <w:jc w:val="left"/>
              <w:rPr/>
            </w:pPr>
            <w:r>
              <w:rPr/>
              <w:t> </w:t>
            </w:r>
          </w:p>
        </w:tc>
        <w:tc>
          <w:tcPr>
            <w:tcW w:w="2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504" w:right="0" w:hanging="144"/>
              <w:jc w:val="left"/>
              <w:rPr/>
            </w:pPr>
            <w:r>
              <w:rPr/>
              <w:t>Total available-for-sale</w:t>
            </w:r>
          </w:p>
        </w:tc>
        <w:tc>
          <w:tcPr>
            <w:tcW w:w="60" w:type="dxa"/>
            <w:tcBorders/>
            <w:shd w:fill="CCEEFF" w:val="clear"/>
            <w:vAlign w:val="bottom"/>
          </w:tcPr>
          <w:p>
            <w:pPr>
              <w:pStyle w:val="TableContents"/>
              <w:bidi w:val="0"/>
              <w:spacing w:before="0" w:after="283"/>
              <w:jc w:val="left"/>
              <w:rPr/>
            </w:pPr>
            <w:r>
              <w:rPr/>
              <w:t> </w:t>
            </w:r>
          </w:p>
        </w:tc>
        <w:tc>
          <w:tcPr>
            <w:tcW w:w="29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4" w:type="dxa"/>
            <w:tcBorders>
              <w:bottom w:val="double" w:sz="8" w:space="0" w:color="000000"/>
            </w:tcBorders>
            <w:shd w:fill="CCEEFF" w:val="clear"/>
            <w:tcMar>
              <w:bottom w:w="28" w:type="dxa"/>
            </w:tcMar>
            <w:vAlign w:val="bottom"/>
          </w:tcPr>
          <w:p>
            <w:pPr>
              <w:pStyle w:val="TableContents"/>
              <w:bidi w:val="0"/>
              <w:spacing w:before="0" w:after="0"/>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3.60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pPr>
            <w:r>
              <w:rPr/>
              <w:t>9,487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1.97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141,115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4.36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pPr>
            <w:r>
              <w:rPr/>
              <w:t>562,358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2.24</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tbl>
      <w:tblPr>
        <w:tblW w:w="11651" w:type="dxa"/>
        <w:jc w:val="left"/>
        <w:tblInd w:w="0" w:type="dxa"/>
        <w:tblLayout w:type="fixed"/>
        <w:tblCellMar>
          <w:top w:w="0" w:type="dxa"/>
          <w:left w:w="0" w:type="dxa"/>
          <w:bottom w:w="0" w:type="dxa"/>
          <w:right w:w="0" w:type="dxa"/>
        </w:tblCellMar>
      </w:tblPr>
      <w:tblGrid>
        <w:gridCol w:w="1676"/>
        <w:gridCol w:w="60"/>
        <w:gridCol w:w="220"/>
        <w:gridCol w:w="880"/>
        <w:gridCol w:w="60"/>
        <w:gridCol w:w="60"/>
        <w:gridCol w:w="119"/>
        <w:gridCol w:w="876"/>
        <w:gridCol w:w="215"/>
        <w:gridCol w:w="60"/>
        <w:gridCol w:w="203"/>
        <w:gridCol w:w="897"/>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30"/>
      </w:tblGrid>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bottom w:val="single" w:sz="12" w:space="0" w:color="000000"/>
            </w:tcBorders>
            <w:tcMar>
              <w:bottom w:w="28" w:type="dxa"/>
            </w:tcMar>
            <w:vAlign w:val="bottom"/>
          </w:tcPr>
          <w:p>
            <w:pPr>
              <w:pStyle w:val="TableContents"/>
              <w:bidi w:val="0"/>
              <w:spacing w:before="0" w:after="0"/>
              <w:jc w:val="center"/>
              <w:rPr>
                <w:b/>
              </w:rPr>
            </w:pPr>
            <w:r>
              <w:rPr>
                <w:b/>
              </w:rPr>
              <w:t>As of December 31, 2022</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in One</w:t>
            </w:r>
          </w:p>
          <w:p>
            <w:pPr>
              <w:pStyle w:val="TableContents"/>
              <w:bidi w:val="0"/>
              <w:spacing w:before="0" w:after="0"/>
              <w:jc w:val="center"/>
              <w:rPr>
                <w:b/>
              </w:rPr>
            </w:pPr>
            <w:r>
              <w:rPr>
                <w:b/>
              </w:rPr>
              <w:t>Year or Less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 One Year</w:t>
            </w:r>
          </w:p>
          <w:p>
            <w:pPr>
              <w:pStyle w:val="TableContents"/>
              <w:bidi w:val="0"/>
              <w:spacing w:before="0" w:after="0"/>
              <w:jc w:val="center"/>
              <w:rPr>
                <w:b/>
              </w:rPr>
            </w:pPr>
            <w:r>
              <w:rPr>
                <w:b/>
              </w:rPr>
              <w:t>Through Five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 Five Years</w:t>
            </w:r>
          </w:p>
          <w:p>
            <w:pPr>
              <w:pStyle w:val="TableContents"/>
              <w:bidi w:val="0"/>
              <w:spacing w:before="0" w:after="0"/>
              <w:jc w:val="center"/>
              <w:rPr>
                <w:b/>
              </w:rPr>
            </w:pPr>
            <w:r>
              <w:rPr>
                <w:b/>
              </w:rPr>
              <w:t>Through Ten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Due after</w:t>
            </w:r>
          </w:p>
          <w:p>
            <w:pPr>
              <w:pStyle w:val="TableContents"/>
              <w:bidi w:val="0"/>
              <w:spacing w:before="0" w:after="0"/>
              <w:jc w:val="center"/>
              <w:rPr>
                <w:b/>
              </w:rPr>
            </w:pPr>
            <w:r>
              <w:rPr>
                <w:b/>
              </w:rPr>
              <w:t>Ten Years</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Yield</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144" w:right="0" w:hanging="144"/>
              <w:jc w:val="left"/>
              <w:rPr>
                <w:b/>
              </w:rPr>
            </w:pPr>
            <w:r>
              <w:rPr>
                <w:b/>
              </w:rPr>
              <w:t>Available-for-sale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State and municipal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w:t>
            </w:r>
          </w:p>
        </w:tc>
        <w:tc>
          <w:tcPr>
            <w:tcW w:w="880" w:type="dxa"/>
            <w:tcBorders/>
            <w:shd w:fill="CCEEFF" w:val="clear"/>
            <w:vAlign w:val="bottom"/>
          </w:tcPr>
          <w:p>
            <w:pPr>
              <w:pStyle w:val="TableContents"/>
              <w:bidi w:val="0"/>
              <w:spacing w:before="0" w:after="0"/>
              <w:jc w:val="right"/>
              <w:rPr/>
            </w:pPr>
            <w:r>
              <w:rPr/>
              <w:t>1,898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3.43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pPr>
            <w:r>
              <w:rPr/>
              <w:t>$</w:t>
            </w:r>
          </w:p>
        </w:tc>
        <w:tc>
          <w:tcPr>
            <w:tcW w:w="897" w:type="dxa"/>
            <w:tcBorders/>
            <w:shd w:fill="CCEEFF" w:val="clear"/>
            <w:vAlign w:val="bottom"/>
          </w:tcPr>
          <w:p>
            <w:pPr>
              <w:pStyle w:val="TableContents"/>
              <w:bidi w:val="0"/>
              <w:spacing w:before="0" w:after="0"/>
              <w:jc w:val="right"/>
              <w:rPr/>
            </w:pPr>
            <w:r>
              <w:rPr/>
              <w:t>8,663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2.17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pPr>
            <w:r>
              <w:rPr/>
              <w:t>$</w:t>
            </w:r>
          </w:p>
        </w:tc>
        <w:tc>
          <w:tcPr>
            <w:tcW w:w="909" w:type="dxa"/>
            <w:tcBorders/>
            <w:shd w:fill="CCEEFF" w:val="clear"/>
            <w:vAlign w:val="bottom"/>
          </w:tcPr>
          <w:p>
            <w:pPr>
              <w:pStyle w:val="TableContents"/>
              <w:bidi w:val="0"/>
              <w:spacing w:before="0" w:after="0"/>
              <w:jc w:val="right"/>
              <w:rPr/>
            </w:pPr>
            <w:r>
              <w:rPr/>
              <w:t>7,508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pPr>
            <w:r>
              <w:rPr/>
              <w:t>$</w:t>
            </w:r>
          </w:p>
        </w:tc>
        <w:tc>
          <w:tcPr>
            <w:tcW w:w="937" w:type="dxa"/>
            <w:tcBorders/>
            <w:shd w:fill="CCEEFF" w:val="clear"/>
            <w:vAlign w:val="bottom"/>
          </w:tcPr>
          <w:p>
            <w:pPr>
              <w:pStyle w:val="TableContents"/>
              <w:bidi w:val="0"/>
              <w:spacing w:before="0" w:after="0"/>
              <w:jc w:val="right"/>
              <w:rPr/>
            </w:pPr>
            <w:r>
              <w:rPr/>
              <w:t>241,360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2.24</w:t>
            </w:r>
          </w:p>
        </w:tc>
        <w:tc>
          <w:tcPr>
            <w:tcW w:w="230" w:type="dxa"/>
            <w:tcBorders/>
            <w:shd w:fill="CCEEFF" w:val="clear"/>
            <w:vAlign w:val="bottom"/>
          </w:tcPr>
          <w:p>
            <w:pPr>
              <w:pStyle w:val="TableContents"/>
              <w:bidi w:val="0"/>
              <w:spacing w:before="0" w:after="0"/>
              <w:jc w:val="left"/>
              <w:rPr/>
            </w:pPr>
            <w:r>
              <w:rPr/>
              <w:t>%</w:t>
            </w:r>
          </w:p>
        </w:tc>
      </w:tr>
      <w:tr>
        <w:trPr/>
        <w:tc>
          <w:tcPr>
            <w:tcW w:w="1676" w:type="dxa"/>
            <w:tcBorders/>
            <w:vAlign w:val="bottom"/>
          </w:tcPr>
          <w:p>
            <w:pPr>
              <w:pStyle w:val="TableContents"/>
              <w:bidi w:val="0"/>
              <w:spacing w:before="0" w:after="0"/>
              <w:ind w:left="324" w:right="0" w:hanging="144"/>
              <w:jc w:val="left"/>
              <w:rPr/>
            </w:pPr>
            <w:r>
              <w:rPr/>
              <w:t>Residential mortgage-backed securities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1.90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pPr>
            <w:r>
              <w:rPr/>
              <w:t>3,037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1.88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3,993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2.37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379,750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2.22</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Commercial mortgage-backed securities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30" w:type="dxa"/>
            <w:tcBorders/>
            <w:shd w:fill="CCEEFF" w:val="clear"/>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324" w:right="0" w:hanging="144"/>
              <w:jc w:val="left"/>
              <w:rPr/>
            </w:pPr>
            <w:r>
              <w:rPr/>
              <w:t>Commercial collateralized mortgage obligations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76,189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4.89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324" w:right="0" w:hanging="144"/>
              <w:jc w:val="left"/>
              <w:rPr/>
            </w:pPr>
            <w:r>
              <w:rPr/>
              <w:t>Asset-backed and other amortizing securities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1,689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2.93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19,218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2.81</w:t>
            </w:r>
          </w:p>
        </w:tc>
        <w:tc>
          <w:tcPr>
            <w:tcW w:w="230" w:type="dxa"/>
            <w:tcBorders/>
            <w:shd w:fill="CCEEFF" w:val="clear"/>
            <w:vAlign w:val="bottom"/>
          </w:tcPr>
          <w:p>
            <w:pPr>
              <w:pStyle w:val="TableContents"/>
              <w:bidi w:val="0"/>
              <w:spacing w:before="0" w:after="283"/>
              <w:jc w:val="left"/>
              <w:rPr/>
            </w:pPr>
            <w:r>
              <w:rPr/>
              <w:t> </w:t>
            </w:r>
          </w:p>
        </w:tc>
      </w:tr>
      <w:tr>
        <w:trPr/>
        <w:tc>
          <w:tcPr>
            <w:tcW w:w="1676" w:type="dxa"/>
            <w:tcBorders/>
            <w:vAlign w:val="bottom"/>
          </w:tcPr>
          <w:p>
            <w:pPr>
              <w:pStyle w:val="TableContents"/>
              <w:bidi w:val="0"/>
              <w:spacing w:before="0" w:after="0"/>
              <w:ind w:left="324" w:right="0" w:hanging="144"/>
              <w:jc w:val="left"/>
              <w:rPr/>
            </w:pPr>
            <w:r>
              <w:rPr/>
              <w:t>Other securities</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30" w:type="dxa"/>
            <w:tcBorders/>
            <w:vAlign w:val="bottom"/>
          </w:tcPr>
          <w:p>
            <w:pPr>
              <w:pStyle w:val="TableContents"/>
              <w:bidi w:val="0"/>
              <w:spacing w:before="0" w:after="283"/>
              <w:jc w:val="left"/>
              <w:rPr/>
            </w:pPr>
            <w:r>
              <w:rPr/>
              <w:t> </w:t>
            </w:r>
          </w:p>
        </w:tc>
      </w:tr>
      <w:tr>
        <w:trPr/>
        <w:tc>
          <w:tcPr>
            <w:tcW w:w="1676" w:type="dxa"/>
            <w:tcBorders/>
            <w:shd w:fill="CCEEFF" w:val="clear"/>
            <w:vAlign w:val="bottom"/>
          </w:tcPr>
          <w:p>
            <w:pPr>
              <w:pStyle w:val="TableContents"/>
              <w:bidi w:val="0"/>
              <w:spacing w:before="0" w:after="0"/>
              <w:ind w:left="504" w:right="0" w:hanging="144"/>
              <w:jc w:val="left"/>
              <w:rPr/>
            </w:pPr>
            <w:r>
              <w:rPr/>
              <w:t>Total available-for-sale</w:t>
            </w:r>
          </w:p>
        </w:tc>
        <w:tc>
          <w:tcPr>
            <w:tcW w:w="6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0" w:type="dxa"/>
            <w:tcBorders>
              <w:bottom w:val="double" w:sz="8" w:space="0" w:color="000000"/>
            </w:tcBorders>
            <w:shd w:fill="CCEEFF" w:val="clear"/>
            <w:tcMar>
              <w:bottom w:w="28" w:type="dxa"/>
            </w:tcMar>
            <w:vAlign w:val="bottom"/>
          </w:tcPr>
          <w:p>
            <w:pPr>
              <w:pStyle w:val="TableContents"/>
              <w:bidi w:val="0"/>
              <w:spacing w:before="0" w:after="0"/>
              <w:jc w:val="right"/>
              <w:rPr/>
            </w:pPr>
            <w:r>
              <w:rPr/>
              <w:t>1,901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pPr>
            <w:r>
              <w:rPr/>
              <w:t>11,700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2.09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150,540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3.76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pPr>
            <w:r>
              <w:rPr/>
              <w:t>640,328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2.24</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Deposits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Total deposits at September 30, 2023 were $3.62 billion, representing an increase of $214.2 million, or 6.3%, compared to $3.41 billion at December 31, 2022. The increase in total deposits since December 31, 2022 was largely in brokered deposits, which grew $152 million, and in public fund deposits, which grew approximately $31 million. As of September 30, 2023, 28.9% of total deposits were comprised of noninterest-bearing demand accounts, 61.4% of interest-bearing non-maturity accounts and 9.7% of time deposits.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shows the deposit mix as of the dates presented:</w:t>
      </w:r>
    </w:p>
    <w:p>
      <w:pPr>
        <w:pStyle w:val="TextBody"/>
        <w:bidi w:val="0"/>
        <w:spacing w:before="0" w:after="0"/>
        <w:jc w:val="left"/>
        <w:rPr/>
      </w:pPr>
      <w:r>
        <w:rPr/>
      </w:r>
    </w:p>
    <w:tbl>
      <w:tblPr>
        <w:tblW w:w="8968" w:type="dxa"/>
        <w:jc w:val="left"/>
        <w:tblInd w:w="0" w:type="dxa"/>
        <w:tblLayout w:type="fixed"/>
        <w:tblCellMar>
          <w:top w:w="0" w:type="dxa"/>
          <w:left w:w="0" w:type="dxa"/>
          <w:bottom w:w="0" w:type="dxa"/>
          <w:right w:w="0" w:type="dxa"/>
        </w:tblCellMar>
      </w:tblPr>
      <w:tblGrid>
        <w:gridCol w:w="3530"/>
        <w:gridCol w:w="60"/>
        <w:gridCol w:w="151"/>
        <w:gridCol w:w="1061"/>
        <w:gridCol w:w="65"/>
        <w:gridCol w:w="65"/>
        <w:gridCol w:w="108"/>
        <w:gridCol w:w="1006"/>
        <w:gridCol w:w="215"/>
        <w:gridCol w:w="60"/>
        <w:gridCol w:w="147"/>
        <w:gridCol w:w="1030"/>
        <w:gridCol w:w="63"/>
        <w:gridCol w:w="63"/>
        <w:gridCol w:w="107"/>
        <w:gridCol w:w="1007"/>
        <w:gridCol w:w="230"/>
      </w:tblGrid>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6" w:type="dxa"/>
            <w:gridSpan w:val="6"/>
            <w:tcBorders>
              <w:bottom w:val="single" w:sz="12" w:space="0" w:color="000000"/>
            </w:tcBorders>
            <w:tcMar>
              <w:bottom w:w="28" w:type="dxa"/>
            </w:tcMar>
            <w:vAlign w:val="bottom"/>
          </w:tcPr>
          <w:p>
            <w:pPr>
              <w:pStyle w:val="TableContents"/>
              <w:bidi w:val="0"/>
              <w:spacing w:before="0" w:after="0"/>
              <w:jc w:val="center"/>
              <w:rPr>
                <w:b/>
              </w:rPr>
            </w:pPr>
            <w:r>
              <w:rPr>
                <w:b/>
              </w:rPr>
              <w:t>September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7"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2022</w:t>
            </w:r>
          </w:p>
        </w:tc>
        <w:tc>
          <w:tcPr>
            <w:tcW w:w="23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of Total</w:t>
            </w:r>
          </w:p>
        </w:tc>
        <w:tc>
          <w:tcPr>
            <w:tcW w:w="23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8" w:type="dxa"/>
            <w:gridSpan w:val="14"/>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pPr>
            <w:r>
              <w:rPr/>
              <w:t>Noninterest-bearing deposits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pPr>
            <w:r>
              <w:rPr/>
              <w:t>$</w:t>
            </w:r>
          </w:p>
        </w:tc>
        <w:tc>
          <w:tcPr>
            <w:tcW w:w="1061" w:type="dxa"/>
            <w:tcBorders/>
            <w:shd w:fill="CCEEFF" w:val="clear"/>
            <w:vAlign w:val="bottom"/>
          </w:tcPr>
          <w:p>
            <w:pPr>
              <w:pStyle w:val="TableContents"/>
              <w:bidi w:val="0"/>
              <w:spacing w:before="0" w:after="0"/>
              <w:jc w:val="right"/>
              <w:rPr/>
            </w:pPr>
            <w:r>
              <w:rPr/>
              <w:t>1,046,253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28.9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1,150,488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33.8</w:t>
            </w:r>
          </w:p>
        </w:tc>
        <w:tc>
          <w:tcPr>
            <w:tcW w:w="230" w:type="dxa"/>
            <w:tcBorders/>
            <w:shd w:fill="CCEEFF" w:val="clear"/>
            <w:vAlign w:val="bottom"/>
          </w:tcPr>
          <w:p>
            <w:pPr>
              <w:pStyle w:val="TableContents"/>
              <w:bidi w:val="0"/>
              <w:spacing w:before="0" w:after="0"/>
              <w:jc w:val="left"/>
              <w:rPr/>
            </w:pPr>
            <w:r>
              <w:rPr/>
              <w:t>%</w:t>
            </w:r>
          </w:p>
        </w:tc>
      </w:tr>
      <w:tr>
        <w:trPr/>
        <w:tc>
          <w:tcPr>
            <w:tcW w:w="3530" w:type="dxa"/>
            <w:tcBorders/>
            <w:vAlign w:val="bottom"/>
          </w:tcPr>
          <w:p>
            <w:pPr>
              <w:pStyle w:val="TableContents"/>
              <w:bidi w:val="0"/>
              <w:spacing w:before="0" w:after="0"/>
              <w:jc w:val="left"/>
              <w:rPr/>
            </w:pPr>
            <w:r>
              <w:rPr/>
              <w:t>NOW and other transaction accounts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0"/>
              <w:jc w:val="right"/>
              <w:rPr/>
            </w:pPr>
            <w:r>
              <w:rPr/>
              <w:t>499,344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13.8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350,910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10.3</w:t>
            </w:r>
          </w:p>
        </w:tc>
        <w:tc>
          <w:tcPr>
            <w:tcW w:w="23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pPr>
            <w:r>
              <w:rPr/>
              <w:t>Money market and other savings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0"/>
              <w:jc w:val="right"/>
              <w:rPr/>
            </w:pPr>
            <w:r>
              <w:rPr/>
              <w:t>1,724,457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47.6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1,618,833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47.5</w:t>
            </w:r>
          </w:p>
        </w:tc>
        <w:tc>
          <w:tcPr>
            <w:tcW w:w="23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jc w:val="left"/>
              <w:rPr/>
            </w:pPr>
            <w:r>
              <w:rPr/>
              <w:t>Time deposits</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1" w:type="dxa"/>
            <w:tcBorders>
              <w:bottom w:val="single" w:sz="12" w:space="0" w:color="000000"/>
            </w:tcBorders>
            <w:tcMar>
              <w:bottom w:w="28" w:type="dxa"/>
            </w:tcMar>
            <w:vAlign w:val="bottom"/>
          </w:tcPr>
          <w:p>
            <w:pPr>
              <w:pStyle w:val="TableContents"/>
              <w:bidi w:val="0"/>
              <w:spacing w:before="0" w:after="0"/>
              <w:jc w:val="right"/>
              <w:rPr/>
            </w:pPr>
            <w:r>
              <w:rPr/>
              <w:t>350,560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tcMar>
              <w:bottom w:w="28" w:type="dxa"/>
            </w:tcMar>
            <w:vAlign w:val="bottom"/>
          </w:tcPr>
          <w:p>
            <w:pPr>
              <w:pStyle w:val="TableContents"/>
              <w:bidi w:val="0"/>
              <w:spacing w:before="0" w:after="0"/>
              <w:jc w:val="right"/>
              <w:rPr/>
            </w:pPr>
            <w:r>
              <w:rPr/>
              <w:t>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286,199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8.4</w:t>
            </w:r>
          </w:p>
        </w:tc>
        <w:tc>
          <w:tcPr>
            <w:tcW w:w="23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80" w:right="0" w:hanging="0"/>
              <w:jc w:val="left"/>
              <w:rPr/>
            </w:pPr>
            <w:r>
              <w:rPr/>
              <w:t>Total deposits</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61" w:type="dxa"/>
            <w:tcBorders>
              <w:bottom w:val="double" w:sz="8" w:space="0" w:color="000000"/>
            </w:tcBorders>
            <w:shd w:fill="CCEEFF" w:val="clear"/>
            <w:tcMar>
              <w:bottom w:w="28" w:type="dxa"/>
            </w:tcMar>
            <w:vAlign w:val="bottom"/>
          </w:tcPr>
          <w:p>
            <w:pPr>
              <w:pStyle w:val="TableContents"/>
              <w:bidi w:val="0"/>
              <w:spacing w:before="0" w:after="0"/>
              <w:jc w:val="right"/>
              <w:rPr/>
            </w:pPr>
            <w:r>
              <w:rPr/>
              <w:t>3,620,614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3,406,430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Average deposit balances and weighted average rates paid on deposits, on an annualized basis, for the periods indicated are shown below.</w:t>
      </w:r>
    </w:p>
    <w:p>
      <w:pPr>
        <w:pStyle w:val="TextBody"/>
        <w:bidi w:val="0"/>
        <w:spacing w:before="0" w:after="0"/>
        <w:jc w:val="left"/>
        <w:rPr/>
      </w:pPr>
      <w:r>
        <w:rPr/>
      </w:r>
    </w:p>
    <w:tbl>
      <w:tblPr>
        <w:tblW w:w="10108" w:type="dxa"/>
        <w:jc w:val="left"/>
        <w:tblInd w:w="0" w:type="dxa"/>
        <w:tblLayout w:type="fixed"/>
        <w:tblCellMar>
          <w:top w:w="0" w:type="dxa"/>
          <w:left w:w="0" w:type="dxa"/>
          <w:bottom w:w="0" w:type="dxa"/>
          <w:right w:w="0" w:type="dxa"/>
        </w:tblCellMar>
      </w:tblPr>
      <w:tblGrid>
        <w:gridCol w:w="4235"/>
        <w:gridCol w:w="60"/>
        <w:gridCol w:w="140"/>
        <w:gridCol w:w="980"/>
        <w:gridCol w:w="60"/>
        <w:gridCol w:w="60"/>
        <w:gridCol w:w="169"/>
        <w:gridCol w:w="1245"/>
        <w:gridCol w:w="215"/>
        <w:gridCol w:w="60"/>
        <w:gridCol w:w="140"/>
        <w:gridCol w:w="980"/>
        <w:gridCol w:w="60"/>
        <w:gridCol w:w="60"/>
        <w:gridCol w:w="169"/>
        <w:gridCol w:w="1245"/>
        <w:gridCol w:w="230"/>
      </w:tblGrid>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jc w:val="center"/>
              <w:rPr>
                <w:b/>
              </w:rPr>
            </w:pPr>
            <w:r>
              <w:rPr>
                <w:b/>
              </w:rPr>
              <w:t>Three Months Ended September 30,</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 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ind w:left="0" w:right="0" w:hanging="140"/>
              <w:jc w:val="center"/>
              <w:rPr>
                <w:b/>
              </w:rPr>
            </w:pPr>
            <w:r>
              <w:rPr>
                <w:b/>
              </w:rPr>
              <w:t>Average Rate</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ind w:left="0" w:right="0" w:hanging="14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44" w:right="0" w:hanging="144"/>
              <w:jc w:val="left"/>
              <w:rPr/>
            </w:pPr>
            <w:r>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1,071,175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1,248,804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0.00</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144" w:right="0" w:hanging="144"/>
              <w:jc w:val="left"/>
              <w:rPr/>
            </w:pPr>
            <w:r>
              <w:rPr/>
              <w:t>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324" w:right="0" w:hanging="144"/>
              <w:jc w:val="left"/>
              <w:rPr/>
            </w:pPr>
            <w:r>
              <w:rPr/>
              <w:t>NOW and interest-bearing demand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472,180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3.51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345,048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0.62</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324" w:right="0" w:hanging="144"/>
              <w:jc w:val="left"/>
              <w:rPr/>
            </w:pPr>
            <w:r>
              <w:rPr/>
              <w:t>Savings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143,919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0.92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153,848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0.34</w:t>
            </w:r>
          </w:p>
        </w:tc>
        <w:tc>
          <w:tcPr>
            <w:tcW w:w="230" w:type="dxa"/>
            <w:tcBorders/>
            <w:vAlign w:val="bottom"/>
          </w:tcPr>
          <w:p>
            <w:pPr>
              <w:pStyle w:val="TableContents"/>
              <w:bidi w:val="0"/>
              <w:spacing w:before="0" w:after="0"/>
              <w:jc w:val="left"/>
              <w:rPr/>
            </w:pPr>
            <w:r>
              <w:rPr/>
              <w:t>%</w:t>
            </w:r>
          </w:p>
        </w:tc>
      </w:tr>
      <w:tr>
        <w:trPr/>
        <w:tc>
          <w:tcPr>
            <w:tcW w:w="4235" w:type="dxa"/>
            <w:tcBorders/>
            <w:shd w:fill="CCEEFF" w:val="clear"/>
            <w:vAlign w:val="bottom"/>
          </w:tcPr>
          <w:p>
            <w:pPr>
              <w:pStyle w:val="TableContents"/>
              <w:bidi w:val="0"/>
              <w:spacing w:before="0" w:after="0"/>
              <w:ind w:left="324" w:right="0" w:hanging="144"/>
              <w:jc w:val="left"/>
              <w:rPr/>
            </w:pPr>
            <w:r>
              <w:rPr/>
              <w:t>Money market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1,606,915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2.85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1,374,890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0.82</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324" w:right="0" w:hanging="144"/>
              <w:jc w:val="left"/>
              <w:rPr/>
            </w:pPr>
            <w:r>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344,395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3.35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330,133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1.23</w:t>
            </w:r>
          </w:p>
        </w:tc>
        <w:tc>
          <w:tcPr>
            <w:tcW w:w="230" w:type="dxa"/>
            <w:tcBorders/>
            <w:vAlign w:val="bottom"/>
          </w:tcPr>
          <w:p>
            <w:pPr>
              <w:pStyle w:val="TableContents"/>
              <w:bidi w:val="0"/>
              <w:spacing w:before="0" w:after="0"/>
              <w:jc w:val="left"/>
              <w:rPr/>
            </w:pPr>
            <w:r>
              <w:rPr/>
              <w:t>%</w:t>
            </w:r>
          </w:p>
        </w:tc>
      </w:tr>
      <w:tr>
        <w:trPr/>
        <w:tc>
          <w:tcPr>
            <w:tcW w:w="4235" w:type="dxa"/>
            <w:tcBorders/>
            <w:shd w:fill="CCEEFF" w:val="clear"/>
            <w:vAlign w:val="bottom"/>
          </w:tcPr>
          <w:p>
            <w:pPr>
              <w:pStyle w:val="TableContents"/>
              <w:bidi w:val="0"/>
              <w:spacing w:before="0" w:after="0"/>
              <w:ind w:left="504" w:right="0" w:hanging="144"/>
              <w:jc w:val="left"/>
              <w:rPr/>
            </w:pPr>
            <w:r>
              <w:rPr/>
              <w:t>Total 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2,567,409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2.93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2,203,919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0.70</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684" w:right="0" w:hanging="144"/>
              <w:jc w:val="left"/>
              <w:rPr/>
            </w:pPr>
            <w:r>
              <w:rPr/>
              <w:t>Total deposits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3,638,584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2.07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3,452,723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0.52</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108" w:type="dxa"/>
        <w:jc w:val="left"/>
        <w:tblInd w:w="0" w:type="dxa"/>
        <w:tblLayout w:type="fixed"/>
        <w:tblCellMar>
          <w:top w:w="0" w:type="dxa"/>
          <w:left w:w="0" w:type="dxa"/>
          <w:bottom w:w="0" w:type="dxa"/>
          <w:right w:w="0" w:type="dxa"/>
        </w:tblCellMar>
      </w:tblPr>
      <w:tblGrid>
        <w:gridCol w:w="4235"/>
        <w:gridCol w:w="60"/>
        <w:gridCol w:w="140"/>
        <w:gridCol w:w="980"/>
        <w:gridCol w:w="60"/>
        <w:gridCol w:w="60"/>
        <w:gridCol w:w="169"/>
        <w:gridCol w:w="1245"/>
        <w:gridCol w:w="215"/>
        <w:gridCol w:w="60"/>
        <w:gridCol w:w="140"/>
        <w:gridCol w:w="980"/>
        <w:gridCol w:w="60"/>
        <w:gridCol w:w="60"/>
        <w:gridCol w:w="169"/>
        <w:gridCol w:w="1245"/>
        <w:gridCol w:w="230"/>
      </w:tblGrid>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jc w:val="center"/>
              <w:rPr>
                <w:b/>
              </w:rPr>
            </w:pPr>
            <w:r>
              <w:rPr>
                <w:b/>
              </w:rPr>
              <w:t>Nine Months Ended September 30,</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 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ind w:left="0" w:right="0" w:hanging="140"/>
              <w:jc w:val="center"/>
              <w:rPr>
                <w:b/>
              </w:rPr>
            </w:pPr>
            <w:r>
              <w:rPr>
                <w:b/>
              </w:rPr>
              <w:t>Average Rate</w:t>
            </w:r>
          </w:p>
        </w:tc>
        <w:tc>
          <w:tcPr>
            <w:tcW w:w="230"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ind w:left="0" w:right="0" w:hanging="14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44" w:right="0" w:hanging="144"/>
              <w:jc w:val="left"/>
              <w:rPr/>
            </w:pPr>
            <w:r>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1,085,345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1,174,783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0.00</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144" w:right="0" w:hanging="144"/>
              <w:jc w:val="left"/>
              <w:rPr/>
            </w:pPr>
            <w:r>
              <w:rPr/>
              <w:t>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324" w:right="0" w:hanging="144"/>
              <w:jc w:val="left"/>
              <w:rPr/>
            </w:pPr>
            <w:r>
              <w:rPr/>
              <w:t>NOW and interest-bearing demand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371,526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2.62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357,547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0.31</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324" w:right="0" w:hanging="144"/>
              <w:jc w:val="left"/>
              <w:rPr/>
            </w:pPr>
            <w:r>
              <w:rPr/>
              <w:t>Savings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147,802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0.86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150,133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0.18</w:t>
            </w:r>
          </w:p>
        </w:tc>
        <w:tc>
          <w:tcPr>
            <w:tcW w:w="230" w:type="dxa"/>
            <w:tcBorders/>
            <w:vAlign w:val="bottom"/>
          </w:tcPr>
          <w:p>
            <w:pPr>
              <w:pStyle w:val="TableContents"/>
              <w:bidi w:val="0"/>
              <w:spacing w:before="0" w:after="0"/>
              <w:jc w:val="left"/>
              <w:rPr/>
            </w:pPr>
            <w:r>
              <w:rPr/>
              <w:t>%</w:t>
            </w:r>
          </w:p>
        </w:tc>
      </w:tr>
      <w:tr>
        <w:trPr/>
        <w:tc>
          <w:tcPr>
            <w:tcW w:w="4235" w:type="dxa"/>
            <w:tcBorders/>
            <w:shd w:fill="CCEEFF" w:val="clear"/>
            <w:vAlign w:val="bottom"/>
          </w:tcPr>
          <w:p>
            <w:pPr>
              <w:pStyle w:val="TableContents"/>
              <w:bidi w:val="0"/>
              <w:spacing w:before="0" w:after="0"/>
              <w:ind w:left="324" w:right="0" w:hanging="144"/>
              <w:jc w:val="left"/>
              <w:rPr/>
            </w:pPr>
            <w:r>
              <w:rPr/>
              <w:t>Money market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1,570,922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2.58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1,397,321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0.45</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324" w:right="0" w:hanging="144"/>
              <w:jc w:val="left"/>
              <w:rPr/>
            </w:pPr>
            <w:r>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309,250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2.70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334,686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1.18</w:t>
            </w:r>
          </w:p>
        </w:tc>
        <w:tc>
          <w:tcPr>
            <w:tcW w:w="230" w:type="dxa"/>
            <w:tcBorders/>
            <w:vAlign w:val="bottom"/>
          </w:tcPr>
          <w:p>
            <w:pPr>
              <w:pStyle w:val="TableContents"/>
              <w:bidi w:val="0"/>
              <w:spacing w:before="0" w:after="0"/>
              <w:jc w:val="left"/>
              <w:rPr/>
            </w:pPr>
            <w:r>
              <w:rPr/>
              <w:t>%</w:t>
            </w:r>
          </w:p>
        </w:tc>
      </w:tr>
      <w:tr>
        <w:trPr/>
        <w:tc>
          <w:tcPr>
            <w:tcW w:w="4235" w:type="dxa"/>
            <w:tcBorders/>
            <w:shd w:fill="CCEEFF" w:val="clear"/>
            <w:vAlign w:val="bottom"/>
          </w:tcPr>
          <w:p>
            <w:pPr>
              <w:pStyle w:val="TableContents"/>
              <w:bidi w:val="0"/>
              <w:spacing w:before="0" w:after="0"/>
              <w:ind w:left="504" w:right="0" w:hanging="144"/>
              <w:jc w:val="left"/>
              <w:rPr/>
            </w:pPr>
            <w:r>
              <w:rPr/>
              <w:t>Total 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2,399,500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2.49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2,239,687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pPr>
            <w:r>
              <w:rPr/>
              <w:t>0.52</w:t>
            </w:r>
          </w:p>
        </w:tc>
        <w:tc>
          <w:tcPr>
            <w:tcW w:w="230" w:type="dxa"/>
            <w:tcBorders/>
            <w:shd w:fill="CCEEFF" w:val="clear"/>
            <w:vAlign w:val="bottom"/>
          </w:tcPr>
          <w:p>
            <w:pPr>
              <w:pStyle w:val="TableContents"/>
              <w:bidi w:val="0"/>
              <w:spacing w:before="0" w:after="0"/>
              <w:jc w:val="left"/>
              <w:rPr/>
            </w:pPr>
            <w:r>
              <w:rPr/>
              <w:t>%</w:t>
            </w:r>
          </w:p>
        </w:tc>
      </w:tr>
      <w:tr>
        <w:trPr/>
        <w:tc>
          <w:tcPr>
            <w:tcW w:w="4235" w:type="dxa"/>
            <w:tcBorders/>
            <w:vAlign w:val="bottom"/>
          </w:tcPr>
          <w:p>
            <w:pPr>
              <w:pStyle w:val="TableContents"/>
              <w:bidi w:val="0"/>
              <w:spacing w:before="0" w:after="0"/>
              <w:ind w:left="684" w:right="0" w:hanging="144"/>
              <w:jc w:val="left"/>
              <w:rPr/>
            </w:pPr>
            <w:r>
              <w:rPr/>
              <w:t>Total deposits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3,484,845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1.72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3,414,470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pPr>
            <w:r>
              <w:rPr/>
              <w:t>0.34</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scheduled maturities of uninsured certificates of deposits or other time deposits as of September 30, 2023 follows:</w:t>
      </w:r>
    </w:p>
    <w:p>
      <w:pPr>
        <w:pStyle w:val="TextBody"/>
        <w:bidi w:val="0"/>
        <w:spacing w:before="0" w:after="0"/>
        <w:jc w:val="left"/>
        <w:rPr/>
      </w:pPr>
      <w:r>
        <w:rPr/>
      </w:r>
    </w:p>
    <w:tbl>
      <w:tblPr>
        <w:tblW w:w="7877" w:type="dxa"/>
        <w:jc w:val="left"/>
        <w:tblInd w:w="0" w:type="dxa"/>
        <w:tblLayout w:type="fixed"/>
        <w:tblCellMar>
          <w:top w:w="0" w:type="dxa"/>
          <w:left w:w="0" w:type="dxa"/>
          <w:bottom w:w="0" w:type="dxa"/>
          <w:right w:w="0" w:type="dxa"/>
        </w:tblCellMar>
      </w:tblPr>
      <w:tblGrid>
        <w:gridCol w:w="2270"/>
        <w:gridCol w:w="60"/>
        <w:gridCol w:w="160"/>
        <w:gridCol w:w="640"/>
        <w:gridCol w:w="60"/>
        <w:gridCol w:w="60"/>
        <w:gridCol w:w="200"/>
        <w:gridCol w:w="974"/>
        <w:gridCol w:w="60"/>
        <w:gridCol w:w="60"/>
        <w:gridCol w:w="187"/>
        <w:gridCol w:w="912"/>
        <w:gridCol w:w="60"/>
        <w:gridCol w:w="60"/>
        <w:gridCol w:w="187"/>
        <w:gridCol w:w="912"/>
        <w:gridCol w:w="60"/>
        <w:gridCol w:w="60"/>
        <w:gridCol w:w="140"/>
        <w:gridCol w:w="680"/>
        <w:gridCol w:w="75"/>
      </w:tblGrid>
      <w:tr>
        <w:trPr/>
        <w:tc>
          <w:tcPr>
            <w:tcW w:w="2270" w:type="dxa"/>
            <w:tcBorders/>
            <w:vAlign w:val="bottom"/>
          </w:tcPr>
          <w:p>
            <w:pPr>
              <w:pStyle w:val="TableContents"/>
              <w:bidi w:val="0"/>
              <w:spacing w:before="0" w:after="0"/>
              <w:ind w:left="144" w:right="0" w:hanging="144"/>
              <w:jc w:val="left"/>
              <w:rPr>
                <w:b/>
              </w:rPr>
            </w:pPr>
            <w:r>
              <w:rPr>
                <w:b/>
              </w:rPr>
              <w:t>(Dollars in thousands)</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w:t>
            </w:r>
          </w:p>
          <w:p>
            <w:pPr>
              <w:pStyle w:val="TableContents"/>
              <w:bidi w:val="0"/>
              <w:spacing w:before="0" w:after="0"/>
              <w:jc w:val="center"/>
              <w:rPr>
                <w:b/>
              </w:rPr>
            </w:pPr>
            <w:r>
              <w:rPr>
                <w:b/>
              </w:rPr>
              <w:t>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to</w:t>
            </w:r>
          </w:p>
          <w:p>
            <w:pPr>
              <w:pStyle w:val="TableContents"/>
              <w:bidi w:val="0"/>
              <w:spacing w:before="0" w:after="0"/>
              <w:jc w:val="center"/>
              <w:rPr>
                <w:b/>
              </w:rPr>
            </w:pPr>
            <w:r>
              <w:rPr>
                <w:b/>
              </w:rPr>
              <w:t>Six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Six to</w:t>
            </w:r>
          </w:p>
          <w:p>
            <w:pPr>
              <w:pStyle w:val="TableContents"/>
              <w:bidi w:val="0"/>
              <w:spacing w:before="0" w:after="0"/>
              <w:jc w:val="center"/>
              <w:rPr>
                <w:b/>
              </w:rPr>
            </w:pPr>
            <w:r>
              <w:rPr>
                <w:b/>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After</w:t>
            </w:r>
          </w:p>
          <w:p>
            <w:pPr>
              <w:pStyle w:val="TableContents"/>
              <w:bidi w:val="0"/>
              <w:spacing w:before="0" w:after="0"/>
              <w:jc w:val="center"/>
              <w:rPr>
                <w:b/>
              </w:rPr>
            </w:pPr>
            <w:r>
              <w:rPr>
                <w:b/>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75" w:type="dxa"/>
            <w:tcBorders/>
            <w:vAlign w:val="bottom"/>
          </w:tcPr>
          <w:p>
            <w:pPr>
              <w:pStyle w:val="TableContents"/>
              <w:bidi w:val="0"/>
              <w:spacing w:before="0" w:after="283"/>
              <w:jc w:val="left"/>
              <w:rPr/>
            </w:pPr>
            <w:r>
              <w:rPr/>
              <w:t> </w:t>
            </w:r>
          </w:p>
        </w:tc>
      </w:tr>
      <w:tr>
        <w:trPr/>
        <w:tc>
          <w:tcPr>
            <w:tcW w:w="2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pPr>
            <w:r>
              <w:rPr/>
              <w:t>$</w:t>
            </w:r>
          </w:p>
        </w:tc>
        <w:tc>
          <w:tcPr>
            <w:tcW w:w="640" w:type="dxa"/>
            <w:tcBorders/>
            <w:shd w:fill="CCEEFF" w:val="clear"/>
            <w:vAlign w:val="bottom"/>
          </w:tcPr>
          <w:p>
            <w:pPr>
              <w:pStyle w:val="TableContents"/>
              <w:bidi w:val="0"/>
              <w:spacing w:before="0" w:after="0"/>
              <w:jc w:val="right"/>
              <w:rPr/>
            </w:pPr>
            <w:r>
              <w:rPr/>
              <w:t>9,515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pPr>
            <w:r>
              <w:rPr/>
              <w:t>$</w:t>
            </w:r>
          </w:p>
        </w:tc>
        <w:tc>
          <w:tcPr>
            <w:tcW w:w="974" w:type="dxa"/>
            <w:tcBorders/>
            <w:shd w:fill="CCEEFF" w:val="clear"/>
            <w:vAlign w:val="bottom"/>
          </w:tcPr>
          <w:p>
            <w:pPr>
              <w:pStyle w:val="TableContents"/>
              <w:bidi w:val="0"/>
              <w:spacing w:before="0" w:after="0"/>
              <w:jc w:val="right"/>
              <w:rPr/>
            </w:pPr>
            <w:r>
              <w:rPr/>
              <w:t>39,076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pPr>
            <w:r>
              <w:rPr/>
              <w:t>$</w:t>
            </w:r>
          </w:p>
        </w:tc>
        <w:tc>
          <w:tcPr>
            <w:tcW w:w="912" w:type="dxa"/>
            <w:tcBorders/>
            <w:shd w:fill="CCEEFF" w:val="clear"/>
            <w:vAlign w:val="bottom"/>
          </w:tcPr>
          <w:p>
            <w:pPr>
              <w:pStyle w:val="TableContents"/>
              <w:bidi w:val="0"/>
              <w:spacing w:before="0" w:after="0"/>
              <w:jc w:val="right"/>
              <w:rPr/>
            </w:pPr>
            <w:r>
              <w:rPr/>
              <w:t>18,394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pPr>
            <w:r>
              <w:rPr/>
              <w:t>$</w:t>
            </w:r>
          </w:p>
        </w:tc>
        <w:tc>
          <w:tcPr>
            <w:tcW w:w="912" w:type="dxa"/>
            <w:tcBorders/>
            <w:shd w:fill="CCEEFF" w:val="clear"/>
            <w:vAlign w:val="bottom"/>
          </w:tcPr>
          <w:p>
            <w:pPr>
              <w:pStyle w:val="TableContents"/>
              <w:bidi w:val="0"/>
              <w:spacing w:before="0" w:after="0"/>
              <w:jc w:val="right"/>
              <w:rPr/>
            </w:pPr>
            <w:r>
              <w:rPr/>
              <w:t>10,908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77,893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estimated amount of uninsured and uncollateralized deposits as of September 30, 2023 was $590.1 million. This represented approximately 16% of total deposits and excludes $336.1 million of collateralized public fund deposits.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 Time deposits in amounts of more than $250 thousand totaled $143.1 million at September 30, 2023.</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Borrowed Funds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deposits, we may utilize advances from the FHLB and other borrowings as a supplementary funding source to finance our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FHLB Advances</w:t>
      </w:r>
      <w:r>
        <w:rPr>
          <w:rFonts w:ascii="Times New Roman;Times;serif" w:hAnsi="Times New Roman;Times;serif"/>
          <w:color w:val="000000"/>
          <w:sz w:val="20"/>
          <w:shd w:fill="FFFFFF" w:val="clear"/>
        </w:rPr>
        <w:t>. The FHLB allows us to borrow, both short and long-term, on a blanket floating lien status collateralized by first mortgage loans and commercial real estate loans as well as FHLB stock. At September 30, 2023 and December 31, 2022, we had total available borrowing capacity from the FHLB of $1.09 billion and $920.2 million,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had no FHLB borrowings during the nine months ended September 30, 2023 or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Federal Reserve Bank of Dallas</w:t>
      </w:r>
      <w:r>
        <w:rPr>
          <w:rFonts w:ascii="Times New Roman;Times;serif" w:hAnsi="Times New Roman;Times;serif"/>
          <w:color w:val="000000"/>
          <w:sz w:val="20"/>
          <w:shd w:fill="FFFFFF" w:val="clear"/>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$612.4 million and $648.3 million at September 30, 2023 and December 31, 2022,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had no long-term FRB borrowings during the nine months ended September 30, 2023 or 2022.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we have access to the FRB’s BTFP. As of September 30, 2023, the Company has not pledged any securities for the BTFP but has approximately $179 million of available securities that can be used as collateral for additional borrowings through the program.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Lines of Credit</w:t>
      </w:r>
      <w:r>
        <w:rPr>
          <w:rFonts w:ascii="Times New Roman;Times;serif" w:hAnsi="Times New Roman;Times;serif"/>
          <w:color w:val="000000"/>
          <w:sz w:val="20"/>
          <w:shd w:fill="FFFFFF" w:val="clear"/>
        </w:rPr>
        <w:t>. The Bank has uncollateralized lines of credit with multiple banks as a source of funding for liquidity management. The total amount of the lines was $140.0 million and $160.0 million as of September 30, 2023 and December 31, 2022, respectively. The lines of credit were not used, other than testing, during the three or nine months ended September 30, 2023 or the three or nine months ended September 30, 2022.</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Subordinated Debt</w:t>
      </w:r>
      <w:r>
        <w:rPr>
          <w:rFonts w:ascii="Times New Roman;Times;serif" w:hAnsi="Times New Roman;Times;serif"/>
          <w:color w:val="000000"/>
          <w:sz w:val="20"/>
          <w:shd w:fill="FFFFFF" w:val="clear"/>
        </w:rPr>
        <w:t xml:space="preserve">. In December 2018, the Company issued $26.5 million in subordinated notes. Notes totaling $12.4 million have a maturity date of December 2028 and an average fixed rate of 5.74% for the first five years. The remaining $14.1 million of notes have a maturity date of December 2030 and an average fixed rate of 6.41% for the first seven years. After the fixed rate periods, all notes will float at the </w:t>
      </w:r>
      <w:r>
        <w:rPr>
          <w:rFonts w:ascii="Times New Roman;Times;serif" w:hAnsi="Times New Roman;Times;serif"/>
          <w:i/>
          <w:color w:val="000000"/>
          <w:sz w:val="20"/>
          <w:shd w:fill="FFFFFF" w:val="clear"/>
        </w:rPr>
        <w:t>Wall Street Journal</w:t>
      </w:r>
      <w:r>
        <w:rPr>
          <w:rFonts w:ascii="Times New Roman;Times;serif" w:hAnsi="Times New Roman;Times;serif"/>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September 30, 2023, the total amount of subordinated debt outstanding was $76.5 million less approximately $372 thousand of remaining debt issuance costs for a total balance of $76.1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Junior Subordinated Deferrable Interest Debentures and Trust Preferred Securities</w:t>
      </w:r>
      <w:r>
        <w:rPr>
          <w:rFonts w:ascii="Times New Roman;Times;serif" w:hAnsi="Times New Roman;Times;serif"/>
          <w:color w:val="000000"/>
          <w:sz w:val="20"/>
          <w:shd w:fill="FFFFFF" w:val="clear"/>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Consolidated Balance Sheets. The Company records interest expense on the debentures in its consolidated financial statements. The amount of debentures outstanding was $46.4 million at September 30, 2023 and December 31, 2022.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chart below indicates certain information, as of September 30, 2023,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265"/>
        <w:gridCol w:w="60"/>
        <w:gridCol w:w="804"/>
        <w:gridCol w:w="60"/>
        <w:gridCol w:w="226"/>
        <w:gridCol w:w="1102"/>
        <w:gridCol w:w="60"/>
        <w:gridCol w:w="60"/>
        <w:gridCol w:w="203"/>
        <w:gridCol w:w="987"/>
        <w:gridCol w:w="60"/>
        <w:gridCol w:w="60"/>
        <w:gridCol w:w="159"/>
        <w:gridCol w:w="1340"/>
        <w:gridCol w:w="60"/>
        <w:gridCol w:w="2699"/>
      </w:tblGrid>
      <w:tr>
        <w:trPr/>
        <w:tc>
          <w:tcPr>
            <w:tcW w:w="2265" w:type="dxa"/>
            <w:tcBorders>
              <w:bottom w:val="single" w:sz="12" w:space="0" w:color="000000"/>
            </w:tcBorders>
            <w:vAlign w:val="bottom"/>
          </w:tcPr>
          <w:p>
            <w:pPr>
              <w:pStyle w:val="TableContents"/>
              <w:bidi w:val="0"/>
              <w:spacing w:before="0" w:after="0"/>
              <w:ind w:left="144" w:right="0" w:hanging="144"/>
              <w:jc w:val="left"/>
              <w:rPr>
                <w:b/>
              </w:rPr>
            </w:pPr>
            <w:r>
              <w:rPr>
                <w:b/>
              </w:rPr>
              <w:t>Name of Trust</w:t>
            </w:r>
          </w:p>
        </w:tc>
        <w:tc>
          <w:tcPr>
            <w:tcW w:w="60" w:type="dxa"/>
            <w:tcBorders/>
            <w:tcMar>
              <w:bottom w:w="0" w:type="dxa"/>
            </w:tcMar>
            <w:vAlign w:val="bottom"/>
          </w:tcPr>
          <w:p>
            <w:pPr>
              <w:pStyle w:val="TableContents"/>
              <w:bidi w:val="0"/>
              <w:spacing w:before="0" w:after="283"/>
              <w:jc w:val="left"/>
              <w:rPr/>
            </w:pPr>
            <w:r>
              <w:rPr/>
              <w:t> </w:t>
            </w:r>
          </w:p>
        </w:tc>
        <w:tc>
          <w:tcPr>
            <w:tcW w:w="804" w:type="dxa"/>
            <w:tcBorders>
              <w:bottom w:val="single" w:sz="12" w:space="0" w:color="000000"/>
            </w:tcBorders>
            <w:vAlign w:val="bottom"/>
          </w:tcPr>
          <w:p>
            <w:pPr>
              <w:pStyle w:val="TableContents"/>
              <w:bidi w:val="0"/>
              <w:spacing w:before="0" w:after="0"/>
              <w:jc w:val="center"/>
              <w:rPr>
                <w:b/>
              </w:rPr>
            </w:pPr>
            <w:r>
              <w:rPr>
                <w:b/>
              </w:rPr>
              <w:t>Issue Date</w:t>
            </w:r>
          </w:p>
        </w:tc>
        <w:tc>
          <w:tcPr>
            <w:tcW w:w="60" w:type="dxa"/>
            <w:tcBorders/>
            <w:tcMar>
              <w:bottom w:w="0" w:type="dxa"/>
            </w:tcMar>
            <w:vAlign w:val="bottom"/>
          </w:tcPr>
          <w:p>
            <w:pPr>
              <w:pStyle w:val="TableContents"/>
              <w:bidi w:val="0"/>
              <w:spacing w:before="0" w:after="283"/>
              <w:jc w:val="left"/>
              <w:rPr/>
            </w:pPr>
            <w:r>
              <w:rPr/>
              <w:t> </w:t>
            </w:r>
          </w:p>
        </w:tc>
        <w:tc>
          <w:tcPr>
            <w:tcW w:w="1328" w:type="dxa"/>
            <w:gridSpan w:val="2"/>
            <w:tcBorders>
              <w:bottom w:val="single" w:sz="12" w:space="0" w:color="000000"/>
            </w:tcBorders>
            <w:vAlign w:val="bottom"/>
          </w:tcPr>
          <w:p>
            <w:pPr>
              <w:pStyle w:val="TableContents"/>
              <w:bidi w:val="0"/>
              <w:spacing w:before="0" w:after="0"/>
              <w:jc w:val="center"/>
              <w:rPr>
                <w:b/>
              </w:rPr>
            </w:pPr>
            <w:r>
              <w:rPr>
                <w:b/>
              </w:rPr>
              <w:t>Amount of</w:t>
            </w:r>
          </w:p>
          <w:p>
            <w:pPr>
              <w:pStyle w:val="TableContents"/>
              <w:bidi w:val="0"/>
              <w:spacing w:before="0" w:after="0"/>
              <w:jc w:val="center"/>
              <w:rPr>
                <w:b/>
              </w:rPr>
            </w:pPr>
            <w:r>
              <w:rPr>
                <w:b/>
              </w:rPr>
              <w:t>Trust Preferred</w:t>
            </w:r>
          </w:p>
          <w:p>
            <w:pPr>
              <w:pStyle w:val="TableContents"/>
              <w:bidi w:val="0"/>
              <w:spacing w:before="0" w:after="0"/>
              <w:jc w:val="center"/>
              <w:rPr>
                <w:b/>
              </w:rPr>
            </w:pPr>
            <w:r>
              <w:rPr>
                <w:b/>
              </w:rPr>
              <w:t>Securities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90" w:type="dxa"/>
            <w:gridSpan w:val="2"/>
            <w:tcBorders>
              <w:bottom w:val="single" w:sz="12" w:space="0" w:color="000000"/>
            </w:tcBorders>
            <w:vAlign w:val="bottom"/>
          </w:tcPr>
          <w:p>
            <w:pPr>
              <w:pStyle w:val="TableContents"/>
              <w:bidi w:val="0"/>
              <w:spacing w:before="0" w:after="0"/>
              <w:jc w:val="center"/>
              <w:rPr>
                <w:b/>
              </w:rPr>
            </w:pPr>
            <w:r>
              <w:rPr>
                <w:b/>
              </w:rPr>
              <w:t>Amount of</w:t>
            </w:r>
          </w:p>
          <w:p>
            <w:pPr>
              <w:pStyle w:val="TableContents"/>
              <w:bidi w:val="0"/>
              <w:spacing w:before="0" w:after="0"/>
              <w:jc w:val="center"/>
              <w:rPr>
                <w:b/>
              </w:rPr>
            </w:pPr>
            <w:r>
              <w:rPr>
                <w:b/>
              </w:rPr>
              <w:t>Debentures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9" w:type="dxa"/>
            <w:gridSpan w:val="2"/>
            <w:tcBorders>
              <w:bottom w:val="single" w:sz="12" w:space="0" w:color="000000"/>
            </w:tcBorders>
            <w:vAlign w:val="bottom"/>
          </w:tcPr>
          <w:p>
            <w:pPr>
              <w:pStyle w:val="TableContents"/>
              <w:bidi w:val="0"/>
              <w:spacing w:before="0" w:after="0"/>
              <w:jc w:val="center"/>
              <w:rPr>
                <w:b/>
              </w:rPr>
            </w:pPr>
            <w:r>
              <w:rPr>
                <w:b/>
              </w:rPr>
              <w:t>Stated</w:t>
            </w:r>
          </w:p>
          <w:p>
            <w:pPr>
              <w:pStyle w:val="TableContents"/>
              <w:bidi w:val="0"/>
              <w:spacing w:before="0" w:after="0"/>
              <w:jc w:val="center"/>
              <w:rPr>
                <w:b/>
              </w:rPr>
            </w:pPr>
            <w:r>
              <w:rPr>
                <w:b/>
              </w:rPr>
              <w:t>Maturity Date of</w:t>
            </w:r>
          </w:p>
          <w:p>
            <w:pPr>
              <w:pStyle w:val="TableContents"/>
              <w:bidi w:val="0"/>
              <w:spacing w:before="0" w:after="0"/>
              <w:jc w:val="center"/>
              <w:rPr>
                <w:b/>
              </w:rPr>
            </w:pPr>
            <w:r>
              <w:rPr>
                <w:b/>
              </w:rPr>
              <w:t>Trust Preferred</w:t>
            </w:r>
          </w:p>
          <w:p>
            <w:pPr>
              <w:pStyle w:val="TableContents"/>
              <w:bidi w:val="0"/>
              <w:spacing w:before="0" w:after="0"/>
              <w:jc w:val="center"/>
              <w:rPr>
                <w:b/>
              </w:rPr>
            </w:pPr>
            <w:r>
              <w:rPr>
                <w:b/>
              </w:rPr>
              <w:t>Securities and</w:t>
            </w:r>
          </w:p>
          <w:p>
            <w:pPr>
              <w:pStyle w:val="TableContents"/>
              <w:bidi w:val="0"/>
              <w:spacing w:lineRule="auto" w:line="240" w:before="0" w:after="0"/>
              <w:jc w:val="center"/>
              <w:rPr>
                <w:b/>
              </w:rPr>
            </w:pPr>
            <w:r>
              <w:rPr>
                <w:b/>
              </w:rPr>
              <w:t>Debentures(1)</w:t>
            </w:r>
          </w:p>
        </w:tc>
        <w:tc>
          <w:tcPr>
            <w:tcW w:w="60" w:type="dxa"/>
            <w:tcBorders/>
            <w:tcMar>
              <w:bottom w:w="0" w:type="dxa"/>
            </w:tcMar>
            <w:vAlign w:val="bottom"/>
          </w:tcPr>
          <w:p>
            <w:pPr>
              <w:pStyle w:val="TableContents"/>
              <w:bidi w:val="0"/>
              <w:spacing w:before="0" w:after="283"/>
              <w:jc w:val="left"/>
              <w:rPr/>
            </w:pPr>
            <w:r>
              <w:rPr/>
              <w:t> </w:t>
            </w:r>
          </w:p>
        </w:tc>
        <w:tc>
          <w:tcPr>
            <w:tcW w:w="2699" w:type="dxa"/>
            <w:tcBorders>
              <w:bottom w:val="single" w:sz="12" w:space="0" w:color="000000"/>
            </w:tcBorders>
            <w:vAlign w:val="bottom"/>
          </w:tcPr>
          <w:p>
            <w:pPr>
              <w:pStyle w:val="TableContents"/>
              <w:bidi w:val="0"/>
              <w:spacing w:before="0" w:after="0"/>
              <w:jc w:val="center"/>
              <w:rPr>
                <w:b/>
              </w:rPr>
            </w:pPr>
            <w:r>
              <w:rPr>
                <w:b/>
              </w:rPr>
              <w:t>Interest Rate of</w:t>
            </w:r>
          </w:p>
          <w:p>
            <w:pPr>
              <w:pStyle w:val="TableContents"/>
              <w:bidi w:val="0"/>
              <w:spacing w:before="0" w:after="0"/>
              <w:jc w:val="center"/>
              <w:rPr>
                <w:b/>
              </w:rPr>
            </w:pPr>
            <w:r>
              <w:rPr>
                <w:b/>
              </w:rPr>
              <w:t>Trust Preferred</w:t>
            </w:r>
          </w:p>
          <w:p>
            <w:pPr>
              <w:pStyle w:val="TableContents"/>
              <w:bidi w:val="0"/>
              <w:spacing w:before="0" w:after="0"/>
              <w:jc w:val="center"/>
              <w:rPr>
                <w:b/>
              </w:rPr>
            </w:pPr>
            <w:r>
              <w:rPr>
                <w:b/>
              </w:rPr>
              <w:t>Securities and</w:t>
            </w:r>
          </w:p>
          <w:p>
            <w:pPr>
              <w:pStyle w:val="TableContents"/>
              <w:bidi w:val="0"/>
              <w:spacing w:lineRule="auto" w:line="240" w:before="0" w:after="0"/>
              <w:jc w:val="center"/>
              <w:rPr>
                <w:b/>
              </w:rPr>
            </w:pPr>
            <w:r>
              <w:rPr>
                <w:b/>
              </w:rPr>
              <w:t>Debentures(2)(3)</w:t>
            </w:r>
          </w:p>
        </w:tc>
      </w:tr>
      <w:tr>
        <w:trPr/>
        <w:tc>
          <w:tcPr>
            <w:tcW w:w="226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880" w:type="dxa"/>
            <w:gridSpan w:val="14"/>
            <w:tcBorders/>
            <w:tcMar>
              <w:bottom w:w="0" w:type="dxa"/>
            </w:tcMar>
            <w:vAlign w:val="bottom"/>
          </w:tcPr>
          <w:p>
            <w:pPr>
              <w:pStyle w:val="TableContents"/>
              <w:bidi w:val="0"/>
              <w:spacing w:before="0" w:after="0"/>
              <w:jc w:val="center"/>
              <w:rPr>
                <w:b/>
              </w:rPr>
            </w:pPr>
            <w:r>
              <w:rPr>
                <w:b/>
              </w:rPr>
              <w:t>(Dollars in thousands)</w:t>
            </w:r>
          </w:p>
        </w:tc>
      </w:tr>
      <w:tr>
        <w:trPr/>
        <w:tc>
          <w:tcPr>
            <w:tcW w:w="2265" w:type="dxa"/>
            <w:tcBorders/>
            <w:shd w:fill="CCEEFF" w:val="clear"/>
            <w:tcMar>
              <w:bottom w:w="0" w:type="dxa"/>
            </w:tcMar>
            <w:vAlign w:val="bottom"/>
          </w:tcPr>
          <w:p>
            <w:pPr>
              <w:pStyle w:val="TableContents"/>
              <w:bidi w:val="0"/>
              <w:spacing w:before="0" w:after="0"/>
              <w:ind w:left="144" w:right="0" w:hanging="144"/>
              <w:jc w:val="left"/>
              <w:rPr/>
            </w:pPr>
            <w:r>
              <w:rPr/>
              <w:t>South Plains Financial Capital Trust III</w:t>
            </w:r>
          </w:p>
        </w:tc>
        <w:tc>
          <w:tcPr>
            <w:tcW w:w="60" w:type="dxa"/>
            <w:tcBorders/>
            <w:shd w:fill="CCEEFF" w:val="clear"/>
            <w:tcMar>
              <w:bottom w:w="0" w:type="dxa"/>
            </w:tcMar>
            <w:vAlign w:val="bottom"/>
          </w:tcPr>
          <w:p>
            <w:pPr>
              <w:pStyle w:val="TableContents"/>
              <w:bidi w:val="0"/>
              <w:spacing w:before="0" w:after="283"/>
              <w:jc w:val="left"/>
              <w:rPr/>
            </w:pPr>
            <w:r>
              <w:rPr/>
              <w:t> </w:t>
            </w:r>
          </w:p>
        </w:tc>
        <w:tc>
          <w:tcPr>
            <w:tcW w:w="804" w:type="dxa"/>
            <w:tcBorders/>
            <w:shd w:fill="CCEEFF" w:val="clear"/>
            <w:tcMar>
              <w:bottom w:w="0" w:type="dxa"/>
            </w:tcMar>
            <w:vAlign w:val="bottom"/>
          </w:tcPr>
          <w:p>
            <w:pPr>
              <w:pStyle w:val="TableContents"/>
              <w:bidi w:val="0"/>
              <w:spacing w:before="0" w:after="0"/>
              <w:jc w:val="center"/>
              <w:rPr/>
            </w:pPr>
            <w:r>
              <w:rPr/>
              <w:t>2004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0"/>
              <w:jc w:val="left"/>
              <w:rPr/>
            </w:pPr>
            <w:r>
              <w:rPr/>
              <w:t>$</w:t>
            </w:r>
          </w:p>
        </w:tc>
        <w:tc>
          <w:tcPr>
            <w:tcW w:w="1102" w:type="dxa"/>
            <w:tcBorders/>
            <w:shd w:fill="CCEEFF" w:val="clear"/>
            <w:tcMar>
              <w:bottom w:w="0" w:type="dxa"/>
            </w:tcMar>
            <w:vAlign w:val="bottom"/>
          </w:tcPr>
          <w:p>
            <w:pPr>
              <w:pStyle w:val="TableContents"/>
              <w:bidi w:val="0"/>
              <w:spacing w:before="0" w:after="0"/>
              <w:jc w:val="right"/>
              <w:rPr/>
            </w:pPr>
            <w:r>
              <w:rPr/>
              <w:t>10,000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3" w:type="dxa"/>
            <w:tcBorders/>
            <w:shd w:fill="CCEEFF" w:val="clear"/>
            <w:tcMar>
              <w:bottom w:w="0" w:type="dxa"/>
            </w:tcMar>
            <w:vAlign w:val="bottom"/>
          </w:tcPr>
          <w:p>
            <w:pPr>
              <w:pStyle w:val="TableContents"/>
              <w:bidi w:val="0"/>
              <w:spacing w:before="0" w:after="0"/>
              <w:jc w:val="left"/>
              <w:rPr/>
            </w:pPr>
            <w:r>
              <w:rPr/>
              <w:t>$</w:t>
            </w:r>
          </w:p>
        </w:tc>
        <w:tc>
          <w:tcPr>
            <w:tcW w:w="987" w:type="dxa"/>
            <w:tcBorders/>
            <w:shd w:fill="CCEEFF" w:val="clear"/>
            <w:tcMar>
              <w:bottom w:w="0" w:type="dxa"/>
            </w:tcMar>
            <w:vAlign w:val="bottom"/>
          </w:tcPr>
          <w:p>
            <w:pPr>
              <w:pStyle w:val="TableContents"/>
              <w:bidi w:val="0"/>
              <w:spacing w:before="0" w:after="0"/>
              <w:jc w:val="right"/>
              <w:rPr/>
            </w:pPr>
            <w:r>
              <w:rPr/>
              <w:t>10,310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340" w:type="dxa"/>
            <w:tcBorders/>
            <w:shd w:fill="CCEEFF" w:val="clear"/>
            <w:tcMar>
              <w:bottom w:w="0" w:type="dxa"/>
            </w:tcMar>
            <w:vAlign w:val="bottom"/>
          </w:tcPr>
          <w:p>
            <w:pPr>
              <w:pStyle w:val="TableContents"/>
              <w:bidi w:val="0"/>
              <w:spacing w:before="0" w:after="0"/>
              <w:jc w:val="right"/>
              <w:rPr/>
            </w:pPr>
            <w:r>
              <w:rPr/>
              <w:t>2034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9" w:type="dxa"/>
            <w:tcBorders/>
            <w:shd w:fill="CCEEFF" w:val="clear"/>
            <w:tcMar>
              <w:bottom w:w="0" w:type="dxa"/>
            </w:tcMar>
            <w:vAlign w:val="bottom"/>
          </w:tcPr>
          <w:p>
            <w:pPr>
              <w:pStyle w:val="TableContents"/>
              <w:bidi w:val="0"/>
              <w:spacing w:before="0" w:after="0"/>
              <w:jc w:val="left"/>
              <w:rPr/>
            </w:pPr>
            <w:r>
              <w:rPr/>
              <w:t>3-mo CME Term SOFR + 291 bps; 8.26%</w:t>
            </w:r>
          </w:p>
        </w:tc>
      </w:tr>
      <w:tr>
        <w:trPr/>
        <w:tc>
          <w:tcPr>
            <w:tcW w:w="2265" w:type="dxa"/>
            <w:tcBorders/>
            <w:tcMar>
              <w:bottom w:w="0" w:type="dxa"/>
            </w:tcMar>
            <w:vAlign w:val="bottom"/>
          </w:tcPr>
          <w:p>
            <w:pPr>
              <w:pStyle w:val="TableContents"/>
              <w:bidi w:val="0"/>
              <w:spacing w:before="0" w:after="0"/>
              <w:ind w:left="144" w:right="0" w:hanging="144"/>
              <w:jc w:val="left"/>
              <w:rPr/>
            </w:pPr>
            <w:r>
              <w:rPr/>
              <w:t>South Plains Financial Capital Trust IV</w:t>
            </w:r>
          </w:p>
        </w:tc>
        <w:tc>
          <w:tcPr>
            <w:tcW w:w="60" w:type="dxa"/>
            <w:tcBorders/>
            <w:tcMar>
              <w:bottom w:w="0" w:type="dxa"/>
            </w:tcMar>
            <w:vAlign w:val="bottom"/>
          </w:tcPr>
          <w:p>
            <w:pPr>
              <w:pStyle w:val="TableContents"/>
              <w:bidi w:val="0"/>
              <w:spacing w:before="0" w:after="283"/>
              <w:jc w:val="left"/>
              <w:rPr/>
            </w:pPr>
            <w:r>
              <w:rPr/>
              <w:t> </w:t>
            </w:r>
          </w:p>
        </w:tc>
        <w:tc>
          <w:tcPr>
            <w:tcW w:w="804" w:type="dxa"/>
            <w:tcBorders/>
            <w:tcMar>
              <w:bottom w:w="0" w:type="dxa"/>
            </w:tcMar>
            <w:vAlign w:val="bottom"/>
          </w:tcPr>
          <w:p>
            <w:pPr>
              <w:pStyle w:val="TableContents"/>
              <w:bidi w:val="0"/>
              <w:spacing w:before="0" w:after="0"/>
              <w:jc w:val="center"/>
              <w:rPr/>
            </w:pPr>
            <w:r>
              <w:rPr/>
              <w:t>2005</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102" w:type="dxa"/>
            <w:tcBorders/>
            <w:tcMar>
              <w:bottom w:w="0" w:type="dxa"/>
            </w:tcMar>
            <w:vAlign w:val="bottom"/>
          </w:tcPr>
          <w:p>
            <w:pPr>
              <w:pStyle w:val="TableContents"/>
              <w:bidi w:val="0"/>
              <w:spacing w:before="0" w:after="0"/>
              <w:jc w:val="right"/>
              <w:rPr/>
            </w:pPr>
            <w:r>
              <w:rPr/>
              <w:t>20,000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pPr>
            <w:r>
              <w:rPr/>
              <w:t>20,619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340" w:type="dxa"/>
            <w:tcBorders/>
            <w:tcMar>
              <w:bottom w:w="0" w:type="dxa"/>
            </w:tcMar>
            <w:vAlign w:val="bottom"/>
          </w:tcPr>
          <w:p>
            <w:pPr>
              <w:pStyle w:val="TableContents"/>
              <w:bidi w:val="0"/>
              <w:spacing w:before="0" w:after="0"/>
              <w:jc w:val="right"/>
              <w:rPr/>
            </w:pPr>
            <w:r>
              <w:rPr/>
              <w:t>2035</w:t>
            </w:r>
          </w:p>
        </w:tc>
        <w:tc>
          <w:tcPr>
            <w:tcW w:w="60" w:type="dxa"/>
            <w:tcBorders/>
            <w:tcMar>
              <w:bottom w:w="0" w:type="dxa"/>
            </w:tcMar>
            <w:vAlign w:val="bottom"/>
          </w:tcPr>
          <w:p>
            <w:pPr>
              <w:pStyle w:val="TableContents"/>
              <w:bidi w:val="0"/>
              <w:spacing w:before="0" w:after="283"/>
              <w:jc w:val="left"/>
              <w:rPr/>
            </w:pPr>
            <w:r>
              <w:rPr/>
              <w:t> </w:t>
            </w:r>
          </w:p>
        </w:tc>
        <w:tc>
          <w:tcPr>
            <w:tcW w:w="2699" w:type="dxa"/>
            <w:tcBorders/>
            <w:tcMar>
              <w:bottom w:w="0" w:type="dxa"/>
            </w:tcMar>
            <w:vAlign w:val="bottom"/>
          </w:tcPr>
          <w:p>
            <w:pPr>
              <w:pStyle w:val="TableContents"/>
              <w:bidi w:val="0"/>
              <w:spacing w:before="0" w:after="0"/>
              <w:jc w:val="left"/>
              <w:rPr/>
            </w:pPr>
            <w:r>
              <w:rPr/>
              <w:t>3-mo CME Term SOFR + 165 bps; 7.06%</w:t>
            </w:r>
          </w:p>
        </w:tc>
      </w:tr>
      <w:tr>
        <w:trPr/>
        <w:tc>
          <w:tcPr>
            <w:tcW w:w="2265" w:type="dxa"/>
            <w:tcBorders/>
            <w:shd w:fill="CCEEFF" w:val="clear"/>
            <w:tcMar>
              <w:bottom w:w="0" w:type="dxa"/>
            </w:tcMar>
            <w:vAlign w:val="bottom"/>
          </w:tcPr>
          <w:p>
            <w:pPr>
              <w:pStyle w:val="TableContents"/>
              <w:bidi w:val="0"/>
              <w:spacing w:before="0" w:after="0"/>
              <w:ind w:left="144" w:right="0" w:hanging="144"/>
              <w:jc w:val="left"/>
              <w:rPr/>
            </w:pPr>
            <w:r>
              <w:rPr/>
              <w:t>South Plains Financial Capital Trust V</w:t>
            </w:r>
          </w:p>
        </w:tc>
        <w:tc>
          <w:tcPr>
            <w:tcW w:w="60" w:type="dxa"/>
            <w:tcBorders/>
            <w:shd w:fill="CCEEFF" w:val="clear"/>
            <w:tcMar>
              <w:bottom w:w="0" w:type="dxa"/>
            </w:tcMar>
            <w:vAlign w:val="bottom"/>
          </w:tcPr>
          <w:p>
            <w:pPr>
              <w:pStyle w:val="TableContents"/>
              <w:bidi w:val="0"/>
              <w:spacing w:before="0" w:after="283"/>
              <w:jc w:val="left"/>
              <w:rPr/>
            </w:pPr>
            <w:r>
              <w:rPr/>
              <w:t> </w:t>
            </w:r>
          </w:p>
        </w:tc>
        <w:tc>
          <w:tcPr>
            <w:tcW w:w="804" w:type="dxa"/>
            <w:tcBorders/>
            <w:shd w:fill="CCEEFF" w:val="clear"/>
            <w:tcMar>
              <w:bottom w:w="0" w:type="dxa"/>
            </w:tcMar>
            <w:vAlign w:val="bottom"/>
          </w:tcPr>
          <w:p>
            <w:pPr>
              <w:pStyle w:val="TableContents"/>
              <w:bidi w:val="0"/>
              <w:spacing w:before="0" w:after="0"/>
              <w:jc w:val="center"/>
              <w:rPr/>
            </w:pPr>
            <w:r>
              <w:rPr/>
              <w:t>2007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102" w:type="dxa"/>
            <w:tcBorders>
              <w:bottom w:val="single" w:sz="12" w:space="0" w:color="000000"/>
            </w:tcBorders>
            <w:shd w:fill="CCEEFF" w:val="clear"/>
            <w:vAlign w:val="bottom"/>
          </w:tcPr>
          <w:p>
            <w:pPr>
              <w:pStyle w:val="TableContents"/>
              <w:bidi w:val="0"/>
              <w:spacing w:before="0" w:after="0"/>
              <w:jc w:val="right"/>
              <w:rPr/>
            </w:pPr>
            <w:r>
              <w:rPr/>
              <w:t>15,000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3" w:type="dxa"/>
            <w:tcBorders>
              <w:bottom w:val="single" w:sz="12" w:space="0" w:color="000000"/>
            </w:tcBorders>
            <w:shd w:fill="CCEEFF" w:val="clear"/>
            <w:vAlign w:val="bottom"/>
          </w:tcPr>
          <w:p>
            <w:pPr>
              <w:pStyle w:val="TableContents"/>
              <w:bidi w:val="0"/>
              <w:spacing w:before="0" w:after="283"/>
              <w:jc w:val="left"/>
              <w:rPr/>
            </w:pPr>
            <w:r>
              <w:rPr/>
              <w:t> </w:t>
            </w:r>
          </w:p>
        </w:tc>
        <w:tc>
          <w:tcPr>
            <w:tcW w:w="987" w:type="dxa"/>
            <w:tcBorders>
              <w:bottom w:val="single" w:sz="12" w:space="0" w:color="000000"/>
            </w:tcBorders>
            <w:shd w:fill="CCEEFF" w:val="clear"/>
            <w:vAlign w:val="bottom"/>
          </w:tcPr>
          <w:p>
            <w:pPr>
              <w:pStyle w:val="TableContents"/>
              <w:bidi w:val="0"/>
              <w:spacing w:before="0" w:after="0"/>
              <w:jc w:val="right"/>
              <w:rPr/>
            </w:pPr>
            <w:r>
              <w:rPr/>
              <w:t>15,464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1340" w:type="dxa"/>
            <w:tcBorders/>
            <w:shd w:fill="CCEEFF" w:val="clear"/>
            <w:tcMar>
              <w:bottom w:w="0" w:type="dxa"/>
            </w:tcMar>
            <w:vAlign w:val="bottom"/>
          </w:tcPr>
          <w:p>
            <w:pPr>
              <w:pStyle w:val="TableContents"/>
              <w:bidi w:val="0"/>
              <w:spacing w:before="0" w:after="0"/>
              <w:jc w:val="right"/>
              <w:rPr/>
            </w:pPr>
            <w:r>
              <w:rPr/>
              <w:t>2037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99" w:type="dxa"/>
            <w:tcBorders/>
            <w:shd w:fill="CCEEFF" w:val="clear"/>
            <w:tcMar>
              <w:bottom w:w="0" w:type="dxa"/>
            </w:tcMar>
            <w:vAlign w:val="bottom"/>
          </w:tcPr>
          <w:p>
            <w:pPr>
              <w:pStyle w:val="TableContents"/>
              <w:bidi w:val="0"/>
              <w:spacing w:before="0" w:after="0"/>
              <w:jc w:val="left"/>
              <w:rPr/>
            </w:pPr>
            <w:r>
              <w:rPr/>
              <w:t>3-mo CME Term SOFR + 176 bps; 7.17%</w:t>
            </w:r>
          </w:p>
        </w:tc>
      </w:tr>
      <w:tr>
        <w:trPr/>
        <w:tc>
          <w:tcPr>
            <w:tcW w:w="2265" w:type="dxa"/>
            <w:tcBorders/>
            <w:tcMar>
              <w:bottom w:w="0" w:type="dxa"/>
            </w:tcMar>
            <w:vAlign w:val="bottom"/>
          </w:tcPr>
          <w:p>
            <w:pPr>
              <w:pStyle w:val="TableContents"/>
              <w:bidi w:val="0"/>
              <w:spacing w:before="0" w:after="0"/>
              <w:ind w:left="144" w:right="0" w:hanging="144"/>
              <w:jc w:val="left"/>
              <w:rPr/>
            </w:pPr>
            <w:r>
              <w:rPr/>
              <w:t>Total</w:t>
            </w:r>
          </w:p>
        </w:tc>
        <w:tc>
          <w:tcPr>
            <w:tcW w:w="60" w:type="dxa"/>
            <w:tcBorders/>
            <w:tcMar>
              <w:bottom w:w="0" w:type="dxa"/>
            </w:tcMar>
            <w:vAlign w:val="bottom"/>
          </w:tcPr>
          <w:p>
            <w:pPr>
              <w:pStyle w:val="TableContents"/>
              <w:bidi w:val="0"/>
              <w:spacing w:before="0" w:after="283"/>
              <w:jc w:val="left"/>
              <w:rPr/>
            </w:pPr>
            <w:r>
              <w:rPr/>
              <w:t> </w:t>
            </w:r>
          </w:p>
        </w:tc>
        <w:tc>
          <w:tcPr>
            <w:tcW w:w="804"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0"/>
              <w:jc w:val="left"/>
              <w:rPr/>
            </w:pPr>
            <w:r>
              <w:rPr/>
              <w:t>$</w:t>
            </w:r>
          </w:p>
        </w:tc>
        <w:tc>
          <w:tcPr>
            <w:tcW w:w="1102" w:type="dxa"/>
            <w:tcBorders>
              <w:bottom w:val="double" w:sz="8" w:space="0" w:color="000000"/>
            </w:tcBorders>
            <w:vAlign w:val="bottom"/>
          </w:tcPr>
          <w:p>
            <w:pPr>
              <w:pStyle w:val="TableContents"/>
              <w:bidi w:val="0"/>
              <w:spacing w:before="0" w:after="0"/>
              <w:jc w:val="right"/>
              <w:rPr/>
            </w:pPr>
            <w:r>
              <w:rPr/>
              <w:t>45,000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bottom w:val="double" w:sz="8" w:space="0" w:color="000000"/>
            </w:tcBorders>
            <w:vAlign w:val="bottom"/>
          </w:tcPr>
          <w:p>
            <w:pPr>
              <w:pStyle w:val="TableContents"/>
              <w:bidi w:val="0"/>
              <w:spacing w:before="0" w:after="0"/>
              <w:jc w:val="left"/>
              <w:rPr/>
            </w:pPr>
            <w:r>
              <w:rPr/>
              <w:t>$</w:t>
            </w:r>
          </w:p>
        </w:tc>
        <w:tc>
          <w:tcPr>
            <w:tcW w:w="987" w:type="dxa"/>
            <w:tcBorders>
              <w:bottom w:val="double" w:sz="8" w:space="0" w:color="000000"/>
            </w:tcBorders>
            <w:vAlign w:val="bottom"/>
          </w:tcPr>
          <w:p>
            <w:pPr>
              <w:pStyle w:val="TableContents"/>
              <w:bidi w:val="0"/>
              <w:spacing w:before="0" w:after="0"/>
              <w:jc w:val="right"/>
              <w:rPr/>
            </w:pPr>
            <w:r>
              <w:rPr/>
              <w:t>46,393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134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2699"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4480" w:type="dxa"/>
        <w:jc w:val="left"/>
        <w:tblInd w:w="0" w:type="dxa"/>
        <w:tblLayout w:type="fixed"/>
        <w:tblCellMar>
          <w:top w:w="0" w:type="dxa"/>
          <w:left w:w="0" w:type="dxa"/>
          <w:bottom w:w="0" w:type="dxa"/>
          <w:right w:w="0" w:type="dxa"/>
        </w:tblCellMar>
      </w:tblPr>
      <w:tblGrid>
        <w:gridCol w:w="305"/>
        <w:gridCol w:w="4175"/>
      </w:tblGrid>
      <w:tr>
        <w:trPr/>
        <w:tc>
          <w:tcPr>
            <w:tcW w:w="305" w:type="dxa"/>
            <w:tcBorders/>
            <w:vAlign w:val="center"/>
          </w:tcPr>
          <w:p>
            <w:pPr>
              <w:pStyle w:val="TableContents"/>
              <w:bidi w:val="0"/>
              <w:spacing w:before="0" w:after="283"/>
              <w:jc w:val="left"/>
              <w:rPr/>
            </w:pPr>
            <w:r>
              <w:rPr/>
              <w:t>(1)</w:t>
            </w:r>
          </w:p>
        </w:tc>
        <w:tc>
          <w:tcPr>
            <w:tcW w:w="4175" w:type="dxa"/>
            <w:tcBorders/>
            <w:vAlign w:val="center"/>
          </w:tcPr>
          <w:p>
            <w:pPr>
              <w:pStyle w:val="TableContents"/>
              <w:bidi w:val="0"/>
              <w:spacing w:before="0" w:after="0"/>
              <w:jc w:val="left"/>
              <w:rPr/>
            </w:pPr>
            <w:r>
              <w:rPr/>
              <w:t>May be redeemed at the Company’s option.</w:t>
            </w:r>
          </w:p>
        </w:tc>
      </w:tr>
    </w:tbl>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pPr>
            <w:r>
              <w:rPr/>
              <w:t>(2)</w:t>
            </w:r>
          </w:p>
        </w:tc>
        <w:tc>
          <w:tcPr>
            <w:tcW w:w="5315" w:type="dxa"/>
            <w:tcBorders/>
            <w:vAlign w:val="center"/>
          </w:tcPr>
          <w:p>
            <w:pPr>
              <w:pStyle w:val="TableContents"/>
              <w:bidi w:val="0"/>
              <w:spacing w:before="0" w:after="0"/>
              <w:jc w:val="left"/>
              <w:rPr/>
            </w:pPr>
            <w:r>
              <w:rPr/>
              <w:t>Interest payable quarterly with principal due at maturity.</w:t>
            </w:r>
          </w:p>
        </w:tc>
      </w:tr>
    </w:tbl>
    <w:tbl>
      <w:tblPr>
        <w:tblW w:w="5440" w:type="dxa"/>
        <w:jc w:val="left"/>
        <w:tblInd w:w="0" w:type="dxa"/>
        <w:tblLayout w:type="fixed"/>
        <w:tblCellMar>
          <w:top w:w="0" w:type="dxa"/>
          <w:left w:w="0" w:type="dxa"/>
          <w:bottom w:w="0" w:type="dxa"/>
          <w:right w:w="0" w:type="dxa"/>
        </w:tblCellMar>
      </w:tblPr>
      <w:tblGrid>
        <w:gridCol w:w="305"/>
        <w:gridCol w:w="5135"/>
      </w:tblGrid>
      <w:tr>
        <w:trPr/>
        <w:tc>
          <w:tcPr>
            <w:tcW w:w="305" w:type="dxa"/>
            <w:tcBorders/>
            <w:vAlign w:val="center"/>
          </w:tcPr>
          <w:p>
            <w:pPr>
              <w:pStyle w:val="TableContents"/>
              <w:bidi w:val="0"/>
              <w:spacing w:before="0" w:after="283"/>
              <w:jc w:val="left"/>
              <w:rPr/>
            </w:pPr>
            <w:r>
              <w:rPr/>
              <w:t>(3)</w:t>
            </w:r>
          </w:p>
        </w:tc>
        <w:tc>
          <w:tcPr>
            <w:tcW w:w="5135" w:type="dxa"/>
            <w:tcBorders/>
            <w:vAlign w:val="center"/>
          </w:tcPr>
          <w:p>
            <w:pPr>
              <w:pStyle w:val="TableContents"/>
              <w:bidi w:val="0"/>
              <w:spacing w:before="0" w:after="0"/>
              <w:jc w:val="left"/>
              <w:rPr/>
            </w:pPr>
            <w:r>
              <w:rPr/>
              <w:t>Rate as of last reset date, prior to September 30, 2023.</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September 30, 2023, the Bank had the capacity to borrow additional funds from the FHLB and Federal Reserve discount window of up to approximately $1.09 billion and $612.4 million,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Management believes that the Company has adequate liquidity to meet its obligations. However, if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Capital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Total stockholders’ equity increased to $371.7 million as of September 30, 2023, compared to $357.0 million as of December 31, 2022, an increase of $14.7 million, or 4.1%. The increase from December 31, 2022 was primarily the result of $52.4 million in net earnings for the nine months ended September 30, 2023, partially offset by a decrease in accumulated other comprehensive income (“AOCI”) of $19.5 million, net of tax, repurchases of common stock of $11.9 million, and $6.6 million of dividends paid. The decrease in AOCI was attributed to the decrease in fair value of our available for sale securities and fair value hedges, net of tax, as a result of the continued rising interest rate environment experienced during the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September 30, 2023 and December 31, 2022, the Company met the definition of “well-capitalized” under the applicable regulations of the Board of Governors of the Federal Reserve System and the Bank was “well capitalized” under the FDIC’s regulatory framework for prompt corrective action and the Basel III capital guidelines. Management believes that no conditions or events have occurred since September 30, 2023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presents our and the Bank’s regulatory capital ratios as of the dates indicated.</w:t>
      </w:r>
    </w:p>
    <w:p>
      <w:pPr>
        <w:pStyle w:val="TextBody"/>
        <w:bidi w:val="0"/>
        <w:spacing w:before="0" w:after="0"/>
        <w:jc w:val="left"/>
        <w:rPr/>
      </w:pPr>
      <w:r>
        <w:rPr/>
      </w:r>
    </w:p>
    <w:tbl>
      <w:tblPr>
        <w:tblW w:w="8220" w:type="dxa"/>
        <w:jc w:val="left"/>
        <w:tblInd w:w="0" w:type="dxa"/>
        <w:tblLayout w:type="fixed"/>
        <w:tblCellMar>
          <w:top w:w="0" w:type="dxa"/>
          <w:left w:w="0" w:type="dxa"/>
          <w:bottom w:w="0" w:type="dxa"/>
          <w:right w:w="0" w:type="dxa"/>
        </w:tblCellMar>
      </w:tblPr>
      <w:tblGrid>
        <w:gridCol w:w="3695"/>
        <w:gridCol w:w="60"/>
        <w:gridCol w:w="167"/>
        <w:gridCol w:w="959"/>
        <w:gridCol w:w="71"/>
        <w:gridCol w:w="71"/>
        <w:gridCol w:w="71"/>
        <w:gridCol w:w="671"/>
        <w:gridCol w:w="215"/>
        <w:gridCol w:w="60"/>
        <w:gridCol w:w="162"/>
        <w:gridCol w:w="930"/>
        <w:gridCol w:w="69"/>
        <w:gridCol w:w="69"/>
        <w:gridCol w:w="69"/>
        <w:gridCol w:w="651"/>
        <w:gridCol w:w="230"/>
      </w:tblGrid>
      <w:tr>
        <w:trPr/>
        <w:tc>
          <w:tcPr>
            <w:tcW w:w="3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rPr>
            </w:pPr>
            <w:r>
              <w:rPr>
                <w:b/>
              </w:rPr>
              <w:t>September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2022</w:t>
            </w:r>
          </w:p>
        </w:tc>
        <w:tc>
          <w:tcPr>
            <w:tcW w:w="23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42" w:type="dxa"/>
            <w:gridSpan w:val="2"/>
            <w:tcBorders>
              <w:bottom w:val="single" w:sz="12" w:space="0" w:color="000000"/>
            </w:tcBorders>
            <w:tcMar>
              <w:bottom w:w="28" w:type="dxa"/>
            </w:tcMar>
            <w:vAlign w:val="bottom"/>
          </w:tcPr>
          <w:p>
            <w:pPr>
              <w:pStyle w:val="TableContents"/>
              <w:bidi w:val="0"/>
              <w:spacing w:before="0" w:after="0"/>
              <w:jc w:val="center"/>
              <w:rPr>
                <w:b/>
              </w:rPr>
            </w:pPr>
            <w:r>
              <w:rPr>
                <w:b/>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Ratio</w:t>
            </w:r>
          </w:p>
        </w:tc>
        <w:tc>
          <w:tcPr>
            <w:tcW w:w="23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5" w:type="dxa"/>
            <w:gridSpan w:val="14"/>
            <w:tcBorders/>
            <w:vAlign w:val="bottom"/>
          </w:tcPr>
          <w:p>
            <w:pPr>
              <w:pStyle w:val="TableContents"/>
              <w:bidi w:val="0"/>
              <w:spacing w:before="0" w:after="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u w:val="single"/>
              </w:rPr>
            </w:pPr>
            <w:r>
              <w:rPr>
                <w:b/>
                <w:u w:val="single"/>
              </w:rPr>
              <w:t>South Plains Financial, Inc.</w:t>
            </w:r>
            <w:r>
              <w:rPr>
                <w:u w:val="single"/>
              </w:rPr>
              <w:t>:</w:t>
            </w:r>
          </w:p>
        </w:tc>
        <w:tc>
          <w:tcPr>
            <w:tcW w:w="60"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42"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pPr>
            <w:r>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pPr>
            <w:r>
              <w:rPr/>
              <w:t>$</w:t>
            </w:r>
          </w:p>
        </w:tc>
        <w:tc>
          <w:tcPr>
            <w:tcW w:w="959" w:type="dxa"/>
            <w:tcBorders/>
            <w:shd w:fill="CCEEFF" w:val="clear"/>
            <w:vAlign w:val="bottom"/>
          </w:tcPr>
          <w:p>
            <w:pPr>
              <w:pStyle w:val="TableContents"/>
              <w:bidi w:val="0"/>
              <w:spacing w:before="0" w:after="0"/>
              <w:jc w:val="right"/>
              <w:rPr/>
            </w:pPr>
            <w:r>
              <w:rPr/>
              <w:t>599,238</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pPr>
            <w:r>
              <w:rPr/>
              <w:t>16.82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pPr>
            <w:r>
              <w:rPr/>
              <w:t>$</w:t>
            </w:r>
          </w:p>
        </w:tc>
        <w:tc>
          <w:tcPr>
            <w:tcW w:w="930" w:type="dxa"/>
            <w:tcBorders/>
            <w:shd w:fill="CCEEFF" w:val="clear"/>
            <w:vAlign w:val="bottom"/>
          </w:tcPr>
          <w:p>
            <w:pPr>
              <w:pStyle w:val="TableContents"/>
              <w:bidi w:val="0"/>
              <w:spacing w:before="0" w:after="0"/>
              <w:jc w:val="right"/>
              <w:rPr/>
            </w:pPr>
            <w:r>
              <w:rPr/>
              <w:t>559,094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16.58</w:t>
            </w:r>
          </w:p>
        </w:tc>
        <w:tc>
          <w:tcPr>
            <w:tcW w:w="230" w:type="dxa"/>
            <w:tcBorders/>
            <w:shd w:fill="CCEEFF" w:val="clear"/>
            <w:vAlign w:val="bottom"/>
          </w:tcPr>
          <w:p>
            <w:pPr>
              <w:pStyle w:val="TableContents"/>
              <w:bidi w:val="0"/>
              <w:spacing w:before="0" w:after="0"/>
              <w:jc w:val="left"/>
              <w:rPr/>
            </w:pPr>
            <w:r>
              <w:rPr/>
              <w:t>%</w:t>
            </w:r>
          </w:p>
        </w:tc>
      </w:tr>
      <w:tr>
        <w:trPr/>
        <w:tc>
          <w:tcPr>
            <w:tcW w:w="3695" w:type="dxa"/>
            <w:tcBorders/>
            <w:vAlign w:val="bottom"/>
          </w:tcPr>
          <w:p>
            <w:pPr>
              <w:pStyle w:val="TableContents"/>
              <w:bidi w:val="0"/>
              <w:spacing w:before="0" w:after="0"/>
              <w:ind w:left="144" w:right="0" w:hanging="144"/>
              <w:jc w:val="left"/>
              <w:rPr/>
            </w:pPr>
            <w:r>
              <w:rPr/>
              <w:t>Tier 1 capital (to risk-weighted assets)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pPr>
            <w:r>
              <w:rPr/>
              <w:t>479,373</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pPr>
            <w:r>
              <w:rPr/>
              <w:t>13.46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443,265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13.15</w:t>
            </w:r>
          </w:p>
        </w:tc>
        <w:tc>
          <w:tcPr>
            <w:tcW w:w="23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pPr>
            <w:r>
              <w:rPr/>
              <w:t>CET 1 capital (to risk-weighted assets)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pPr>
            <w:r>
              <w:rPr/>
              <w:t>434,373</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pPr>
            <w:r>
              <w:rPr/>
              <w:t>12.19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pPr>
            <w:r>
              <w:rPr/>
              <w:t>398,265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11.81</w:t>
            </w:r>
          </w:p>
        </w:tc>
        <w:tc>
          <w:tcPr>
            <w:tcW w:w="23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pPr>
            <w:r>
              <w:rPr/>
              <w:t>Tier 1 capital (to average assets)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pPr>
            <w:r>
              <w:rPr/>
              <w:t>479,373</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pPr>
            <w:r>
              <w:rPr/>
              <w:t>11.13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443,265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11.03</w:t>
            </w:r>
          </w:p>
        </w:tc>
        <w:tc>
          <w:tcPr>
            <w:tcW w:w="23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b/>
                <w:u w:val="single"/>
              </w:rPr>
            </w:pPr>
            <w:r>
              <w:rPr>
                <w:b/>
                <w:u w:val="single"/>
              </w:rPr>
              <w:t>City Bank: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pPr>
            <w:r>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pPr>
            <w:r>
              <w:rPr/>
              <w:t>$</w:t>
            </w:r>
          </w:p>
        </w:tc>
        <w:tc>
          <w:tcPr>
            <w:tcW w:w="959" w:type="dxa"/>
            <w:tcBorders/>
            <w:shd w:fill="CCEEFF" w:val="clear"/>
            <w:vAlign w:val="bottom"/>
          </w:tcPr>
          <w:p>
            <w:pPr>
              <w:pStyle w:val="TableContents"/>
              <w:bidi w:val="0"/>
              <w:spacing w:before="0" w:after="0"/>
              <w:jc w:val="right"/>
              <w:rPr/>
            </w:pPr>
            <w:r>
              <w:rPr/>
              <w:t>502,003</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pPr>
            <w:r>
              <w:rPr/>
              <w:t>14.10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pPr>
            <w:r>
              <w:rPr/>
              <w:t>$</w:t>
            </w:r>
          </w:p>
        </w:tc>
        <w:tc>
          <w:tcPr>
            <w:tcW w:w="930" w:type="dxa"/>
            <w:tcBorders/>
            <w:shd w:fill="CCEEFF" w:val="clear"/>
            <w:vAlign w:val="bottom"/>
          </w:tcPr>
          <w:p>
            <w:pPr>
              <w:pStyle w:val="TableContents"/>
              <w:bidi w:val="0"/>
              <w:spacing w:before="0" w:after="0"/>
              <w:jc w:val="right"/>
              <w:rPr/>
            </w:pPr>
            <w:r>
              <w:rPr/>
              <w:t>454,427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13.48</w:t>
            </w:r>
          </w:p>
        </w:tc>
        <w:tc>
          <w:tcPr>
            <w:tcW w:w="230" w:type="dxa"/>
            <w:tcBorders/>
            <w:shd w:fill="CCEEFF" w:val="clear"/>
            <w:vAlign w:val="bottom"/>
          </w:tcPr>
          <w:p>
            <w:pPr>
              <w:pStyle w:val="TableContents"/>
              <w:bidi w:val="0"/>
              <w:spacing w:before="0" w:after="0"/>
              <w:jc w:val="left"/>
              <w:rPr/>
            </w:pPr>
            <w:r>
              <w:rPr/>
              <w:t>%</w:t>
            </w:r>
          </w:p>
        </w:tc>
      </w:tr>
      <w:tr>
        <w:trPr/>
        <w:tc>
          <w:tcPr>
            <w:tcW w:w="3695" w:type="dxa"/>
            <w:tcBorders/>
            <w:vAlign w:val="bottom"/>
          </w:tcPr>
          <w:p>
            <w:pPr>
              <w:pStyle w:val="TableContents"/>
              <w:bidi w:val="0"/>
              <w:spacing w:before="0" w:after="0"/>
              <w:ind w:left="144" w:right="0" w:hanging="144"/>
              <w:jc w:val="left"/>
              <w:rPr/>
            </w:pPr>
            <w:r>
              <w:rPr/>
              <w:t>Tier 1 capital (to risk-weighted assets)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pPr>
            <w:r>
              <w:rPr/>
              <w:t>458,239</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pPr>
            <w:r>
              <w:rPr/>
              <w:t>12.87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414,559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12.30</w:t>
            </w:r>
          </w:p>
        </w:tc>
        <w:tc>
          <w:tcPr>
            <w:tcW w:w="23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ind w:left="144" w:right="0" w:hanging="144"/>
              <w:jc w:val="left"/>
              <w:rPr/>
            </w:pPr>
            <w:r>
              <w:rPr/>
              <w:t>CET 1 capital (to risk-weighted assets)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pPr>
            <w:r>
              <w:rPr/>
              <w:t>458,239</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pPr>
            <w:r>
              <w:rPr/>
              <w:t>12.87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pPr>
            <w:r>
              <w:rPr/>
              <w:t>414,559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12.30</w:t>
            </w:r>
          </w:p>
        </w:tc>
        <w:tc>
          <w:tcPr>
            <w:tcW w:w="23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ind w:left="144" w:right="0" w:hanging="144"/>
              <w:jc w:val="left"/>
              <w:rPr/>
            </w:pPr>
            <w:r>
              <w:rPr/>
              <w:t>Tier 1 capital (to average assets)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pPr>
            <w:r>
              <w:rPr/>
              <w:t>458,239</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pPr>
            <w:r>
              <w:rPr/>
              <w:t>10.65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414,559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10.32</w:t>
            </w:r>
          </w:p>
        </w:tc>
        <w:tc>
          <w:tcPr>
            <w:tcW w:w="23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Community Bank Leverage Ratio</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Treasury Stock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repurchased stock in accordance with its previously-announced stock repurchase program during the three and nine months ended September 30, 2023. For the three months ended September 30, 2023, we repurchased 354,521 shares of common stock for a total of $9.3 million. For the nine months ended September 30, 2023, we repurchased 467,475 share of common stock for a total of $11.9 million. These shares were retired immediately upon repurchase by the Company and not included in treasury stock. See Part II, Item 2, “Unregistered Sales of Equity Securities and Use of Proceeds,” of this Form 10-Q for further information.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Interest Rate Sensitivity and Market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tables summarize the simulated change in net interest income over a 12-month horizon as of the dates indicated:</w:t>
      </w:r>
    </w:p>
    <w:p>
      <w:pPr>
        <w:pStyle w:val="TextBody"/>
        <w:bidi w:val="0"/>
        <w:spacing w:before="0" w:after="0"/>
        <w:jc w:val="left"/>
        <w:rPr/>
      </w:pPr>
      <w:r>
        <w:rPr/>
      </w:r>
    </w:p>
    <w:tbl>
      <w:tblPr>
        <w:tblW w:w="8783" w:type="dxa"/>
        <w:jc w:val="left"/>
        <w:tblInd w:w="0" w:type="dxa"/>
        <w:tblLayout w:type="fixed"/>
        <w:tblCellMar>
          <w:top w:w="0" w:type="dxa"/>
          <w:left w:w="0" w:type="dxa"/>
          <w:bottom w:w="0" w:type="dxa"/>
          <w:right w:w="0" w:type="dxa"/>
        </w:tblCellMar>
      </w:tblPr>
      <w:tblGrid>
        <w:gridCol w:w="3965"/>
        <w:gridCol w:w="60"/>
        <w:gridCol w:w="60"/>
        <w:gridCol w:w="210"/>
        <w:gridCol w:w="1819"/>
        <w:gridCol w:w="290"/>
        <w:gridCol w:w="60"/>
        <w:gridCol w:w="211"/>
        <w:gridCol w:w="1818"/>
        <w:gridCol w:w="290"/>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September 30,</w:t>
            </w:r>
          </w:p>
          <w:p>
            <w:pPr>
              <w:pStyle w:val="TableContents"/>
              <w:bidi w:val="0"/>
              <w:spacing w:before="0" w:after="0"/>
              <w:jc w:val="center"/>
              <w:rPr>
                <w:b/>
              </w:rPr>
            </w:pPr>
            <w:r>
              <w:rPr>
                <w:b/>
              </w:rPr>
              <w:t>2023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290" w:type="dxa"/>
            <w:tcBorders/>
            <w:vAlign w:val="bottom"/>
          </w:tcPr>
          <w:p>
            <w:pPr>
              <w:pStyle w:val="TableContents"/>
              <w:bidi w:val="0"/>
              <w:spacing w:before="0" w:after="283"/>
              <w:jc w:val="left"/>
              <w:rPr/>
            </w:pPr>
            <w:r>
              <w:rPr/>
              <w:t> </w:t>
            </w:r>
          </w:p>
        </w:tc>
      </w:tr>
      <w:tr>
        <w:trPr/>
        <w:tc>
          <w:tcPr>
            <w:tcW w:w="3965" w:type="dxa"/>
            <w:tcBorders>
              <w:bottom w:val="single" w:sz="12" w:space="0" w:color="000000"/>
            </w:tcBorders>
            <w:tcMar>
              <w:bottom w:w="28" w:type="dxa"/>
            </w:tcMar>
            <w:vAlign w:val="bottom"/>
          </w:tcPr>
          <w:p>
            <w:pPr>
              <w:pStyle w:val="TableContents"/>
              <w:bidi w:val="0"/>
              <w:spacing w:before="0" w:after="0"/>
              <w:jc w:val="left"/>
              <w:rPr>
                <w:b/>
              </w:rPr>
            </w:pPr>
            <w:r>
              <w:rPr>
                <w:b/>
              </w:rPr>
              <w:t>Change in Interest Rates (Basis Points)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 Change in</w:t>
            </w:r>
          </w:p>
          <w:p>
            <w:pPr>
              <w:pStyle w:val="TableContents"/>
              <w:bidi w:val="0"/>
              <w:spacing w:before="0" w:after="0"/>
              <w:jc w:val="center"/>
              <w:rPr>
                <w:b/>
              </w:rPr>
            </w:pPr>
            <w:r>
              <w:rPr>
                <w:b/>
              </w:rPr>
              <w:t>Net Interest Income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 Change in</w:t>
            </w:r>
          </w:p>
          <w:p>
            <w:pPr>
              <w:pStyle w:val="TableContents"/>
              <w:bidi w:val="0"/>
              <w:spacing w:before="0" w:after="0"/>
              <w:jc w:val="center"/>
              <w:rPr>
                <w:b/>
              </w:rPr>
            </w:pPr>
            <w:r>
              <w:rPr>
                <w:b/>
              </w:rPr>
              <w:t>Net Interest Income</w:t>
            </w:r>
          </w:p>
        </w:tc>
        <w:tc>
          <w:tcPr>
            <w:tcW w:w="29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pPr>
            <w:r>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0"/>
              <w:jc w:val="right"/>
              <w:rPr/>
            </w:pPr>
            <w:r>
              <w:rPr/>
              <w:t>(8.09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pPr>
            <w:r>
              <w:rPr/>
              <w:t>(1.50</w:t>
            </w:r>
          </w:p>
        </w:tc>
        <w:tc>
          <w:tcPr>
            <w:tcW w:w="290" w:type="dxa"/>
            <w:tcBorders/>
            <w:shd w:fill="CCEEFF" w:val="clear"/>
            <w:vAlign w:val="bottom"/>
          </w:tcPr>
          <w:p>
            <w:pPr>
              <w:pStyle w:val="TableContents"/>
              <w:bidi w:val="0"/>
              <w:spacing w:before="0" w:after="0"/>
              <w:jc w:val="left"/>
              <w:rPr/>
            </w:pPr>
            <w:r>
              <w:rPr/>
              <w:t>)%</w:t>
            </w:r>
          </w:p>
        </w:tc>
      </w:tr>
      <w:tr>
        <w:trPr/>
        <w:tc>
          <w:tcPr>
            <w:tcW w:w="3965" w:type="dxa"/>
            <w:tcBorders/>
            <w:vAlign w:val="bottom"/>
          </w:tcPr>
          <w:p>
            <w:pPr>
              <w:pStyle w:val="TableContents"/>
              <w:bidi w:val="0"/>
              <w:spacing w:before="0" w:after="0"/>
              <w:jc w:val="left"/>
              <w:rPr/>
            </w:pPr>
            <w:r>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0"/>
              <w:jc w:val="right"/>
              <w:rPr/>
            </w:pPr>
            <w:r>
              <w:rPr/>
              <w:t>(5.33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pPr>
            <w:r>
              <w:rPr/>
              <w:t>(0.96</w:t>
            </w:r>
          </w:p>
        </w:tc>
        <w:tc>
          <w:tcPr>
            <w:tcW w:w="290" w:type="dxa"/>
            <w:tcBorders/>
            <w:vAlign w:val="bottom"/>
          </w:tcPr>
          <w:p>
            <w:pPr>
              <w:pStyle w:val="TableContents"/>
              <w:bidi w:val="0"/>
              <w:spacing w:before="0" w:after="0"/>
              <w:jc w:val="left"/>
              <w:rPr/>
            </w:pPr>
            <w:r>
              <w:rPr/>
              <w:t>)%</w:t>
            </w:r>
          </w:p>
        </w:tc>
      </w:tr>
      <w:tr>
        <w:trPr/>
        <w:tc>
          <w:tcPr>
            <w:tcW w:w="3965" w:type="dxa"/>
            <w:tcBorders/>
            <w:shd w:fill="CCEEFF" w:val="clear"/>
            <w:vAlign w:val="bottom"/>
          </w:tcPr>
          <w:p>
            <w:pPr>
              <w:pStyle w:val="TableContents"/>
              <w:bidi w:val="0"/>
              <w:spacing w:before="0" w:after="0"/>
              <w:jc w:val="left"/>
              <w:rPr/>
            </w:pPr>
            <w:r>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0"/>
              <w:jc w:val="right"/>
              <w:rPr/>
            </w:pPr>
            <w:r>
              <w:rPr/>
              <w:t>(2.59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pPr>
            <w:r>
              <w:rPr/>
              <w:t>(0.61</w:t>
            </w:r>
          </w:p>
        </w:tc>
        <w:tc>
          <w:tcPr>
            <w:tcW w:w="290" w:type="dxa"/>
            <w:tcBorders/>
            <w:shd w:fill="CCEEFF" w:val="clear"/>
            <w:vAlign w:val="bottom"/>
          </w:tcPr>
          <w:p>
            <w:pPr>
              <w:pStyle w:val="TableContents"/>
              <w:bidi w:val="0"/>
              <w:spacing w:before="0" w:after="0"/>
              <w:jc w:val="left"/>
              <w:rPr/>
            </w:pPr>
            <w:r>
              <w:rPr/>
              <w:t>)%</w:t>
            </w:r>
          </w:p>
        </w:tc>
      </w:tr>
      <w:tr>
        <w:trPr/>
        <w:tc>
          <w:tcPr>
            <w:tcW w:w="3965" w:type="dxa"/>
            <w:tcBorders/>
            <w:vAlign w:val="bottom"/>
          </w:tcPr>
          <w:p>
            <w:pPr>
              <w:pStyle w:val="TableContents"/>
              <w:bidi w:val="0"/>
              <w:spacing w:before="0" w:after="0"/>
              <w:jc w:val="left"/>
              <w:rPr/>
            </w:pPr>
            <w:r>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0"/>
              <w:jc w:val="right"/>
              <w:rPr/>
            </w:pPr>
            <w:r>
              <w:rPr/>
              <w:t>2.73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pPr>
            <w:r>
              <w:rPr/>
              <w:t>(1.50</w:t>
            </w:r>
          </w:p>
        </w:tc>
        <w:tc>
          <w:tcPr>
            <w:tcW w:w="290" w:type="dxa"/>
            <w:tcBorders/>
            <w:vAlign w:val="bottom"/>
          </w:tcPr>
          <w:p>
            <w:pPr>
              <w:pStyle w:val="TableContents"/>
              <w:bidi w:val="0"/>
              <w:spacing w:before="0" w:after="0"/>
              <w:jc w:val="left"/>
              <w:rPr/>
            </w:pPr>
            <w:r>
              <w:rPr/>
              <w:t>)%</w:t>
            </w:r>
          </w:p>
        </w:tc>
      </w:tr>
      <w:tr>
        <w:trPr/>
        <w:tc>
          <w:tcPr>
            <w:tcW w:w="3965" w:type="dxa"/>
            <w:tcBorders/>
            <w:shd w:fill="CCEEFF" w:val="clear"/>
            <w:vAlign w:val="bottom"/>
          </w:tcPr>
          <w:p>
            <w:pPr>
              <w:pStyle w:val="TableContents"/>
              <w:bidi w:val="0"/>
              <w:spacing w:before="0" w:after="0"/>
              <w:jc w:val="left"/>
              <w:rPr/>
            </w:pPr>
            <w:r>
              <w:rPr/>
              <w:t>-200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0"/>
              <w:jc w:val="right"/>
              <w:rPr/>
            </w:pPr>
            <w:r>
              <w:rPr/>
              <w:t>5.55</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pPr>
            <w:r>
              <w:rPr/>
              <w:t>(2.81</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Impact of Inflation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Tangible Book Value Per Common Share</w:t>
      </w:r>
      <w:r>
        <w:rPr>
          <w:rFonts w:ascii="Times New Roman;Times;serif" w:hAnsi="Times New Roman;Times;serif"/>
          <w:color w:val="000000"/>
          <w:sz w:val="20"/>
          <w:shd w:fill="FFFFFF" w:val="clear"/>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Tangible Common Equity to Tangible Assets</w:t>
      </w:r>
      <w:r>
        <w:rPr>
          <w:rFonts w:ascii="Times New Roman;Times;serif" w:hAnsi="Times New Roman;Times;serif"/>
          <w:color w:val="000000"/>
          <w:sz w:val="20"/>
          <w:shd w:fill="FFFFFF" w:val="clear"/>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rPr/>
      </w:pPr>
      <w:r>
        <w:rPr/>
      </w:r>
    </w:p>
    <w:tbl>
      <w:tblPr>
        <w:tblW w:w="7628" w:type="dxa"/>
        <w:jc w:val="left"/>
        <w:tblInd w:w="0" w:type="dxa"/>
        <w:tblLayout w:type="fixed"/>
        <w:tblCellMar>
          <w:top w:w="0" w:type="dxa"/>
          <w:left w:w="0" w:type="dxa"/>
          <w:bottom w:w="0" w:type="dxa"/>
          <w:right w:w="0" w:type="dxa"/>
        </w:tblCellMar>
      </w:tblPr>
      <w:tblGrid>
        <w:gridCol w:w="4055"/>
        <w:gridCol w:w="60"/>
        <w:gridCol w:w="173"/>
        <w:gridCol w:w="1361"/>
        <w:gridCol w:w="215"/>
        <w:gridCol w:w="60"/>
        <w:gridCol w:w="166"/>
        <w:gridCol w:w="1308"/>
        <w:gridCol w:w="230"/>
      </w:tblGrid>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September 30, </w:t>
            </w:r>
          </w:p>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rPr>
            </w:pPr>
            <w:r>
              <w:rPr>
                <w:b/>
              </w:rPr>
              <w:t xml:space="preserve">December 31, </w:t>
            </w:r>
          </w:p>
          <w:p>
            <w:pPr>
              <w:pStyle w:val="TableContents"/>
              <w:bidi w:val="0"/>
              <w:spacing w:before="0" w:after="0"/>
              <w:ind w:left="0" w:right="0" w:hanging="140"/>
              <w:jc w:val="center"/>
              <w:rPr>
                <w:b/>
              </w:rPr>
            </w:pPr>
            <w:r>
              <w:rPr>
                <w:b/>
              </w:rPr>
              <w:t>2022</w:t>
            </w:r>
          </w:p>
        </w:tc>
        <w:tc>
          <w:tcPr>
            <w:tcW w:w="230" w:type="dxa"/>
            <w:tcBorders/>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3" w:type="dxa"/>
            <w:gridSpan w:val="6"/>
            <w:tcBorders/>
            <w:vAlign w:val="bottom"/>
          </w:tcPr>
          <w:p>
            <w:pPr>
              <w:pStyle w:val="TableContents"/>
              <w:bidi w:val="0"/>
              <w:spacing w:before="0" w:after="0"/>
              <w:ind w:left="0" w:right="0" w:hanging="140"/>
              <w:jc w:val="center"/>
              <w:rPr>
                <w:b/>
              </w:rPr>
            </w:pPr>
            <w:r>
              <w:rPr>
                <w:b/>
              </w:rPr>
              <w:t>(Dollars in thousands)</w:t>
            </w:r>
          </w:p>
        </w:tc>
        <w:tc>
          <w:tcPr>
            <w:tcW w:w="230"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pPr>
            <w:r>
              <w:rPr/>
              <w:t>Total stockholders’ equity</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pPr>
            <w:r>
              <w:rPr/>
              <w:t>$</w:t>
            </w:r>
          </w:p>
        </w:tc>
        <w:tc>
          <w:tcPr>
            <w:tcW w:w="1361" w:type="dxa"/>
            <w:tcBorders/>
            <w:shd w:fill="CCEEFF" w:val="clear"/>
            <w:vAlign w:val="bottom"/>
          </w:tcPr>
          <w:p>
            <w:pPr>
              <w:pStyle w:val="TableContents"/>
              <w:bidi w:val="0"/>
              <w:spacing w:before="0" w:after="0"/>
              <w:jc w:val="right"/>
              <w:rPr/>
            </w:pPr>
            <w:r>
              <w:rPr/>
              <w:t>371,716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308" w:type="dxa"/>
            <w:tcBorders/>
            <w:shd w:fill="CCEEFF" w:val="clear"/>
            <w:vAlign w:val="bottom"/>
          </w:tcPr>
          <w:p>
            <w:pPr>
              <w:pStyle w:val="TableContents"/>
              <w:bidi w:val="0"/>
              <w:spacing w:before="0" w:after="0"/>
              <w:jc w:val="right"/>
              <w:rPr/>
            </w:pPr>
            <w:r>
              <w:rPr/>
              <w:t>357,014</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0"/>
              <w:ind w:left="144" w:right="0" w:hanging="144"/>
              <w:jc w:val="left"/>
              <w:rPr/>
            </w:pPr>
            <w:r>
              <w:rPr/>
              <w:t>Less:  Goodwill and other intangibles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pPr>
            <w:r>
              <w:rPr/>
              <w:t>(21,936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8" w:type="dxa"/>
            <w:tcBorders>
              <w:bottom w:val="single" w:sz="12" w:space="0" w:color="000000"/>
            </w:tcBorders>
            <w:tcMar>
              <w:bottom w:w="28" w:type="dxa"/>
            </w:tcMar>
            <w:vAlign w:val="bottom"/>
          </w:tcPr>
          <w:p>
            <w:pPr>
              <w:pStyle w:val="TableContents"/>
              <w:bidi w:val="0"/>
              <w:spacing w:before="0" w:after="0"/>
              <w:jc w:val="right"/>
              <w:rPr/>
            </w:pPr>
            <w:r>
              <w:rPr/>
              <w:t>(23,857</w:t>
            </w:r>
          </w:p>
        </w:tc>
        <w:tc>
          <w:tcPr>
            <w:tcW w:w="230" w:type="dxa"/>
            <w:tcBorders/>
            <w:vAlign w:val="bottom"/>
          </w:tcPr>
          <w:p>
            <w:pPr>
              <w:pStyle w:val="TableContents"/>
              <w:bidi w:val="0"/>
              <w:spacing w:before="0" w:after="0"/>
              <w:jc w:val="left"/>
              <w:rPr/>
            </w:pPr>
            <w:r>
              <w:rPr/>
              <w:t>)</w:t>
            </w:r>
          </w:p>
        </w:tc>
      </w:tr>
      <w:tr>
        <w:trPr/>
        <w:tc>
          <w:tcPr>
            <w:tcW w:w="4055" w:type="dxa"/>
            <w:tcBorders/>
            <w:shd w:fill="CCEEFF" w:val="clear"/>
            <w:vAlign w:val="bottom"/>
          </w:tcPr>
          <w:p>
            <w:pPr>
              <w:pStyle w:val="TableContents"/>
              <w:bidi w:val="0"/>
              <w:spacing w:before="0" w:after="0"/>
              <w:ind w:left="324" w:right="0" w:hanging="144"/>
              <w:jc w:val="left"/>
              <w:rPr/>
            </w:pPr>
            <w:r>
              <w:rPr/>
              <w:t>Tangible common equity</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61" w:type="dxa"/>
            <w:tcBorders>
              <w:bottom w:val="double" w:sz="8" w:space="0" w:color="000000"/>
            </w:tcBorders>
            <w:shd w:fill="CCEEFF" w:val="clear"/>
            <w:tcMar>
              <w:bottom w:w="28" w:type="dxa"/>
            </w:tcMar>
            <w:vAlign w:val="bottom"/>
          </w:tcPr>
          <w:p>
            <w:pPr>
              <w:pStyle w:val="TableContents"/>
              <w:bidi w:val="0"/>
              <w:spacing w:before="0" w:after="0"/>
              <w:jc w:val="right"/>
              <w:rPr/>
            </w:pPr>
            <w:r>
              <w:rPr/>
              <w:t>349,780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08" w:type="dxa"/>
            <w:tcBorders>
              <w:bottom w:val="double" w:sz="8" w:space="0" w:color="000000"/>
            </w:tcBorders>
            <w:shd w:fill="CCEEFF" w:val="clear"/>
            <w:tcMar>
              <w:bottom w:w="28" w:type="dxa"/>
            </w:tcMar>
            <w:vAlign w:val="bottom"/>
          </w:tcPr>
          <w:p>
            <w:pPr>
              <w:pStyle w:val="TableContents"/>
              <w:bidi w:val="0"/>
              <w:spacing w:before="0" w:after="0"/>
              <w:jc w:val="right"/>
              <w:rPr/>
            </w:pPr>
            <w:r>
              <w:rPr/>
              <w:t>333,157</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pPr>
            <w:r>
              <w:rPr/>
              <w:t>Total assets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pPr>
            <w:r>
              <w:rPr/>
              <w:t>$</w:t>
            </w:r>
          </w:p>
        </w:tc>
        <w:tc>
          <w:tcPr>
            <w:tcW w:w="1361" w:type="dxa"/>
            <w:tcBorders/>
            <w:shd w:fill="CCEEFF" w:val="clear"/>
            <w:vAlign w:val="bottom"/>
          </w:tcPr>
          <w:p>
            <w:pPr>
              <w:pStyle w:val="TableContents"/>
              <w:bidi w:val="0"/>
              <w:spacing w:before="0" w:after="0"/>
              <w:jc w:val="right"/>
              <w:rPr/>
            </w:pPr>
            <w:r>
              <w:rPr/>
              <w:t>4,186,440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308" w:type="dxa"/>
            <w:tcBorders/>
            <w:shd w:fill="CCEEFF" w:val="clear"/>
            <w:vAlign w:val="bottom"/>
          </w:tcPr>
          <w:p>
            <w:pPr>
              <w:pStyle w:val="TableContents"/>
              <w:bidi w:val="0"/>
              <w:spacing w:before="0" w:after="0"/>
              <w:jc w:val="right"/>
              <w:rPr/>
            </w:pPr>
            <w:r>
              <w:rPr/>
              <w:t>3,944,063</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0"/>
              <w:ind w:left="144" w:right="0" w:hanging="144"/>
              <w:jc w:val="left"/>
              <w:rPr/>
            </w:pPr>
            <w:r>
              <w:rPr/>
              <w:t>Less:  Goodwill and other intangibles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1" w:type="dxa"/>
            <w:tcBorders>
              <w:bottom w:val="single" w:sz="12" w:space="0" w:color="000000"/>
            </w:tcBorders>
            <w:tcMar>
              <w:bottom w:w="28" w:type="dxa"/>
            </w:tcMar>
            <w:vAlign w:val="bottom"/>
          </w:tcPr>
          <w:p>
            <w:pPr>
              <w:pStyle w:val="TableContents"/>
              <w:bidi w:val="0"/>
              <w:spacing w:before="0" w:after="0"/>
              <w:jc w:val="right"/>
              <w:rPr/>
            </w:pPr>
            <w:r>
              <w:rPr/>
              <w:t>(21,936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8" w:type="dxa"/>
            <w:tcBorders>
              <w:bottom w:val="single" w:sz="12" w:space="0" w:color="000000"/>
            </w:tcBorders>
            <w:tcMar>
              <w:bottom w:w="28" w:type="dxa"/>
            </w:tcMar>
            <w:vAlign w:val="bottom"/>
          </w:tcPr>
          <w:p>
            <w:pPr>
              <w:pStyle w:val="TableContents"/>
              <w:bidi w:val="0"/>
              <w:spacing w:before="0" w:after="0"/>
              <w:jc w:val="right"/>
              <w:rPr/>
            </w:pPr>
            <w:r>
              <w:rPr/>
              <w:t>(23,857</w:t>
            </w:r>
          </w:p>
        </w:tc>
        <w:tc>
          <w:tcPr>
            <w:tcW w:w="230" w:type="dxa"/>
            <w:tcBorders/>
            <w:vAlign w:val="bottom"/>
          </w:tcPr>
          <w:p>
            <w:pPr>
              <w:pStyle w:val="TableContents"/>
              <w:bidi w:val="0"/>
              <w:spacing w:before="0" w:after="0"/>
              <w:jc w:val="left"/>
              <w:rPr/>
            </w:pPr>
            <w:r>
              <w:rPr/>
              <w:t>)</w:t>
            </w:r>
          </w:p>
        </w:tc>
      </w:tr>
      <w:tr>
        <w:trPr/>
        <w:tc>
          <w:tcPr>
            <w:tcW w:w="4055" w:type="dxa"/>
            <w:tcBorders/>
            <w:shd w:fill="CCEEFF" w:val="clear"/>
            <w:vAlign w:val="bottom"/>
          </w:tcPr>
          <w:p>
            <w:pPr>
              <w:pStyle w:val="TableContents"/>
              <w:bidi w:val="0"/>
              <w:spacing w:before="0" w:after="0"/>
              <w:ind w:left="324" w:right="0" w:hanging="144"/>
              <w:jc w:val="left"/>
              <w:rPr/>
            </w:pPr>
            <w:r>
              <w:rPr/>
              <w:t>Tangible assets</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61" w:type="dxa"/>
            <w:tcBorders>
              <w:bottom w:val="double" w:sz="8" w:space="0" w:color="000000"/>
            </w:tcBorders>
            <w:shd w:fill="CCEEFF" w:val="clear"/>
            <w:tcMar>
              <w:bottom w:w="28" w:type="dxa"/>
            </w:tcMar>
            <w:vAlign w:val="bottom"/>
          </w:tcPr>
          <w:p>
            <w:pPr>
              <w:pStyle w:val="TableContents"/>
              <w:bidi w:val="0"/>
              <w:spacing w:before="0" w:after="0"/>
              <w:jc w:val="right"/>
              <w:rPr/>
            </w:pPr>
            <w:r>
              <w:rPr/>
              <w:t>4,164,504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08" w:type="dxa"/>
            <w:tcBorders>
              <w:bottom w:val="double" w:sz="8" w:space="0" w:color="000000"/>
            </w:tcBorders>
            <w:shd w:fill="CCEEFF" w:val="clear"/>
            <w:tcMar>
              <w:bottom w:w="28" w:type="dxa"/>
            </w:tcMar>
            <w:vAlign w:val="bottom"/>
          </w:tcPr>
          <w:p>
            <w:pPr>
              <w:pStyle w:val="TableContents"/>
              <w:bidi w:val="0"/>
              <w:spacing w:before="0" w:after="0"/>
              <w:jc w:val="right"/>
              <w:rPr/>
            </w:pPr>
            <w:r>
              <w:rPr/>
              <w:t>3,920,206</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324" w:right="0" w:hanging="144"/>
              <w:jc w:val="left"/>
              <w:rPr/>
            </w:pPr>
            <w:r>
              <w:rPr/>
              <w:t>Shares outstanding</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61" w:type="dxa"/>
            <w:tcBorders>
              <w:bottom w:val="double" w:sz="8" w:space="0" w:color="000000"/>
            </w:tcBorders>
            <w:shd w:fill="CCEEFF" w:val="clear"/>
            <w:tcMar>
              <w:bottom w:w="28" w:type="dxa"/>
            </w:tcMar>
            <w:vAlign w:val="bottom"/>
          </w:tcPr>
          <w:p>
            <w:pPr>
              <w:pStyle w:val="TableContents"/>
              <w:bidi w:val="0"/>
              <w:spacing w:before="0" w:after="0"/>
              <w:jc w:val="right"/>
              <w:rPr/>
            </w:pPr>
            <w:r>
              <w:rPr/>
              <w:t>16,600,442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bottom"/>
          </w:tcPr>
          <w:p>
            <w:pPr>
              <w:pStyle w:val="TableContents"/>
              <w:bidi w:val="0"/>
              <w:spacing w:before="0" w:after="0"/>
              <w:jc w:val="right"/>
              <w:rPr/>
            </w:pPr>
            <w:r>
              <w:rPr/>
              <w:t>17,027,197</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0"/>
              <w:ind w:left="180" w:right="0" w:hanging="0"/>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324" w:right="0" w:hanging="144"/>
              <w:jc w:val="left"/>
              <w:rPr/>
            </w:pPr>
            <w:r>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0"/>
              <w:jc w:val="right"/>
              <w:rPr/>
            </w:pPr>
            <w:r>
              <w:rPr/>
              <w:t>8.88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0"/>
              <w:jc w:val="right"/>
              <w:rPr/>
            </w:pPr>
            <w:r>
              <w:rPr/>
              <w:t>9.05</w:t>
            </w:r>
          </w:p>
        </w:tc>
        <w:tc>
          <w:tcPr>
            <w:tcW w:w="230" w:type="dxa"/>
            <w:tcBorders/>
            <w:shd w:fill="CCEEFF" w:val="clear"/>
            <w:vAlign w:val="bottom"/>
          </w:tcPr>
          <w:p>
            <w:pPr>
              <w:pStyle w:val="TableContents"/>
              <w:bidi w:val="0"/>
              <w:spacing w:before="0" w:after="0"/>
              <w:jc w:val="left"/>
              <w:rPr/>
            </w:pPr>
            <w:r>
              <w:rPr/>
              <w:t>%</w:t>
            </w:r>
          </w:p>
        </w:tc>
      </w:tr>
      <w:tr>
        <w:trPr/>
        <w:tc>
          <w:tcPr>
            <w:tcW w:w="4055" w:type="dxa"/>
            <w:tcBorders/>
            <w:vAlign w:val="bottom"/>
          </w:tcPr>
          <w:p>
            <w:pPr>
              <w:pStyle w:val="TableContents"/>
              <w:bidi w:val="0"/>
              <w:spacing w:before="0" w:after="0"/>
              <w:ind w:left="324" w:right="0" w:hanging="144"/>
              <w:jc w:val="left"/>
              <w:rPr/>
            </w:pPr>
            <w:r>
              <w:rPr/>
              <w:t>Tangible common equity to tangible assets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0"/>
              <w:jc w:val="right"/>
              <w:rPr/>
            </w:pPr>
            <w:r>
              <w:rPr/>
              <w:t>8.40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0"/>
              <w:jc w:val="right"/>
              <w:rPr/>
            </w:pPr>
            <w:r>
              <w:rPr/>
              <w:t>8.50</w:t>
            </w:r>
          </w:p>
        </w:tc>
        <w:tc>
          <w:tcPr>
            <w:tcW w:w="230" w:type="dxa"/>
            <w:tcBorders/>
            <w:vAlign w:val="bottom"/>
          </w:tcPr>
          <w:p>
            <w:pPr>
              <w:pStyle w:val="TableContents"/>
              <w:bidi w:val="0"/>
              <w:spacing w:before="0" w:after="0"/>
              <w:jc w:val="left"/>
              <w:rPr/>
            </w:pPr>
            <w:r>
              <w:rPr/>
              <w:t>%</w:t>
            </w:r>
          </w:p>
        </w:tc>
      </w:tr>
      <w:tr>
        <w:trPr/>
        <w:tc>
          <w:tcPr>
            <w:tcW w:w="4055" w:type="dxa"/>
            <w:tcBorders/>
            <w:shd w:fill="CCEEFF" w:val="clear"/>
            <w:vAlign w:val="bottom"/>
          </w:tcPr>
          <w:p>
            <w:pPr>
              <w:pStyle w:val="TableContents"/>
              <w:bidi w:val="0"/>
              <w:spacing w:before="0" w:after="0"/>
              <w:ind w:left="324" w:right="0" w:hanging="144"/>
              <w:jc w:val="left"/>
              <w:rPr/>
            </w:pPr>
            <w:r>
              <w:rPr/>
              <w:t>Book value per share</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pPr>
            <w:r>
              <w:rPr/>
              <w:t>$</w:t>
            </w:r>
          </w:p>
        </w:tc>
        <w:tc>
          <w:tcPr>
            <w:tcW w:w="1361" w:type="dxa"/>
            <w:tcBorders/>
            <w:shd w:fill="CCEEFF" w:val="clear"/>
            <w:vAlign w:val="bottom"/>
          </w:tcPr>
          <w:p>
            <w:pPr>
              <w:pStyle w:val="TableContents"/>
              <w:bidi w:val="0"/>
              <w:spacing w:before="0" w:after="0"/>
              <w:jc w:val="right"/>
              <w:rPr/>
            </w:pPr>
            <w:r>
              <w:rPr/>
              <w:t>22.39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1308" w:type="dxa"/>
            <w:tcBorders/>
            <w:shd w:fill="CCEEFF" w:val="clear"/>
            <w:vAlign w:val="bottom"/>
          </w:tcPr>
          <w:p>
            <w:pPr>
              <w:pStyle w:val="TableContents"/>
              <w:bidi w:val="0"/>
              <w:spacing w:before="0" w:after="0"/>
              <w:jc w:val="right"/>
              <w:rPr/>
            </w:pPr>
            <w:r>
              <w:rPr/>
              <w:t>20.97</w:t>
            </w:r>
          </w:p>
        </w:tc>
        <w:tc>
          <w:tcPr>
            <w:tcW w:w="230" w:type="dxa"/>
            <w:tcBorders/>
            <w:shd w:fill="CCEEFF" w:val="clear"/>
            <w:vAlign w:val="bottom"/>
          </w:tcPr>
          <w:p>
            <w:pPr>
              <w:pStyle w:val="TableContents"/>
              <w:bidi w:val="0"/>
              <w:spacing w:before="0" w:after="283"/>
              <w:jc w:val="left"/>
              <w:rPr/>
            </w:pPr>
            <w:r>
              <w:rPr/>
              <w:t> </w:t>
            </w:r>
          </w:p>
        </w:tc>
      </w:tr>
      <w:tr>
        <w:trPr/>
        <w:tc>
          <w:tcPr>
            <w:tcW w:w="4055" w:type="dxa"/>
            <w:tcBorders/>
            <w:vAlign w:val="bottom"/>
          </w:tcPr>
          <w:p>
            <w:pPr>
              <w:pStyle w:val="TableContents"/>
              <w:bidi w:val="0"/>
              <w:spacing w:before="0" w:after="0"/>
              <w:ind w:left="324" w:right="0" w:hanging="144"/>
              <w:jc w:val="left"/>
              <w:rPr/>
            </w:pPr>
            <w:r>
              <w:rPr/>
              <w:t>Tangible book value per share</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pPr>
            <w:r>
              <w:rPr/>
              <w:t>$</w:t>
            </w:r>
          </w:p>
        </w:tc>
        <w:tc>
          <w:tcPr>
            <w:tcW w:w="1361" w:type="dxa"/>
            <w:tcBorders/>
            <w:vAlign w:val="bottom"/>
          </w:tcPr>
          <w:p>
            <w:pPr>
              <w:pStyle w:val="TableContents"/>
              <w:bidi w:val="0"/>
              <w:spacing w:before="0" w:after="0"/>
              <w:jc w:val="right"/>
              <w:rPr/>
            </w:pPr>
            <w:r>
              <w:rPr/>
              <w:t>21.07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0"/>
              <w:jc w:val="left"/>
              <w:rPr/>
            </w:pPr>
            <w:r>
              <w:rPr/>
              <w:t>$</w:t>
            </w:r>
          </w:p>
        </w:tc>
        <w:tc>
          <w:tcPr>
            <w:tcW w:w="1308" w:type="dxa"/>
            <w:tcBorders/>
            <w:vAlign w:val="bottom"/>
          </w:tcPr>
          <w:p>
            <w:pPr>
              <w:pStyle w:val="TableContents"/>
              <w:bidi w:val="0"/>
              <w:spacing w:before="0" w:after="0"/>
              <w:jc w:val="right"/>
              <w:rPr/>
            </w:pPr>
            <w:r>
              <w:rPr/>
              <w:t>19.57</w:t>
            </w:r>
          </w:p>
        </w:tc>
        <w:tc>
          <w:tcPr>
            <w:tcW w:w="23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is a discussion of the critical accounting policies and significant estimates that we believe require us to make the most complex or subjective decisions or assessments. Additional information about these policies can be found in Note 1 of the 2022 Annual Report on Form 10-K or the Company’s consolidated financial statements as of September 30, 2023.</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Securities.</w:t>
      </w:r>
      <w:r>
        <w:rPr>
          <w:rFonts w:ascii="Times New Roman;Times;serif" w:hAnsi="Times New Roman;Times;serif"/>
          <w:color w:val="000000"/>
          <w:sz w:val="20"/>
          <w:shd w:fill="FFFFFF" w:val="clear"/>
        </w:rPr>
        <w:t xml:space="preserve"> Investment securities may be classified into trading, held-to-maturity, or available-for-sale portfolios. Securities 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Loans.</w:t>
      </w:r>
      <w:r>
        <w:rPr>
          <w:rFonts w:ascii="Times New Roman;Times;serif" w:hAnsi="Times New Roman;Times;serif"/>
          <w:color w:val="000000"/>
          <w:sz w:val="20"/>
          <w:shd w:fill="FFFFFF" w:val="clear"/>
        </w:rPr>
        <w:t xml:space="preserve"> Loans that management has the intent and ability to hold for the foreseeable future or until maturity or 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Allowance for Credit Losses.</w:t>
      </w:r>
      <w:r>
        <w:rPr>
          <w:rFonts w:ascii="Times New Roman;Times;serif" w:hAnsi="Times New Roman;Times;serif"/>
          <w:color w:val="000000"/>
          <w:sz w:val="20"/>
          <w:shd w:fill="FFFFFF" w:val="clear"/>
        </w:rPr>
        <w:t xml:space="preserve">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Prior to the adoption of the CECL model, the ACL for loans was established through a provision for loan losses charged to expense, which represented management’s best estimate of inherent losses that had been incurred within the existing portfolio of loans. In addition, a loan was considered impaired when, based on current information and events, it was probable that the Company would be unable to collect the scheduled payments of principal or interest when due according to the contractual terms of the loan agreement. All loans rated substandard or worse and greater than $250 thousand were specifically reviewed to determine if they were impaired. Loans that were determined to be impaired were then evaluated to determine estimated impairment, if any. Impairment was measured on a loan-by-loan basis by either the present value of expected future cash flows discounted at the loan’s effective interest rate, the loan’s obtainable market price, or the fair value of the collateral if the loan was collateral dependent. Loans that were not individually determined to be impaired or were not subject to the specific review of impaired status were subject to the general valuation allowance portion of the ACL.</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estimates expected credit losses on off-balance 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Loans Held for Sale.</w:t>
      </w:r>
      <w:r>
        <w:rPr>
          <w:rFonts w:ascii="Times New Roman;Times;serif" w:hAnsi="Times New Roman;Times;serif"/>
          <w:color w:val="000000"/>
          <w:sz w:val="20"/>
          <w:shd w:fill="FFFFFF" w:val="clear"/>
        </w:rPr>
        <w:t xml:space="preserve">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Mortgage Servicing Rights Asset.</w:t>
      </w:r>
      <w:r>
        <w:rPr>
          <w:rFonts w:ascii="Times New Roman;Times;serif" w:hAnsi="Times New Roman;Times;serif"/>
          <w:color w:val="000000"/>
          <w:sz w:val="20"/>
          <w:shd w:fill="FFFFFF" w:val="clear"/>
        </w:rPr>
        <w:t xml:space="preserve"> When mortgage loans are sold with servicing retained, servicing rights are initially recorded at fair value with the consolidated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Goodwill and Other Intangible Assets.</w:t>
      </w:r>
      <w:r>
        <w:rPr>
          <w:rFonts w:ascii="Times New Roman;Times;serif" w:hAnsi="Times New Roman;Times;serif"/>
          <w:color w:val="000000"/>
          <w:sz w:val="20"/>
          <w:shd w:fill="FFFFFF" w:val="clear"/>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Recently Issued Accounting Pronouncements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Note 1, Summary of Significant Accounting Policies, in the notes to the consolidated financial statements included elsewhere in this Form 10-Q regarding the impact of new accounting pronouncements which we have adopted.</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QuantitativeandQualitativ"/>
      <w:bookmarkStart w:id="12" w:name="QuantitativeandQualitativ"/>
      <w:bookmarkEnd w:id="12"/>
    </w:p>
    <w:tbl>
      <w:tblPr>
        <w:tblW w:w="6760" w:type="dxa"/>
        <w:jc w:val="left"/>
        <w:tblInd w:w="0" w:type="dxa"/>
        <w:tblLayout w:type="fixed"/>
        <w:tblCellMar>
          <w:top w:w="0" w:type="dxa"/>
          <w:left w:w="0" w:type="dxa"/>
          <w:bottom w:w="0" w:type="dxa"/>
          <w:right w:w="0" w:type="dxa"/>
        </w:tblCellMar>
      </w:tblPr>
      <w:tblGrid>
        <w:gridCol w:w="740"/>
        <w:gridCol w:w="6020"/>
      </w:tblGrid>
      <w:tr>
        <w:trPr/>
        <w:tc>
          <w:tcPr>
            <w:tcW w:w="740" w:type="dxa"/>
            <w:tcBorders/>
            <w:vAlign w:val="center"/>
          </w:tcPr>
          <w:p>
            <w:pPr>
              <w:pStyle w:val="TableContents"/>
              <w:bidi w:val="0"/>
              <w:spacing w:before="0" w:after="283"/>
              <w:jc w:val="left"/>
              <w:rPr>
                <w:b/>
              </w:rPr>
            </w:pPr>
            <w:r>
              <w:rPr>
                <w:b/>
              </w:rPr>
              <w:t>Item 3.</w:t>
            </w:r>
          </w:p>
        </w:tc>
        <w:tc>
          <w:tcPr>
            <w:tcW w:w="6020" w:type="dxa"/>
            <w:tcBorders/>
            <w:vAlign w:val="center"/>
          </w:tcPr>
          <w:p>
            <w:pPr>
              <w:pStyle w:val="TableContents"/>
              <w:bidi w:val="0"/>
              <w:spacing w:before="0" w:after="0"/>
              <w:jc w:val="left"/>
              <w:rPr>
                <w:b/>
              </w:rPr>
            </w:pPr>
            <w:r>
              <w:rPr>
                <w:b/>
              </w:rPr>
              <w:t>Quantitative and Qualitative Disclosure about Market Risk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3" w:name="ControlsandProcedures"/>
      <w:bookmarkStart w:id="14" w:name="ControlsandProcedures"/>
      <w:bookmarkEnd w:id="14"/>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rPr>
            </w:pPr>
            <w:r>
              <w:rPr>
                <w:b/>
              </w:rPr>
              <w:t>Item 4.</w:t>
            </w:r>
          </w:p>
        </w:tc>
        <w:tc>
          <w:tcPr>
            <w:tcW w:w="258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i/>
        </w:rPr>
      </w:pPr>
      <w:r>
        <w:rPr>
          <w:i/>
        </w:rPr>
      </w:r>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pStyle w:val="TextBody"/>
        <w:bidi w:val="0"/>
        <w:spacing w:before="0" w:after="0"/>
        <w:jc w:val="left"/>
        <w:rPr/>
      </w:pPr>
      <w:r>
        <w:rPr/>
      </w:r>
    </w:p>
    <w:p>
      <w:pPr>
        <w:pStyle w:val="TextBody"/>
        <w:bidi w:val="0"/>
        <w:spacing w:before="0" w:after="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were no changes in the Company’s internal control over financial reporting (as such term is defined in Rules 13a-15(f) and 15d-15(f) under the Exchange Act) that occurred during the three months ended September 30, 2023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ind w:left="900" w:right="0" w:hanging="9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 OTHER INFORMATION</w:t>
      </w:r>
      <w:bookmarkStart w:id="15" w:name="PARTII.OTHERINFORMATION"/>
      <w:bookmarkEnd w:id="15"/>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LegalProceedings"/>
      <w:bookmarkStart w:id="17" w:name="LegalProceedings"/>
      <w:bookmarkEnd w:id="17"/>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1.</w:t>
            </w:r>
          </w:p>
        </w:tc>
        <w:tc>
          <w:tcPr>
            <w:tcW w:w="189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and its subsidiaries are subject to various legal actions, as described in our Annual Report on Form 10-K for the year ended December 31, 2022 (the “2022 Annual Report on Form 10-K”) filed with the SEC on March 13, 2023. Except as described above or in our 2022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RiskFactors"/>
      <w:bookmarkStart w:id="19" w:name="RiskFactors"/>
      <w:bookmarkEnd w:id="19"/>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2022 Annual Report on Form 10-K and under the heading “Risk Factors” in Part II, Item 1A of our Quarterly Report on Form 10-Q for the quarterly period ended March 31, 2023, filed with the SEC on May 8, 2023. Other than the risk factors set forth in our Quarterly Report on Form 10-Q for the quarterly period ended March 31, 2023, filed with the SEC on May 8, 2023, management believes there have been no material changes in the risk factors disclosed by the Company in the 2022 Annual Report on Form 10-K.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 w:name="UnregisteredSalesofEquity"/>
      <w:bookmarkStart w:id="21" w:name="UnregisteredSalesofEquity"/>
      <w:bookmarkEnd w:id="21"/>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rPr>
            </w:pPr>
            <w:r>
              <w:rPr>
                <w:b/>
              </w:rPr>
              <w:t>Item 2.</w:t>
            </w:r>
          </w:p>
        </w:tc>
        <w:tc>
          <w:tcPr>
            <w:tcW w:w="6080" w:type="dxa"/>
            <w:tcBorders/>
            <w:vAlign w:val="center"/>
          </w:tcPr>
          <w:p>
            <w:pPr>
              <w:pStyle w:val="TableContents"/>
              <w:bidi w:val="0"/>
              <w:spacing w:before="0" w:after="0"/>
              <w:jc w:val="left"/>
              <w:rPr>
                <w:b/>
              </w:rPr>
            </w:pPr>
            <w:r>
              <w:rPr>
                <w:b/>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Issuer Purchases of Equity Securities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5, 2023, the Company’s board of directors approved a stock repurchase program pursuant to which the Company may, from time to time, purchase up to $15.0 million of its outstanding shares of common stock (the “Program”). The shares may be repurchased from time to time in privately negotiated transactions or the open market, including pursuant to Rule 10b5-1 trading plans, and in accordance with applicable regulations of the SEC. The Company is not obligated to purchase any shares of its common stock under the Program and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of May 5,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following table summarizes the Company’s share repurchase activity for the three months ended September 30, 2023.</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615"/>
        <w:gridCol w:w="60"/>
        <w:gridCol w:w="95"/>
        <w:gridCol w:w="1275"/>
        <w:gridCol w:w="60"/>
        <w:gridCol w:w="60"/>
        <w:gridCol w:w="301"/>
        <w:gridCol w:w="1207"/>
        <w:gridCol w:w="60"/>
        <w:gridCol w:w="60"/>
        <w:gridCol w:w="322"/>
        <w:gridCol w:w="2264"/>
        <w:gridCol w:w="60"/>
        <w:gridCol w:w="60"/>
        <w:gridCol w:w="295"/>
        <w:gridCol w:w="2332"/>
        <w:gridCol w:w="79"/>
      </w:tblGrid>
      <w:tr>
        <w:trPr/>
        <w:tc>
          <w:tcPr>
            <w:tcW w:w="161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Shares</w:t>
            </w:r>
          </w:p>
          <w:p>
            <w:pPr>
              <w:pStyle w:val="TableContents"/>
              <w:bidi w:val="0"/>
              <w:spacing w:before="0" w:after="0"/>
              <w:jc w:val="center"/>
              <w:rPr>
                <w:b/>
              </w:rPr>
            </w:pPr>
            <w:r>
              <w:rPr>
                <w:b/>
              </w:rPr>
              <w:t>Repurchased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8"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 Price</w:t>
            </w:r>
          </w:p>
          <w:p>
            <w:pPr>
              <w:pStyle w:val="TableContents"/>
              <w:bidi w:val="0"/>
              <w:spacing w:before="0" w:after="0"/>
              <w:jc w:val="center"/>
              <w:rPr>
                <w:b/>
              </w:rPr>
            </w:pPr>
            <w:r>
              <w:rPr>
                <w:b/>
              </w:rPr>
              <w:t>Paid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6"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Dollar Amount</w:t>
            </w:r>
          </w:p>
          <w:p>
            <w:pPr>
              <w:pStyle w:val="TableContents"/>
              <w:bidi w:val="0"/>
              <w:spacing w:before="0" w:after="0"/>
              <w:jc w:val="center"/>
              <w:rPr>
                <w:b/>
              </w:rPr>
            </w:pPr>
            <w:r>
              <w:rPr>
                <w:b/>
              </w:rPr>
              <w:t>Purchased Pursuant to</w:t>
            </w:r>
          </w:p>
          <w:p>
            <w:pPr>
              <w:pStyle w:val="TableContents"/>
              <w:bidi w:val="0"/>
              <w:spacing w:before="0" w:after="0"/>
              <w:jc w:val="center"/>
              <w:rPr>
                <w:b/>
              </w:rPr>
            </w:pPr>
            <w:r>
              <w:rPr>
                <w:b/>
              </w:rPr>
              <w:t>Publicly-Announced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Maximum Dollar Amount</w:t>
            </w:r>
          </w:p>
          <w:p>
            <w:pPr>
              <w:pStyle w:val="TableContents"/>
              <w:bidi w:val="0"/>
              <w:spacing w:before="0" w:after="0"/>
              <w:jc w:val="center"/>
              <w:rPr>
                <w:b/>
              </w:rPr>
            </w:pPr>
            <w:r>
              <w:rPr>
                <w:b/>
              </w:rPr>
              <w:t>Remaining Available for</w:t>
            </w:r>
          </w:p>
          <w:p>
            <w:pPr>
              <w:pStyle w:val="TableContents"/>
              <w:bidi w:val="0"/>
              <w:spacing w:before="0" w:after="0"/>
              <w:jc w:val="center"/>
              <w:rPr>
                <w:b/>
              </w:rPr>
            </w:pPr>
            <w:r>
              <w:rPr>
                <w:b/>
              </w:rPr>
              <w:t>Repurchase Pursuant to</w:t>
            </w:r>
          </w:p>
          <w:p>
            <w:pPr>
              <w:pStyle w:val="TableContents"/>
              <w:bidi w:val="0"/>
              <w:spacing w:before="0" w:after="0"/>
              <w:jc w:val="center"/>
              <w:rPr>
                <w:b/>
              </w:rPr>
            </w:pPr>
            <w:r>
              <w:rPr>
                <w:b/>
              </w:rPr>
              <w:t>Publicly-Announced Plan</w:t>
            </w:r>
          </w:p>
        </w:tc>
        <w:tc>
          <w:tcPr>
            <w:tcW w:w="79" w:type="dxa"/>
            <w:tcBorders/>
            <w:vAlign w:val="bottom"/>
          </w:tcPr>
          <w:p>
            <w:pPr>
              <w:pStyle w:val="TableContents"/>
              <w:bidi w:val="0"/>
              <w:spacing w:before="0" w:after="283"/>
              <w:jc w:val="left"/>
              <w:rPr/>
            </w:pPr>
            <w:r>
              <w:rPr/>
              <w:t> </w:t>
            </w:r>
          </w:p>
        </w:tc>
      </w:tr>
      <w:tr>
        <w:trPr/>
        <w:tc>
          <w:tcPr>
            <w:tcW w:w="1615" w:type="dxa"/>
            <w:tcBorders/>
            <w:shd w:fill="CCEEFF" w:val="clear"/>
            <w:vAlign w:val="bottom"/>
          </w:tcPr>
          <w:p>
            <w:pPr>
              <w:pStyle w:val="TableContents"/>
              <w:bidi w:val="0"/>
              <w:spacing w:before="0" w:after="0"/>
              <w:ind w:left="144" w:right="0" w:hanging="144"/>
              <w:jc w:val="left"/>
              <w:rPr>
                <w:b/>
              </w:rPr>
            </w:pPr>
            <w:r>
              <w:rPr>
                <w:b/>
              </w:rPr>
              <w:t>July 2023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0"/>
              <w:jc w:val="right"/>
              <w:rPr/>
            </w:pPr>
            <w:r>
              <w:rPr/>
              <w:t>38,386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0"/>
              <w:jc w:val="left"/>
              <w:rPr/>
            </w:pPr>
            <w:r>
              <w:rPr/>
              <w:t>$</w:t>
            </w:r>
          </w:p>
        </w:tc>
        <w:tc>
          <w:tcPr>
            <w:tcW w:w="1207" w:type="dxa"/>
            <w:tcBorders/>
            <w:shd w:fill="CCEEFF" w:val="clear"/>
            <w:vAlign w:val="bottom"/>
          </w:tcPr>
          <w:p>
            <w:pPr>
              <w:pStyle w:val="TableContents"/>
              <w:bidi w:val="0"/>
              <w:spacing w:before="0" w:after="0"/>
              <w:jc w:val="right"/>
              <w:rPr/>
            </w:pPr>
            <w:r>
              <w:rPr/>
              <w:t>23.37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pPr>
            <w:r>
              <w:rPr/>
              <w:t>$</w:t>
            </w:r>
          </w:p>
        </w:tc>
        <w:tc>
          <w:tcPr>
            <w:tcW w:w="2264" w:type="dxa"/>
            <w:tcBorders/>
            <w:shd w:fill="CCEEFF" w:val="clear"/>
            <w:vAlign w:val="bottom"/>
          </w:tcPr>
          <w:p>
            <w:pPr>
              <w:pStyle w:val="TableContents"/>
              <w:bidi w:val="0"/>
              <w:spacing w:before="0" w:after="0"/>
              <w:jc w:val="right"/>
              <w:rPr/>
            </w:pPr>
            <w:r>
              <w:rPr/>
              <w:t>896,996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0"/>
              <w:jc w:val="left"/>
              <w:rPr/>
            </w:pPr>
            <w:r>
              <w:rPr/>
              <w:t>$</w:t>
            </w:r>
          </w:p>
        </w:tc>
        <w:tc>
          <w:tcPr>
            <w:tcW w:w="2332" w:type="dxa"/>
            <w:tcBorders/>
            <w:shd w:fill="CCEEFF" w:val="clear"/>
            <w:vAlign w:val="bottom"/>
          </w:tcPr>
          <w:p>
            <w:pPr>
              <w:pStyle w:val="TableContents"/>
              <w:bidi w:val="0"/>
              <w:spacing w:before="0" w:after="0"/>
              <w:jc w:val="right"/>
              <w:rPr/>
            </w:pPr>
            <w:r>
              <w:rPr/>
              <w:t>11,554,884</w:t>
            </w:r>
          </w:p>
        </w:tc>
        <w:tc>
          <w:tcPr>
            <w:tcW w:w="79" w:type="dxa"/>
            <w:tcBorders/>
            <w:shd w:fill="CCEEFF" w:val="clear"/>
            <w:vAlign w:val="bottom"/>
          </w:tcPr>
          <w:p>
            <w:pPr>
              <w:pStyle w:val="TableContents"/>
              <w:bidi w:val="0"/>
              <w:spacing w:before="0" w:after="283"/>
              <w:jc w:val="left"/>
              <w:rPr/>
            </w:pPr>
            <w:r>
              <w:rPr/>
              <w:t> </w:t>
            </w:r>
          </w:p>
        </w:tc>
      </w:tr>
      <w:tr>
        <w:trPr/>
        <w:tc>
          <w:tcPr>
            <w:tcW w:w="1615" w:type="dxa"/>
            <w:tcBorders/>
            <w:vAlign w:val="bottom"/>
          </w:tcPr>
          <w:p>
            <w:pPr>
              <w:pStyle w:val="TableContents"/>
              <w:bidi w:val="0"/>
              <w:spacing w:before="0" w:after="0"/>
              <w:ind w:left="144" w:right="0" w:hanging="144"/>
              <w:jc w:val="left"/>
              <w:rPr>
                <w:b/>
              </w:rPr>
            </w:pPr>
            <w:r>
              <w:rPr>
                <w:b/>
              </w:rPr>
              <w:t>August 2023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0"/>
              <w:jc w:val="right"/>
              <w:rPr/>
            </w:pPr>
            <w:r>
              <w:rPr/>
              <w:t>164,525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pPr>
            <w:r>
              <w:rPr/>
              <w:t>26.77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0"/>
              <w:jc w:val="right"/>
              <w:rPr/>
            </w:pPr>
            <w:r>
              <w:rPr/>
              <w:t>4,404,344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32" w:type="dxa"/>
            <w:tcBorders/>
            <w:vAlign w:val="bottom"/>
          </w:tcPr>
          <w:p>
            <w:pPr>
              <w:pStyle w:val="TableContents"/>
              <w:bidi w:val="0"/>
              <w:spacing w:before="0" w:after="0"/>
              <w:jc w:val="right"/>
              <w:rPr/>
            </w:pPr>
            <w:r>
              <w:rPr/>
              <w:t>7,150,540</w:t>
            </w:r>
          </w:p>
        </w:tc>
        <w:tc>
          <w:tcPr>
            <w:tcW w:w="79" w:type="dxa"/>
            <w:tcBorders/>
            <w:vAlign w:val="bottom"/>
          </w:tcPr>
          <w:p>
            <w:pPr>
              <w:pStyle w:val="TableContents"/>
              <w:bidi w:val="0"/>
              <w:spacing w:before="0" w:after="283"/>
              <w:jc w:val="left"/>
              <w:rPr/>
            </w:pPr>
            <w:r>
              <w:rPr/>
              <w:t> </w:t>
            </w:r>
          </w:p>
        </w:tc>
      </w:tr>
      <w:tr>
        <w:trPr/>
        <w:tc>
          <w:tcPr>
            <w:tcW w:w="1615" w:type="dxa"/>
            <w:tcBorders/>
            <w:shd w:fill="CCEEFF" w:val="clear"/>
            <w:vAlign w:val="bottom"/>
          </w:tcPr>
          <w:p>
            <w:pPr>
              <w:pStyle w:val="TableContents"/>
              <w:bidi w:val="0"/>
              <w:spacing w:before="0" w:after="0"/>
              <w:ind w:left="144" w:right="0" w:hanging="144"/>
              <w:jc w:val="left"/>
              <w:rPr>
                <w:b/>
              </w:rPr>
            </w:pPr>
            <w:r>
              <w:rPr>
                <w:b/>
              </w:rPr>
              <w:t>September 2023</w:t>
            </w:r>
          </w:p>
        </w:tc>
        <w:tc>
          <w:tcPr>
            <w:tcW w:w="60" w:type="dxa"/>
            <w:tcBorders/>
            <w:shd w:fill="CCEEFF" w:val="clear"/>
            <w:vAlign w:val="bottom"/>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bottom"/>
          </w:tcPr>
          <w:p>
            <w:pPr>
              <w:pStyle w:val="TableContents"/>
              <w:bidi w:val="0"/>
              <w:spacing w:before="0" w:after="0"/>
              <w:jc w:val="right"/>
              <w:rPr/>
            </w:pPr>
            <w:r>
              <w:rPr/>
              <w:t>151,610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pPr>
            <w:r>
              <w:rPr/>
              <w:t>26.51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264" w:type="dxa"/>
            <w:tcBorders/>
            <w:shd w:fill="CCEEFF" w:val="clear"/>
            <w:vAlign w:val="bottom"/>
          </w:tcPr>
          <w:p>
            <w:pPr>
              <w:pStyle w:val="TableContents"/>
              <w:bidi w:val="0"/>
              <w:spacing w:before="0" w:after="0"/>
              <w:jc w:val="right"/>
              <w:rPr/>
            </w:pPr>
            <w:r>
              <w:rPr/>
              <w:t>4,019,466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32" w:type="dxa"/>
            <w:tcBorders/>
            <w:shd w:fill="CCEEFF" w:val="clear"/>
            <w:vAlign w:val="bottom"/>
          </w:tcPr>
          <w:p>
            <w:pPr>
              <w:pStyle w:val="TableContents"/>
              <w:bidi w:val="0"/>
              <w:spacing w:before="0" w:after="0"/>
              <w:jc w:val="right"/>
              <w:rPr/>
            </w:pPr>
            <w:r>
              <w:rPr/>
              <w:t>3,131,074</w:t>
            </w:r>
          </w:p>
        </w:tc>
        <w:tc>
          <w:tcPr>
            <w:tcW w:w="79" w:type="dxa"/>
            <w:tcBorders/>
            <w:shd w:fill="CCEEFF" w:val="clear"/>
            <w:vAlign w:val="bottom"/>
          </w:tcPr>
          <w:p>
            <w:pPr>
              <w:pStyle w:val="TableContents"/>
              <w:bidi w:val="0"/>
              <w:spacing w:before="0" w:after="283"/>
              <w:jc w:val="left"/>
              <w:rPr/>
            </w:pPr>
            <w:r>
              <w:rPr/>
              <w:t> </w:t>
            </w:r>
          </w:p>
        </w:tc>
      </w:tr>
      <w:tr>
        <w:trPr/>
        <w:tc>
          <w:tcPr>
            <w:tcW w:w="1615" w:type="dxa"/>
            <w:tcBorders/>
            <w:vAlign w:val="bottom"/>
          </w:tcPr>
          <w:p>
            <w:pPr>
              <w:pStyle w:val="TableContents"/>
              <w:bidi w:val="0"/>
              <w:spacing w:before="0" w:after="0"/>
              <w:ind w:left="324" w:right="0" w:hanging="144"/>
              <w:jc w:val="left"/>
              <w:rPr>
                <w:b/>
              </w:rPr>
            </w:pPr>
            <w:r>
              <w:rPr>
                <w:b/>
              </w:rPr>
              <w:t>Total</w:t>
            </w:r>
          </w:p>
        </w:tc>
        <w:tc>
          <w:tcPr>
            <w:tcW w:w="60" w:type="dxa"/>
            <w:tcBorders/>
            <w:vAlign w:val="bottom"/>
          </w:tcPr>
          <w:p>
            <w:pPr>
              <w:pStyle w:val="TableContents"/>
              <w:bidi w:val="0"/>
              <w:spacing w:before="0" w:after="283"/>
              <w:jc w:val="left"/>
              <w:rPr/>
            </w:pPr>
            <w:r>
              <w:rPr/>
              <w:t> </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c>
          <w:tcPr>
            <w:tcW w:w="1275" w:type="dxa"/>
            <w:tcBorders>
              <w:bottom w:val="double" w:sz="8" w:space="0" w:color="000000"/>
            </w:tcBorders>
            <w:tcMar>
              <w:bottom w:w="28" w:type="dxa"/>
            </w:tcMar>
            <w:vAlign w:val="bottom"/>
          </w:tcPr>
          <w:p>
            <w:pPr>
              <w:pStyle w:val="TableContents"/>
              <w:bidi w:val="0"/>
              <w:spacing w:before="0" w:after="0"/>
              <w:jc w:val="right"/>
              <w:rPr/>
            </w:pPr>
            <w:r>
              <w:rPr/>
              <w:t>354,521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32"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DefaultsuponSeniorSecurit"/>
      <w:bookmarkStart w:id="23" w:name="DefaultsuponSeniorSecurit"/>
      <w:bookmarkEnd w:id="23"/>
    </w:p>
    <w:tbl>
      <w:tblPr>
        <w:tblW w:w="3955" w:type="dxa"/>
        <w:jc w:val="left"/>
        <w:tblInd w:w="0" w:type="dxa"/>
        <w:tblLayout w:type="fixed"/>
        <w:tblCellMar>
          <w:top w:w="0" w:type="dxa"/>
          <w:left w:w="0" w:type="dxa"/>
          <w:bottom w:w="0" w:type="dxa"/>
          <w:right w:w="0" w:type="dxa"/>
        </w:tblCellMar>
      </w:tblPr>
      <w:tblGrid>
        <w:gridCol w:w="740"/>
        <w:gridCol w:w="3215"/>
      </w:tblGrid>
      <w:tr>
        <w:trPr/>
        <w:tc>
          <w:tcPr>
            <w:tcW w:w="740" w:type="dxa"/>
            <w:tcBorders/>
            <w:vAlign w:val="center"/>
          </w:tcPr>
          <w:p>
            <w:pPr>
              <w:pStyle w:val="TableContents"/>
              <w:bidi w:val="0"/>
              <w:spacing w:before="0" w:after="283"/>
              <w:jc w:val="left"/>
              <w:rPr>
                <w:b/>
              </w:rPr>
            </w:pPr>
            <w:r>
              <w:rPr>
                <w:b/>
              </w:rPr>
              <w:t>Item 3.</w:t>
            </w:r>
          </w:p>
        </w:tc>
        <w:tc>
          <w:tcPr>
            <w:tcW w:w="3215" w:type="dxa"/>
            <w:tcBorders/>
            <w:vAlign w:val="center"/>
          </w:tcPr>
          <w:p>
            <w:pPr>
              <w:pStyle w:val="TableContents"/>
              <w:bidi w:val="0"/>
              <w:spacing w:before="0" w:after="0"/>
              <w:jc w:val="left"/>
              <w:rPr>
                <w:b/>
              </w:rPr>
            </w:pPr>
            <w:r>
              <w:rPr>
                <w:b/>
              </w:rPr>
              <w:t>Defaults upon Senior Securities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MineSafetyDisclosures"/>
      <w:bookmarkStart w:id="25" w:name="MineSafetyDisclosures"/>
      <w:bookmarkEnd w:id="25"/>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26" w:name="OtherInformation"/>
      <w:bookmarkStart w:id="27" w:name="OtherInformation"/>
      <w:bookmarkEnd w:id="27"/>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192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September 30, 2023, no directors or officers of the Company adopted or terminated a “Rule 10b5-1 trading arrangement” or a “non-Rule 10b5-1 trading arrangement,” as each term is defined in Item 408 of Regulation S-K.</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Exhibits"/>
      <w:bookmarkStart w:id="29" w:name="Exhibits"/>
      <w:bookmarkEnd w:id="29"/>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12" w:space="0" w:color="000000"/>
            </w:tcBorders>
            <w:vAlign w:val="center"/>
          </w:tcPr>
          <w:p>
            <w:pPr>
              <w:pStyle w:val="TableContents"/>
              <w:bidi w:val="0"/>
              <w:spacing w:before="0" w:after="0"/>
              <w:jc w:val="center"/>
              <w:rPr>
                <w:b/>
              </w:rPr>
            </w:pPr>
            <w:r>
              <w:rPr>
                <w:b/>
              </w:rPr>
              <w:t>Exhibit</w:t>
            </w:r>
          </w:p>
          <w:p>
            <w:pPr>
              <w:pStyle w:val="TableContents"/>
              <w:bidi w:val="0"/>
              <w:spacing w:before="0" w:after="0"/>
              <w:jc w:val="center"/>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12" w:space="0" w:color="000000"/>
            </w:tcBorders>
            <w:vAlign w:val="center"/>
          </w:tcPr>
          <w:p>
            <w:pPr>
              <w:pStyle w:val="TableContents"/>
              <w:bidi w:val="0"/>
              <w:spacing w:before="0" w:after="0"/>
              <w:jc w:val="center"/>
              <w:rPr>
                <w:b/>
              </w:rPr>
            </w:pPr>
            <w:r>
              <w:rPr>
                <w:b/>
              </w:rPr>
              <w:t>Description</w:t>
            </w:r>
          </w:p>
        </w:tc>
      </w:tr>
      <w:tr>
        <w:trPr/>
        <w:tc>
          <w:tcPr>
            <w:tcW w:w="875" w:type="dxa"/>
            <w:tcBorders/>
            <w:shd w:fill="CCEEFF" w:val="clear"/>
            <w:tcMar>
              <w:bottom w:w="0" w:type="dxa"/>
            </w:tcMar>
            <w:vAlign w:val="center"/>
          </w:tcPr>
          <w:p>
            <w:pPr>
              <w:pStyle w:val="TableContents"/>
              <w:bidi w:val="0"/>
              <w:spacing w:before="0" w:after="0"/>
              <w:jc w:val="left"/>
              <w:rPr/>
            </w:pPr>
            <w:hyperlink r:id="rId2">
              <w:r>
                <w:rPr>
                  <w:rStyle w:val="InternetLink"/>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Securities Purchase Agreement, dated April 1, 2023, by and among South Plains Financial, Inc., City Bank and Alliant Insurance Services, Inc. (incorporated by reference to Exhibit 2.1 to the Company’s Current Report on Form 8-K filed with the SEC on April 4, 2023) (File No. 001-38895).</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r:id="rId3">
              <w:r>
                <w:rPr>
                  <w:rStyle w:val="InternetLink"/>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Amended and Restated Certificate of Formation of South Plains Financial, Inc. (incorporated by reference to Exhibit 3.1 to the Company’s Form S-1 filed with the SEC on April 12, 2019) (File No. 333-230851).</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r:id="rId4">
              <w:r>
                <w:rPr>
                  <w:rStyle w:val="InternetLink"/>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Second Amended and Restated Bylaws of South Plains Financial, Inc. (incorporated by reference to Exhibit 3.1 to the Company’s Current Report on Form 8-K filed with the SEC on November 1, 2021) (File No. 001-38895).</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ef20012459_ex31-1.htm">
              <w:r>
                <w:rPr>
                  <w:rStyle w:val="InternetLink"/>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Certification of Principal Executive Officer pursuant to Section 302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ef20012459_ex31-2.htm">
              <w:r>
                <w:rPr>
                  <w:rStyle w:val="InternetLink"/>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Certification of Principal Financial Officer pursuant to Section 302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ef20012459_ex32-1.htm">
              <w:r>
                <w:rPr>
                  <w:rStyle w:val="InternetLink"/>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Certification of Chief Executive Officer pursuant to Section 906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ef20012459_ex32-2.htm">
              <w:r>
                <w:rPr>
                  <w:rStyle w:val="InternetLink"/>
                </w:rPr>
                <w:t>32.2**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Certification of Chief Financial Officer pursuant to Section 906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pPr>
            <w:r>
              <w:rPr/>
              <w:t>The following material from South Plains Financial, Inc.’s Form 10-Q for the quarter ended September 30, 2023, formatted in XBRL (eXtensible Business Reporting Language), filed herewith: (i) Consolidated Balance Sheets, (ii) Consolidated Statements of Comprehensive Income (Loss), (iii) Consolidated Statements of Changes in Stockholders’ Equity, (iv) Consolidated Statements of Cash Flows, and (v) Notes to Unaudited Consolidated Financial Statements.</w:t>
            </w:r>
          </w:p>
        </w:tc>
      </w:tr>
    </w:tbl>
    <w:p>
      <w:pPr>
        <w:pStyle w:val="TextBody"/>
        <w:bidi w:val="0"/>
        <w:spacing w:before="0" w:after="0"/>
        <w:jc w:val="left"/>
        <w:rPr/>
      </w:pPr>
      <w:r>
        <w:rPr/>
      </w:r>
    </w:p>
    <w:tbl>
      <w:tblPr>
        <w:tblW w:w="2665" w:type="dxa"/>
        <w:jc w:val="left"/>
        <w:tblInd w:w="0" w:type="dxa"/>
        <w:tblLayout w:type="fixed"/>
        <w:tblCellMar>
          <w:top w:w="0" w:type="dxa"/>
          <w:left w:w="0" w:type="dxa"/>
          <w:bottom w:w="0" w:type="dxa"/>
          <w:right w:w="0" w:type="dxa"/>
        </w:tblCellMar>
      </w:tblPr>
      <w:tblGrid>
        <w:gridCol w:w="155"/>
        <w:gridCol w:w="2510"/>
      </w:tblGrid>
      <w:tr>
        <w:trPr/>
        <w:tc>
          <w:tcPr>
            <w:tcW w:w="155"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0"/>
              <w:jc w:val="left"/>
              <w:rPr/>
            </w:pPr>
            <w:r>
              <w:rPr/>
              <w:t>Filed with this Form 10-Q</w:t>
            </w:r>
          </w:p>
        </w:tc>
      </w:tr>
    </w:tbl>
    <w:p>
      <w:pPr>
        <w:pStyle w:val="TextBody"/>
        <w:bidi w:val="0"/>
        <w:spacing w:before="0" w:after="0"/>
        <w:jc w:val="left"/>
        <w:rPr/>
      </w:pPr>
      <w:r>
        <w:rPr/>
      </w:r>
    </w:p>
    <w:tbl>
      <w:tblPr>
        <w:tblW w:w="3250" w:type="dxa"/>
        <w:jc w:val="left"/>
        <w:tblInd w:w="0" w:type="dxa"/>
        <w:tblLayout w:type="fixed"/>
        <w:tblCellMar>
          <w:top w:w="0" w:type="dxa"/>
          <w:left w:w="0" w:type="dxa"/>
          <w:bottom w:w="0" w:type="dxa"/>
          <w:right w:w="0" w:type="dxa"/>
        </w:tblCellMar>
      </w:tblPr>
      <w:tblGrid>
        <w:gridCol w:w="275"/>
        <w:gridCol w:w="2975"/>
      </w:tblGrid>
      <w:tr>
        <w:trPr/>
        <w:tc>
          <w:tcPr>
            <w:tcW w:w="27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Furnished with this Form 10-Q</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aps w:val="false"/>
            <w:smallCaps w:val="false"/>
            <w:color w:val="000000"/>
            <w:sz w:val="16"/>
            <w:shd w:fill="FFFFFF" w:val="clear"/>
          </w:rPr>
          <w:t>Table of Contents</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SIGNATURES</w:t>
      </w:r>
      <w:bookmarkStart w:id="30" w:name="SIGNATURES"/>
      <w:bookmarkEnd w:id="30"/>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380" w:type="dxa"/>
        <w:jc w:val="left"/>
        <w:tblInd w:w="0" w:type="dxa"/>
        <w:tblLayout w:type="fixed"/>
        <w:tblCellMar>
          <w:top w:w="0" w:type="dxa"/>
          <w:left w:w="0" w:type="dxa"/>
          <w:bottom w:w="0" w:type="dxa"/>
          <w:right w:w="0" w:type="dxa"/>
        </w:tblCellMar>
      </w:tblPr>
      <w:tblGrid>
        <w:gridCol w:w="530"/>
        <w:gridCol w:w="1805"/>
        <w:gridCol w:w="365"/>
        <w:gridCol w:w="3680"/>
      </w:tblGrid>
      <w:tr>
        <w:trPr/>
        <w:tc>
          <w:tcPr>
            <w:tcW w:w="2335" w:type="dxa"/>
            <w:gridSpan w:val="2"/>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b/>
              </w:rPr>
            </w:pPr>
            <w:r>
              <w:rPr>
                <w:b/>
              </w:rPr>
              <w:t>South Plains Financial, Inc.</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pPr>
            <w:r>
              <w:rPr/>
              <w:t>Date:</w:t>
            </w:r>
          </w:p>
        </w:tc>
        <w:tc>
          <w:tcPr>
            <w:tcW w:w="1805" w:type="dxa"/>
            <w:tcBorders/>
            <w:vAlign w:val="center"/>
          </w:tcPr>
          <w:p>
            <w:pPr>
              <w:pStyle w:val="TableContents"/>
              <w:bidi w:val="0"/>
              <w:spacing w:before="0" w:after="0"/>
              <w:jc w:val="left"/>
              <w:rPr/>
            </w:pPr>
            <w:r>
              <w:rPr/>
              <w:t>November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Curtis C. Griffith</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Chairman and Chief Executive Officer</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pPr>
            <w:r>
              <w:rPr/>
              <w:t>Date:</w:t>
            </w:r>
          </w:p>
        </w:tc>
        <w:tc>
          <w:tcPr>
            <w:tcW w:w="1805" w:type="dxa"/>
            <w:tcBorders/>
            <w:vAlign w:val="center"/>
          </w:tcPr>
          <w:p>
            <w:pPr>
              <w:pStyle w:val="TableContents"/>
              <w:bidi w:val="0"/>
              <w:spacing w:before="0" w:after="0"/>
              <w:jc w:val="left"/>
              <w:rPr/>
            </w:pPr>
            <w:r>
              <w:rPr/>
              <w:t>November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Steven B. Crockett</w:t>
            </w:r>
          </w:p>
        </w:tc>
      </w:tr>
      <w:tr>
        <w:trPr/>
        <w:tc>
          <w:tcPr>
            <w:tcW w:w="233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Chief Financial Officer and Treasurer</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59</w:t>
      </w:r>
    </w:p>
    <w:p>
      <w:pPr>
        <w:pStyle w:val="HorizontalLine"/>
        <w:bidi w:val="0"/>
        <w:jc w:val="center"/>
        <w:rPr/>
      </w:pPr>
      <w:r>
        <w:rPr/>
      </w:r>
    </w:p>
    <w:p>
      <w:pPr>
        <w:pStyle w:val="HorizontalLine"/>
        <w:pBdr>
          <w:bottom w:val="single" w:sz="12" w:space="0" w:color="808080"/>
        </w:pBdr>
        <w:bidi w:val="0"/>
        <w:jc w:val="left"/>
        <w:rPr/>
      </w:pPr>
      <w:r>
        <w:rPr/>
      </w:r>
      <w:bookmarkStart w:id="31" w:name="ef20012459_ex31-1.htm"/>
      <w:bookmarkStart w:id="32" w:name="ksef20012459_ex311"/>
      <w:bookmarkStart w:id="33" w:name="ef20012459_ex31-1.htm"/>
      <w:bookmarkStart w:id="34" w:name="ksef20012459_ex311"/>
      <w:bookmarkEnd w:id="33"/>
      <w:bookmarkEnd w:id="3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Curtis C. Griffith,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c7229590fb024b279e43acc659488e9e"/>
      <w:bookmarkStart w:id="36" w:name="zc7229590fb024b279e43acc659488e9e"/>
      <w:bookmarkEnd w:id="36"/>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0"/>
              <w:jc w:val="both"/>
              <w:rPr/>
            </w:pPr>
            <w:r>
              <w:rPr/>
              <w:t>I have reviewed this Quarterly Report on Form 10-Q of South Plains Financial, Inc. (the “registrant”) for the quarter ended September 30, 2023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e756e7b28a4d490cadbc7281bd3220a2"/>
      <w:bookmarkStart w:id="38" w:name="ze756e7b28a4d490cadbc7281bd3220a2"/>
      <w:bookmarkEnd w:id="38"/>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6760e59d6e084d77844b5a5a616100f0"/>
      <w:bookmarkStart w:id="40" w:name="z6760e59d6e084d77844b5a5a616100f0"/>
      <w:bookmarkEnd w:id="40"/>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c8e69fce69b1486c97a145b0067e932e"/>
      <w:bookmarkStart w:id="42" w:name="zc8e69fce69b1486c97a145b0067e932e"/>
      <w:bookmarkEnd w:id="42"/>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23fd3fc86cc9442ebf8ce46c8d2424e9"/>
      <w:bookmarkStart w:id="44" w:name="z23fd3fc86cc9442ebf8ce46c8d2424e9"/>
      <w:bookmarkEnd w:id="44"/>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5f85b0da66bb4499b5d465fdf47d5424"/>
      <w:bookmarkStart w:id="46" w:name="z5f85b0da66bb4499b5d465fdf47d5424"/>
      <w:bookmarkEnd w:id="46"/>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3108b972a3ac45fcba5f7b6074dc79fa"/>
      <w:bookmarkStart w:id="48" w:name="z3108b972a3ac45fcba5f7b6074dc79fa"/>
      <w:bookmarkEnd w:id="48"/>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9b63618184af4a7c8e88b4ac2c9b3103"/>
      <w:bookmarkStart w:id="50" w:name="z9b63618184af4a7c8e88b4ac2c9b3103"/>
      <w:bookmarkEnd w:id="50"/>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78987fced5a144439320985aa273d45f"/>
      <w:bookmarkStart w:id="52" w:name="z78987fced5a144439320985aa273d45f"/>
      <w:bookmarkEnd w:id="52"/>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14aac0258f1b460ea28075b042e14aea"/>
      <w:bookmarkStart w:id="54" w:name="z14aac0258f1b460ea28075b042e14aea"/>
      <w:bookmarkEnd w:id="54"/>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6e9cc613e48545d3b154c2e335414826"/>
      <w:bookmarkStart w:id="56" w:name="z6e9cc613e48545d3b154c2e335414826"/>
      <w:bookmarkEnd w:id="56"/>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2e50d06751eb48b6815a5e51dc0c69bd"/>
      <w:bookmarkStart w:id="58" w:name="z2e50d06751eb48b6815a5e51dc0c69bd"/>
      <w:bookmarkEnd w:id="58"/>
    </w:p>
    <w:tbl>
      <w:tblPr>
        <w:tblW w:w="6420" w:type="dxa"/>
        <w:jc w:val="left"/>
        <w:tblInd w:w="0" w:type="dxa"/>
        <w:tblLayout w:type="fixed"/>
        <w:tblCellMar>
          <w:top w:w="0" w:type="dxa"/>
          <w:left w:w="0" w:type="dxa"/>
          <w:bottom w:w="0" w:type="dxa"/>
          <w:right w:w="0" w:type="dxa"/>
        </w:tblCellMar>
      </w:tblPr>
      <w:tblGrid>
        <w:gridCol w:w="2375"/>
        <w:gridCol w:w="365"/>
        <w:gridCol w:w="3680"/>
      </w:tblGrid>
      <w:tr>
        <w:trPr/>
        <w:tc>
          <w:tcPr>
            <w:tcW w:w="2375" w:type="dxa"/>
            <w:tcBorders/>
            <w:vAlign w:val="center"/>
          </w:tcPr>
          <w:p>
            <w:pPr>
              <w:pStyle w:val="TableContents"/>
              <w:bidi w:val="0"/>
              <w:spacing w:before="0" w:after="0"/>
              <w:jc w:val="left"/>
              <w:rPr/>
            </w:pPr>
            <w:r>
              <w:rPr/>
              <w:t>Date: November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Curtis C. Griffith</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9" w:name="ef20012459_ex31-2.htm"/>
      <w:bookmarkStart w:id="60" w:name="ksef20012459_ex312"/>
      <w:bookmarkStart w:id="61" w:name="ef20012459_ex31-2.htm"/>
      <w:bookmarkStart w:id="62" w:name="ksef20012459_ex312"/>
      <w:bookmarkEnd w:id="61"/>
      <w:bookmarkEnd w:id="6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Steven B. Crockett,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f49d508c17384d5da8c11871f4c054ff"/>
      <w:bookmarkStart w:id="64" w:name="zf49d508c17384d5da8c11871f4c054ff"/>
      <w:bookmarkEnd w:id="64"/>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0"/>
              <w:jc w:val="both"/>
              <w:rPr/>
            </w:pPr>
            <w:r>
              <w:rPr/>
              <w:t>I have reviewed this Quarterly Report on Form 10-Q of South Plains Financial, Inc. (the “registrant”) for the quarter ended September 30, 2023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8d5c7879f906462c8b1d481dc699bac2"/>
      <w:bookmarkStart w:id="66" w:name="z8d5c7879f906462c8b1d481dc699bac2"/>
      <w:bookmarkEnd w:id="66"/>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8c2fcfc1ff3a424fa4df7877fd550530"/>
      <w:bookmarkStart w:id="68" w:name="z8c2fcfc1ff3a424fa4df7877fd550530"/>
      <w:bookmarkEnd w:id="68"/>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400fb534d828440e870735db177a8f7d"/>
      <w:bookmarkStart w:id="70" w:name="z400fb534d828440e870735db177a8f7d"/>
      <w:bookmarkEnd w:id="70"/>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63fa2f24b16c45e4be3dfc566e90bea1"/>
      <w:bookmarkStart w:id="72" w:name="z63fa2f24b16c45e4be3dfc566e90bea1"/>
      <w:bookmarkEnd w:id="72"/>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d38283016c804d8c8ab78518aa72d65a"/>
      <w:bookmarkStart w:id="74" w:name="zd38283016c804d8c8ab78518aa72d65a"/>
      <w:bookmarkEnd w:id="74"/>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3f1e0cc98a6a4f87ae6b436e28874880"/>
      <w:bookmarkStart w:id="76" w:name="z3f1e0cc98a6a4f87ae6b436e28874880"/>
      <w:bookmarkEnd w:id="76"/>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936bb42c7b82422484a6221cf42ceb30"/>
      <w:bookmarkStart w:id="78" w:name="z936bb42c7b82422484a6221cf42ceb30"/>
      <w:bookmarkEnd w:id="78"/>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e1c709a289a8402e8163bcf14fcf748e"/>
      <w:bookmarkStart w:id="80" w:name="ze1c709a289a8402e8163bcf14fcf748e"/>
      <w:bookmarkEnd w:id="80"/>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c059d5572f0f4241bae1c38699cfe131"/>
      <w:bookmarkStart w:id="82" w:name="zc059d5572f0f4241bae1c38699cfe131"/>
      <w:bookmarkEnd w:id="82"/>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b151b6cbf41c4c759213e5357c76d8c5"/>
      <w:bookmarkStart w:id="84" w:name="zb151b6cbf41c4c759213e5357c76d8c5"/>
      <w:bookmarkEnd w:id="84"/>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cbd73c26d0274501bce119f1d36e9e1e"/>
      <w:bookmarkStart w:id="86" w:name="zcbd73c26d0274501bce119f1d36e9e1e"/>
      <w:bookmarkEnd w:id="86"/>
    </w:p>
    <w:tbl>
      <w:tblPr>
        <w:tblW w:w="4950" w:type="dxa"/>
        <w:jc w:val="left"/>
        <w:tblInd w:w="0" w:type="dxa"/>
        <w:tblLayout w:type="fixed"/>
        <w:tblCellMar>
          <w:top w:w="0" w:type="dxa"/>
          <w:left w:w="0" w:type="dxa"/>
          <w:bottom w:w="0" w:type="dxa"/>
          <w:right w:w="0" w:type="dxa"/>
        </w:tblCellMar>
      </w:tblPr>
      <w:tblGrid>
        <w:gridCol w:w="2375"/>
        <w:gridCol w:w="365"/>
        <w:gridCol w:w="2210"/>
      </w:tblGrid>
      <w:tr>
        <w:trPr/>
        <w:tc>
          <w:tcPr>
            <w:tcW w:w="2375" w:type="dxa"/>
            <w:tcBorders/>
            <w:vAlign w:val="center"/>
          </w:tcPr>
          <w:p>
            <w:pPr>
              <w:pStyle w:val="TableContents"/>
              <w:bidi w:val="0"/>
              <w:spacing w:before="0" w:after="0"/>
              <w:jc w:val="left"/>
              <w:rPr/>
            </w:pPr>
            <w:r>
              <w:rPr/>
              <w:t>Date: November 7, 2023</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Steven B. Crockett</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7" w:name="ef20012459_ex32-1.htm"/>
      <w:bookmarkStart w:id="88" w:name="ksef20012459_ex321"/>
      <w:bookmarkStart w:id="89" w:name="ef20012459_ex32-1.htm"/>
      <w:bookmarkStart w:id="90" w:name="ksef20012459_ex321"/>
      <w:bookmarkEnd w:id="89"/>
      <w:bookmarkEnd w:id="9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September 30,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8b688a653cde48b9b0cf082925873319"/>
      <w:bookmarkStart w:id="92" w:name="z8b688a653cde48b9b0cf082925873319"/>
      <w:bookmarkEnd w:id="92"/>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c0e8ddd40ad743a2a1371b38f9b4a6ae"/>
      <w:bookmarkStart w:id="94" w:name="zc0e8ddd40ad743a2a1371b38f9b4a6ae"/>
      <w:bookmarkEnd w:id="94"/>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d858251d512e49d893ae7b0ec080f8a6"/>
      <w:bookmarkStart w:id="96" w:name="zd858251d512e49d893ae7b0ec080f8a6"/>
      <w:bookmarkEnd w:id="96"/>
    </w:p>
    <w:tbl>
      <w:tblPr>
        <w:tblW w:w="6420" w:type="dxa"/>
        <w:jc w:val="left"/>
        <w:tblInd w:w="0" w:type="dxa"/>
        <w:tblLayout w:type="fixed"/>
        <w:tblCellMar>
          <w:top w:w="0" w:type="dxa"/>
          <w:left w:w="0" w:type="dxa"/>
          <w:bottom w:w="0" w:type="dxa"/>
          <w:right w:w="0" w:type="dxa"/>
        </w:tblCellMar>
      </w:tblPr>
      <w:tblGrid>
        <w:gridCol w:w="2375"/>
        <w:gridCol w:w="365"/>
        <w:gridCol w:w="3680"/>
      </w:tblGrid>
      <w:tr>
        <w:trPr/>
        <w:tc>
          <w:tcPr>
            <w:tcW w:w="2375" w:type="dxa"/>
            <w:tcBorders/>
            <w:vAlign w:val="center"/>
          </w:tcPr>
          <w:p>
            <w:pPr>
              <w:pStyle w:val="TableContents"/>
              <w:bidi w:val="0"/>
              <w:spacing w:before="0" w:after="0"/>
              <w:jc w:val="left"/>
              <w:rPr/>
            </w:pPr>
            <w:r>
              <w:rPr/>
              <w:t>Date: November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Curtis C. Griffith</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7" w:name="ef20012459_ex32-2.htm"/>
      <w:bookmarkStart w:id="98" w:name="ksef20012459_ex322"/>
      <w:bookmarkStart w:id="99" w:name="ef20012459_ex32-2.htm"/>
      <w:bookmarkStart w:id="100" w:name="ksef20012459_ex322"/>
      <w:bookmarkEnd w:id="99"/>
      <w:bookmarkEnd w:id="10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September 30,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aecc0aa1ab9445ab82cccfa47a4c14ca"/>
      <w:bookmarkStart w:id="102" w:name="zaecc0aa1ab9445ab82cccfa47a4c14ca"/>
      <w:bookmarkEnd w:id="102"/>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914c6825c9794300bbf9d3397b86516b"/>
      <w:bookmarkStart w:id="104" w:name="z914c6825c9794300bbf9d3397b86516b"/>
      <w:bookmarkEnd w:id="104"/>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9003f8c9db89440791ba0631dc3e4d1e"/>
      <w:bookmarkStart w:id="106" w:name="z9003f8c9db89440791ba0631dc3e4d1e"/>
      <w:bookmarkEnd w:id="106"/>
    </w:p>
    <w:tbl>
      <w:tblPr>
        <w:tblW w:w="4950" w:type="dxa"/>
        <w:jc w:val="left"/>
        <w:tblInd w:w="0" w:type="dxa"/>
        <w:tblLayout w:type="fixed"/>
        <w:tblCellMar>
          <w:top w:w="0" w:type="dxa"/>
          <w:left w:w="0" w:type="dxa"/>
          <w:bottom w:w="0" w:type="dxa"/>
          <w:right w:w="0" w:type="dxa"/>
        </w:tblCellMar>
      </w:tblPr>
      <w:tblGrid>
        <w:gridCol w:w="2375"/>
        <w:gridCol w:w="365"/>
        <w:gridCol w:w="2210"/>
      </w:tblGrid>
      <w:tr>
        <w:trPr/>
        <w:tc>
          <w:tcPr>
            <w:tcW w:w="2375" w:type="dxa"/>
            <w:tcBorders/>
            <w:vAlign w:val="center"/>
          </w:tcPr>
          <w:p>
            <w:pPr>
              <w:pStyle w:val="TableContents"/>
              <w:bidi w:val="0"/>
              <w:spacing w:before="0" w:after="0"/>
              <w:jc w:val="left"/>
              <w:rPr/>
            </w:pPr>
            <w:r>
              <w:rPr/>
              <w:t>Date: November 7, 2023</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Steven B. Crockett</w:t>
            </w:r>
          </w:p>
        </w:tc>
      </w:tr>
      <w:tr>
        <w:trPr/>
        <w:tc>
          <w:tcPr>
            <w:tcW w:w="23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23016009/brhc10050915_ex2-1.htm" TargetMode="External"/><Relationship Id="rId3" Type="http://schemas.openxmlformats.org/officeDocument/2006/relationships/hyperlink" Target="https://www.sec.gov/Archives/edgar/data/1163668/000114036119007042/s002614x4_ex3-1.htm" TargetMode="External"/><Relationship Id="rId4" Type="http://schemas.openxmlformats.org/officeDocument/2006/relationships/hyperlink" Target="https://www.sec.gov/Archives/edgar/data/1163668/000114036121036078/brhc10030259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36042</Words>
  <Characters>197817</Characters>
  <CharactersWithSpaces>241005</CharactersWithSpaces>
  <Paragraphs>19210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