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175260</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p>
      <w:pPr>
        <w:spacing w:after="0" w:line="200" w:lineRule="exact"/>
        <w:rPr>
          <w:sz w:val="24"/>
          <w:szCs w:val="24"/>
          <w:color w:val="auto"/>
        </w:rPr>
      </w:pPr>
    </w:p>
    <w:p>
      <w:pPr>
        <w:spacing w:after="0" w:line="2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sectPr>
          <w:pgSz w:w="11900" w:h="16838" w:orient="portrait"/>
          <w:cols w:equalWidth="0" w:num="3">
            <w:col w:w="4640" w:space="720"/>
            <w:col w:w="3040" w:space="720"/>
            <w:col w:w="2300"/>
          </w:cols>
          <w:pgMar w:left="240" w:top="529" w:right="2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29" w:right="239" w:bottom="1440" w:gutter="0" w:footer="0" w:header="0"/>
          <w:type w:val="continuous"/>
        </w:sectPr>
      </w:pPr>
    </w:p>
    <w:p>
      <w:pPr>
        <w:spacing w:after="0" w:line="4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80" w:space="720"/>
            <w:col w:w="3220"/>
          </w:cols>
          <w:pgMar w:left="240" w:top="529"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(806) 792-7101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4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6"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229" w:lineRule="exact"/>
        <w:rPr>
          <w:sz w:val="24"/>
          <w:szCs w:val="24"/>
          <w:color w:val="auto"/>
        </w:rPr>
      </w:pPr>
    </w:p>
    <w:p>
      <w:pPr>
        <w:ind w:right="32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January 24, 2020, South Plains Financial, Inc. (the “Company”) issued a press release announcing its financial results for the fourth quarter and year ended December 31, 2019. A copy of the Company’s press release covering such announcement and certain other matters is furnished as Exhibit 99.1 to this Current Report on Form 8-K.</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accordance with General Instruction B.2 of Form 8-K, the information in Item 2.02 of this Current Report on Form 8-K, including Exhibit 99.1, shall not be deemed “filed” for the purposes of Section 18 of the Securities Exchange Act of 1934, as amended, or otherwise subject to the liabilities of that section. The information in Item 2.02 of this Current Report on Form 8-K, including Exhibit 99.1, shall not be incorporated by reference into any filing or other document pursuant to the Securities Act of 1933, as amended, except as shall be expressly set forth by specific reference in such filing or document.</w:t>
      </w:r>
    </w:p>
    <w:p>
      <w:pPr>
        <w:spacing w:after="0" w:line="2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1040" w:hanging="617"/>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80"/>
        <w:spacing w:after="0"/>
        <w:tabs>
          <w:tab w:leader="none" w:pos="1020" w:val="left"/>
        </w:tabs>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color w:val="0000EE"/>
        </w:rPr>
        <w:tab/>
        <w:t>Press release, dated January 24, 2020, announcing fourth quarter and year end 2019 financial results of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Dated: January 24,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430270"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48895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For Immediate Release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Plains Financial, Inc. Reports Fourth Quarter and Year End 2019 Financial Results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LUBBOCK, Texas, January 24, 2020 (GLOBE NEWSWIRE) – South Plains Financial, Inc. (NASDAQ:SPFI) (“South Plains” or the “Company”), the parent company of City Bank (“City Bank” or the “Bank”), today reported its financial results for the quarter and year ended December 31, 2019.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2019 Highlights</w:t>
      </w:r>
    </w:p>
    <w:p>
      <w:pPr>
        <w:spacing w:after="0" w:line="24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fourth quarter of 2019 was $10.1 million, compared to $8.3 million for the third quarter of 2019.</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were $0.55 for the fourth quarter of 2019, compared to $0.45 for the third quarter of 2019.</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cost of deposits for the fourth quarter of 2019 declined 22 basis points to 76 basis points, compared to 98 basis points for the third quarter of 2019.</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ratio for the fourth quarter of 2019 declined 391 basis points to 69.71%, compared to 73.62% for the third quarter of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average assets for the fourth quarter of 2019 was 1.32% annualized, compared to 1.18% annualized for the third quarter of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was $16.98 as of December 31, 2019, compared to $16.61 per share as of September 30, 2019.</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Plains completed its acquisition of West Texas State Bank (“WTSB”) on November 12, 2019. WTSB had $198.4 million in loans, $386.3 million in deposits, and $50.5 million in capital at closing.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2019 Annual Financial Highlights</w:t>
      </w:r>
    </w:p>
    <w:p>
      <w:pPr>
        <w:spacing w:after="0" w:line="246" w:lineRule="exact"/>
        <w:rPr>
          <w:sz w:val="20"/>
          <w:szCs w:val="20"/>
          <w:color w:val="auto"/>
        </w:rPr>
      </w:pPr>
    </w:p>
    <w:p>
      <w:pPr>
        <w:ind w:left="660" w:right="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2019 was $29.2 million, or $1.69 per diluted share, compared to $20.8 million, or $1.41 per diluted share, for the year ended December 31, 2018.</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ratio for the year ended December 31, 2019 declined 235 basis points from the year ended December 31, 2018.</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average assets was 1.04% and return on average equity was 10.94% for the year ended December 31, 2019, compared to 0.79% and 9.66%, respectively, for the year ended December 31, 2018.</w:t>
      </w:r>
    </w:p>
    <w:p>
      <w:pPr>
        <w:spacing w:after="0" w:line="19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Curtis Griffith, South Plains’ Chairman and Chief Executive Officer, commented, “I am very proud of our results as 2019 was a pivotal period in our Company’s 75+ year history highlighted by our initial public offering in May and the closing of our acquisition of WTSB in November. We believe we are at a clear inflection point in our business as we successfully execute upon our strategy to scale the significant investments in our systems and infrastructure, which continue to have ample room for future growth. Our fourth quarter 2019 results demonstrate the successful leveraging of our infrastructure, as our efficiency ratio improved by almost 400 basis points to 69.7% and our return on average assets increased by 14 basis points to 1.32%, annualized, as compared to the third quarter of 2019. While we are pleased with our results, we recognize that this is a journey and know that we have much more to accomplish. Importantly, our achievements would not be possible without the hard work and dedication of our employees, who I would like to thank for their commitment to the Bank, our customers and the communities in which we work and live.”</w:t>
      </w:r>
    </w:p>
    <w:p>
      <w:pPr>
        <w:spacing w:after="0" w:line="388"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1"/>
          <w:szCs w:val="21"/>
          <w:color w:val="auto"/>
        </w:rPr>
        <w:t>Mr. Griffith continued, “Looking forward, we are optimistic about the many opportunities that we see to grow the Bank. The outlook for the Texas economy is robust, as unemployment remains low and economic activity continues to be healthy, which provides a supportive backdrop as we work to accelerate organic loan growth. Our integration of WTSB is also proceeding smoothly and we have several cross-sell initiatives underway given the demand that we see from the WTSB customer base for our mortgage, wealth management and trust products, which we believe will provide revenue synergies on top of the cost synergies, as previously outlined. Importantly, we have gained significant acquisition experience over the last six months working to integrate WTSB and are developing a process that we expect to use in future acquisitions. While we still have more work to do to fully integrate WTSB, we are now at a point where we can begin exploring additional M&amp;A opportunities. M&amp;A will continue to be an important growth driver for the Bank and we see a solid group of potential acquisition candidates across our core markets which would enable South Plains to increase the franchise value of the Bank for the benefit of all of our stakeholders.”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 Quarter Ended December 31, 2019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Interest Income</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Net interest income was $28.6 million for the fourth quarter of 2019, compared to $24.7 million for the fourth quarter of 2018 and $26.6 million for the third quarter of 2019.</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Interest income was $34.8 million for the fourth quarter of 2019, compared to $31.7 million for the fourth quarter of 2018 and $33.7 million for the third quarter of 2019. Interest and fees on loans increased by $2.2 million from the fourth quarter of 2018 due to growth of $110.0 million in average loans, primarily from the WTSB acquisition, and an increase of 12 basis points in interest rates. The increase from the third quarter of 2019 was the result of an increase of $101.7 million in average loans outstanding during the fourth quarter of 2019, partially offset by a decrease of 12 basis points in interest rates.</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Interest expense was $6.1 million for the fourth quarter of 2019, compared to $7.0 million for the fourth quarter of 2018 and $7.1 million for the third quarter of 2019. The decrease from the fourth quarter of 2018 was primarily due to a decrease in the rate paid on interest-bearing liabilities of 21 basis points, partially offset by an increase of $58.6 million in average interest-bearing liabilities. The decrease from the third quarter of 2019 was primarily due to a decrease in the rate paid on interest-bearing liabilities of 27 basis points, partially offset by an increase of $102.1 million in average interest-bearing liabilities in the fourth quarter of 2019. The average cost of deposits was 76 basis points for the fourth quarter of 2019, representing a 22 basis point decrease from the fourth quarter of 2018 and a 22 basis point decrease from the third quarter of 2019. The increase in average interest-bearing liabilities and the decrease in the rate paid on deposits in the fourth quarter of 2019 was primarily due to the WTSB acquisition as well as a general decline in overall rates.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net interest margin was 4.03% for the fourth quarter of 2019, compared to 3.89% for the fourth quarter of 2018 and 4.07% for the third quarter of 2019.</w:t>
      </w: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Noninterest Income and Noninterest Expense</w:t>
      </w:r>
    </w:p>
    <w:p>
      <w:pPr>
        <w:spacing w:after="0" w:line="2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Noninterest income was $16.7 million for the fourth quarter of 2019, compared to $14.4 million for the fourth quarter of 2018 and $14.1 million for the third quarter of 2019. The increase in noninterest income for the fourth quarter of 2019 compared to the fourth quarter of 2018 was primarily the result of an increase of $1.9 million in mortgage banking activities revenue as a result of an increase of $46.0 million in mortgage loan originations. The increase from the third quarter of 2019 was primarily the result of $1.5 million in annual profit-sharing bonuses related to crop insurance activities recognized in the fourth quarter of 2019. Additionally, for the fourth quarter of 2019, fiduciary income increased $849,000 and $841,000 compared to the fourth quarter of 2018 and the third quarter of 2019, respectively. The increase was primarily due to new customer acquisition with estate executorship and trust management as the primary services.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Noninterest expense was $31.7 million for the fourth quarter of 2019, compared to $30.5 million for the fourth quarter of 2018 and $30.0 million for the third quarter of 2019. This increase in noninterest expense for the fourth quarter of 2019 compared to the fourth quarter of 2018 was primarily driven by a $1.1 million increase in personnel expense related to the WTSB acquisition. There was also an increase in variable mortgage expenses, such as appraisal expenses, due to the increased mortgage production during the quarter. The increase from the third quarter of 2019 was primarily due to the WTSB acquisition, including, among other things, $1.1 million in personnel expense, new occupancy and other noninterest expenses for the branches acquired, $634,000 in legal, accounting and consulting fees, and data processing conversion expenses, and $202,000 in core deposit intangible amortization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Loan Portfolio and Composition</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Loans held for investment were $2.14 billion as of December 31, 2019, compared to $1.96 billion as of September 30, 2019 and $1.96 billion as of December 31, 2018. The $181.0 million increase during the fourth quarter of 2019 as compared to the third quarter of 2019 was primarily the result of $198.4 million in loans acquired from WTSB, partially offset by $35.6 million in seasonal agricultural production loan net paydowns. As of December 31, 2019, loans held for investment increased $186.4 million from December 31, 2018.</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Agricultural production loans were $131.2 million as of December 31, 2019, compared to $166.8 million as of September 30, 2019 and $150.7 million as of December 31,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Deposits and Borrowings</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Deposits totaled $2.70 billion as of December 31, 2019, compared to $2.29 billion as of September 30, 2019 and $2.28 billion as of December 31, 2018. Deposits increased $410.9 million in the fourth quarter of 2019, primarily as a result of the assumption of $386.3 million in deposits from the WTSB acquisition. As of December 31, 2019, deposits increased $419.4 million from December 31, 2018. This increase is primarily due to the WTSB acquisition noted above. Additionally, there was a shift in the deposit base with a planned reduction of $105 million in brokered deposits and public fund deposits during 2019. These reductions were partially offset by growth in both noninterest-bearing and interest-bearing demand deposits, as well as money market accounts.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Noninterest-bearing deposits were $790.9 million as of December 31, 2019, compared to $556.2 million as of September 30, 2019 and $510.1 million as of December 31, 2018. Noninterest-bearing deposits represented 29.3%, 24.3%, and 22.4% of total deposits as of December 31, 2019, September 30, 2019, and December 31, 2018, respectively. The increase in the fourth quarter of 2019 was primarily attributable to the assumption of $221.5 million in noninterest-bearing deposits from the WTSB acquisition.</w:t>
      </w: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Asset Quality</w:t>
      </w:r>
    </w:p>
    <w:p>
      <w:pPr>
        <w:spacing w:after="0" w:line="2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provision for loan losses recorded for the fourth quarter of 2019 was $896,000, compared to $1.2 million for the fourth quarter of 2018 and $420,000 for the third quarter of 2019. The allowance for loan losses to loans held for investment was 1.13% as of December 31, 2019, compared to 1.23% as of September 30, 2019 and 1.18% as of December 31, 2018.</w:t>
      </w:r>
    </w:p>
    <w:p>
      <w:pPr>
        <w:spacing w:after="0" w:line="20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nonperforming assets to total assets ratio as of December 31, 2019 was 0.25%, compared to 0.31% as of September 30, 2019 and 0.34% at December 31, 2018.</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Annualized net charge-offs were 0.17% for the fourth quarter of 2019, compared to 0.08% for the third quarter of 2019 and -0.18% for the fourth quarter of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South Plains will host a conference call to discuss its fourth quarter 2019 financial results today, January 24, 2020 at 9 a.m., Eastern Time. Investors and analysts interested in participating in the call are invited to dial 1-877-407-9716 (international callers please dial 1-201-493-6779) approximately 10 minutes prior to the start of the call. A live audio webcast of the conference call will be available on the Company’s website at </w:t>
      </w:r>
      <w:r>
        <w:rPr>
          <w:rFonts w:ascii="Times New Roman" w:cs="Times New Roman" w:eastAsia="Times New Roman" w:hAnsi="Times New Roman"/>
          <w:sz w:val="22"/>
          <w:szCs w:val="22"/>
          <w:u w:val="single" w:color="auto"/>
          <w:color w:val="auto"/>
        </w:rPr>
        <w:t>https://www.spfi.bank/news-events/events</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13698071. The replay will be available until February 7, 2020.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South Plains Financial, Inc.</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cs="Times New Roman" w:eastAsia="Times New Roman" w:hAnsi="Times New Roman"/>
          <w:sz w:val="22"/>
          <w:szCs w:val="22"/>
          <w:u w:val="single" w:color="auto"/>
          <w:color w:val="auto"/>
        </w:rPr>
        <w:t>https://www.spfi.bank</w:t>
      </w:r>
      <w:r>
        <w:rPr>
          <w:rFonts w:ascii="Times New Roman" w:cs="Times New Roman" w:eastAsia="Times New Roman" w:hAnsi="Times New Roman"/>
          <w:sz w:val="22"/>
          <w:szCs w:val="22"/>
          <w:color w:val="auto"/>
        </w:rPr>
        <w:t xml:space="preserve">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 Forma Financial Information</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 result of the revocation of the Company’s subchapter S corporation election, which was effective May 31, 2018, the net income, return on average assets, return on average shareholders’ equity and earnings per share presented herein may not be comparable for all periods presented herein. As a result, the Company is disclosing pro forma net income and income tax expense as if the Company’s conversion to a subchapter C corporation had occurred as of January 1, 2018.</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Additionally, prior to the listing of our common stock on the NASDAQ, in accordance with applicable provisions of the Internal Revenue Code, the terms of the South Plains Financial, Inc. Employee Stock Ownership Plan (“ESOP”) provided that ESOP participants had the right, for a specified period of time, to require us to repurchase shares of our common stock that were distributed to them by the ESOP. The shares of common stock held by the ESOP were reflected in our consolidated balance sheets as a line item called “ESOP-owned shares” appearing between total liabilities and shareholders’ equity. As a result, the ESOP-owned shares were deducted from shareholders’ equity in our consolidated balance sheets. This repurchase right terminated upon the listing of our common stock on the NASDAQ, which we sometimes refer to as the ESOP Repurchase Right Termination, whereupon our repurchase liability was extinguished and thereafter the ESOP-owned shares are included in shareholders’ equity. As a result, the Company is presenting certain information giving effect to the ESOP Repurchase Right Termination.</w:t>
      </w: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Common Share and Tangible Common Equity to Tangible Assets.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reconciliation of non-GAAP financial measures to GAAP financial measures is provided at the end of this press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Company routinely posts important information for investors on its web site (under </w:t>
      </w:r>
      <w:r>
        <w:rPr>
          <w:rFonts w:ascii="Times New Roman" w:cs="Times New Roman" w:eastAsia="Times New Roman" w:hAnsi="Times New Roman"/>
          <w:sz w:val="22"/>
          <w:szCs w:val="22"/>
          <w:u w:val="single" w:color="auto"/>
          <w:color w:val="auto"/>
        </w:rPr>
        <w:t>www.spfi.bank</w:t>
      </w:r>
      <w:r>
        <w:rPr>
          <w:rFonts w:ascii="Times New Roman" w:cs="Times New Roman" w:eastAsia="Times New Roman" w:hAnsi="Times New Roman"/>
          <w:sz w:val="22"/>
          <w:szCs w:val="22"/>
          <w:color w:val="auto"/>
        </w:rPr>
        <w:t xml:space="preserve"> and, more specifically, under the News &amp; Events tab at </w:t>
      </w:r>
      <w:r>
        <w:rPr>
          <w:rFonts w:ascii="Times New Roman" w:cs="Times New Roman" w:eastAsia="Times New Roman" w:hAnsi="Times New Roman"/>
          <w:sz w:val="22"/>
          <w:szCs w:val="22"/>
          <w:u w:val="single" w:color="auto"/>
          <w:color w:val="auto"/>
        </w:rPr>
        <w:t>www.spfi.bank/news-events/press-releases</w:t>
      </w:r>
      <w:r>
        <w:rPr>
          <w:rFonts w:ascii="Times New Roman" w:cs="Times New Roman" w:eastAsia="Times New Roman" w:hAnsi="Times New Roman"/>
          <w:sz w:val="22"/>
          <w:szCs w:val="22"/>
          <w:color w:val="auto"/>
        </w:rPr>
        <w:t>).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contained on, or that may be accessed through, the Company’s web site is not incorporated by reference into, and is not a part of, this document.</w:t>
      </w: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These forward-looking statements reflect South Plains’ current views with respect to, among other things, the integration of its acquisition of WTSB and other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Additional information regarding these risks and uncertainties to which South Plains’ business and future financial performance are subject is contained in South Plains’ Prospectus filed with the U.S. Securities and Exchange Commission (“SEC”), dated May 8, 2019 (“Prospectus”), and other documents South Plains files with the SEC from time to time. South Plains urges readers of this press release to review the Risk Factors section of that Prospectus and the Risk Factors section of other documents South Plains files with the SEC from time to time.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2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Contact:</w:t>
      </w:r>
      <w:r>
        <w:rPr>
          <w:sz w:val="20"/>
          <w:szCs w:val="20"/>
          <w:color w:val="auto"/>
        </w:rPr>
        <w:tab/>
      </w:r>
      <w:r>
        <w:rPr>
          <w:rFonts w:ascii="Times New Roman" w:cs="Times New Roman" w:eastAsia="Times New Roman" w:hAnsi="Times New Roman"/>
          <w:sz w:val="18"/>
          <w:szCs w:val="18"/>
          <w:color w:val="auto"/>
        </w:rPr>
        <w:t>Mikella Newsom, Chief Risk Officer and Secretary</w:t>
      </w:r>
    </w:p>
    <w:p>
      <w:pPr>
        <w:spacing w:after="0" w:line="27" w:lineRule="exact"/>
        <w:rPr>
          <w:sz w:val="20"/>
          <w:szCs w:val="20"/>
          <w:color w:val="auto"/>
        </w:rPr>
      </w:pPr>
    </w:p>
    <w:p>
      <w:pPr>
        <w:ind w:left="920" w:right="9020" w:firstLine="6"/>
        <w:spacing w:after="0" w:line="290" w:lineRule="auto"/>
        <w:tabs>
          <w:tab w:leader="none" w:pos="13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771-3347 </w:t>
      </w:r>
      <w:r>
        <w:rPr>
          <w:rFonts w:ascii="Times New Roman" w:cs="Times New Roman" w:eastAsia="Times New Roman" w:hAnsi="Times New Roman"/>
          <w:sz w:val="17"/>
          <w:szCs w:val="17"/>
          <w:u w:val="single" w:color="auto"/>
          <w:color w:val="auto"/>
        </w:rPr>
        <w:t>investors@city.bank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South Plains Financial,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Financial Highlights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As of and for the quarter ended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28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Income Statement Data:</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34,764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33,665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31,672</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6,140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7,097</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7,672</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7,458</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7,005</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28,624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24,837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24,546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24,667</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16,739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13,703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31,713</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30,028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29,930</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30,036</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30,498</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10,110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6,080</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 (Common Stock):</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basic</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diluted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Tangible book value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15.46</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18,010,065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17,985,429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16,459,366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dilutive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18,415,656</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18,363,033</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16,563,543</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14,771,558</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18,036,115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18,004,323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17,978,520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14,771,520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14,771,520</w:t>
            </w: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As of and for the quarter ended</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500" w:type="dxa"/>
            <w:vAlign w:val="bottom"/>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30, 2019</w:t>
            </w: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1"/>
                <w:szCs w:val="2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Period End Balance Sheet Data:</w:t>
            </w: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3,237,167</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2,795,582</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2,777,170</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2,745,997</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2,712,745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2,143,623</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1,962,609</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1,935,653</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1,915,183</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1,957,197</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24,197</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24,176</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24,171</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23,381</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23,126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707,650</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401,335</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263,564</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339,051</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338,196</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790,921</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556,233</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513,383</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497,566</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510,067</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2,696,857</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2,285,974</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2,281,858</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2,304,929</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2,277,454</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306,182</w:t>
            </w:r>
          </w:p>
        </w:tc>
        <w:tc>
          <w:tcPr>
            <w:tcW w:w="1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299,027</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291,113</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218,565</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212,775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Performance Ratios:</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average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1.32%</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1.18%</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0.89%</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0.71%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13.26%</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11.10%</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9.57%</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4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5"/>
                <w:szCs w:val="25"/>
                <w:color w:val="auto"/>
                <w:vertAlign w:val="superscript"/>
              </w:rPr>
              <w:t>(1)</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4.03%</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4.07%</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3.88%</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Yield on loans</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5.79%</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5.91%</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5.90%</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interest-bearing deposits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1.06%</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1.30%</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1.39%</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69.71%</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73.62%</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77.46%</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81.79%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Credit Quality Data:</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6,314</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6,456</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7,946</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7,937</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6,954</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0.29%</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0.33%</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0.41%</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0.41%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1,883</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2,296</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2,305</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2,340</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0.25%</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0.31%</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0.37%</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to total loans held for investment</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1.13%</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1.25%</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 to average loans outstanding (annualized)</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0.17%</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0.08%</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0.02%</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0.07%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9.46%</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10.70%</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10.48%</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7.96%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8.69%</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10.62%</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10.48%</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10.74%</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12.17%</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12.10%</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9.70%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11.14%</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13.10%</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13.31%</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14.99%</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17.38%</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17.75%</w:t>
            </w: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14.74%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bl>
    <w:p>
      <w:pPr>
        <w:spacing w:after="0" w:line="149"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  Net interest margin is calculated as the annual net interest income, on a fully tax-equivalent basis, divided by average interest-earning assets.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Average Balances and Yields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5"/>
                <w:szCs w:val="25"/>
                <w:color w:val="auto"/>
                <w:vertAlign w:val="superscript"/>
              </w:rPr>
              <w:t>(1)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2,095,238</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30,602</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1,985,243</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28,366</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 taxable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426,074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332,370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 nontaxable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interest-bearing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176,259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2,833,517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34,897</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2,526,132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31,776</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199,350</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3,032,867</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2,700,820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 Savings, MMA's</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336,859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&amp; other long-term</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debentures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708,306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508,867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3,032,867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2,700,820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28,757</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24,771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loan balances include nonaccrual loans and loans held for sale.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Net interest margin is calculated as the annualized net income, on a fully tax-equivalent basis, divided by average interest-earning assets.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Average Balances and Yields - (Unaudited)</w:t>
      </w: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5"/>
                <w:szCs w:val="25"/>
                <w:color w:val="auto"/>
                <w:vertAlign w:val="superscript"/>
              </w:rPr>
              <w:t>(1)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1,997,783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117,074</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105,897</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 taxable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317,947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8,608</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209,631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 nontaxable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37,232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101,778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interest-bearing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218,777</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133,383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2,451,407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119,044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2,819,960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2,623,896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 Savings, MMA's</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319,811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6,055</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313,298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4,556</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16,231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&amp; other long-term</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95,000</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26,786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21,529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debentures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28,367</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22,482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570,427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495,808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29,945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2,819,960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2,623,896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105,016</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96,562</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loan balances include nonaccrual loans and loans held for sale.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Net interest margin is calculated as the annualized net income, on a fully tax-equivalent basis, divided by average interest-earning assets.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due from banks</w:t>
            </w:r>
          </w:p>
        </w:tc>
        <w:tc>
          <w:tcPr>
            <w:tcW w:w="14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2,143,623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(24,197)</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loans held for investment</w:t>
            </w:r>
          </w:p>
        </w:tc>
        <w:tc>
          <w:tcPr>
            <w:tcW w:w="10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2,119,426</w:t>
            </w: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3,237,167</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4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790,921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0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1,905,936</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2,696,857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borrowings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preferred subordinated debentures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2,930,985</w:t>
            </w: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2,499,970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140,492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306,182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3,237,167</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Statements of Income</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1"/>
                <w:szCs w:val="21"/>
                <w:color w:val="auto"/>
              </w:rPr>
            </w:pPr>
          </w:p>
        </w:tc>
        <w:tc>
          <w:tcPr>
            <w:tcW w:w="23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including fees</w:t>
            </w:r>
          </w:p>
        </w:tc>
        <w:tc>
          <w:tcPr>
            <w:tcW w:w="14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4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116,904</w:t>
            </w:r>
          </w:p>
        </w:tc>
        <w:tc>
          <w:tcPr>
            <w:tcW w:w="3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preferred subordinated debentures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24,667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occupancy expense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development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C corp income tax adjustment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C corp net income</w:t>
            </w:r>
          </w:p>
        </w:tc>
        <w:tc>
          <w:tcPr>
            <w:tcW w:w="14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4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29,221</w:t>
            </w: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Loan Composition</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658,195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538,037</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305,022</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427,728</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 Family Residential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346,153</w:t>
            </w: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 Loans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191,647</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Consumer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70,209</w:t>
            </w: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78,401</w:t>
            </w:r>
          </w:p>
        </w:tc>
      </w:tr>
      <w:tr>
        <w:trPr>
          <w:trHeight w:val="257"/>
        </w:trPr>
        <w:tc>
          <w:tcPr>
            <w:tcW w:w="2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for investment</w:t>
            </w: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Deposit Composition</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24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r>
      <w:tr>
        <w:trPr>
          <w:trHeight w:val="432"/>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790,921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510,067</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NOW &amp; other transaction accounts</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318,379</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368,806</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MMDA &amp; other savings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1,087,044</w:t>
            </w: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356,023</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311,537</w:t>
            </w:r>
          </w:p>
        </w:tc>
      </w:tr>
      <w:tr>
        <w:trPr>
          <w:trHeight w:val="257"/>
        </w:trPr>
        <w:tc>
          <w:tcPr>
            <w:tcW w:w="2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2,696,857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South Plains Financial,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Reconciliation of Non-GAAP Financial Measures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20" w:type="dxa"/>
            <w:vAlign w:val="bottom"/>
            <w:gridSpan w:val="4"/>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Tangible common equity</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stockholders' equity</w:t>
            </w:r>
          </w:p>
        </w:tc>
        <w:tc>
          <w:tcPr>
            <w:tcW w:w="1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(27,389)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Tangible common equity</w:t>
            </w:r>
          </w:p>
        </w:tc>
        <w:tc>
          <w:tcPr>
            <w:tcW w:w="1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212,775</w:t>
            </w:r>
          </w:p>
        </w:tc>
        <w:tc>
          <w:tcPr>
            <w:tcW w:w="0" w:type="dxa"/>
            <w:vAlign w:val="bottom"/>
          </w:tcPr>
          <w:p>
            <w:pPr>
              <w:spacing w:after="0"/>
              <w:rPr>
                <w:sz w:val="1"/>
                <w:szCs w:val="1"/>
                <w:color w:val="auto"/>
              </w:rPr>
            </w:pPr>
          </w:p>
        </w:tc>
      </w:tr>
      <w:tr>
        <w:trPr>
          <w:trHeight w:val="21"/>
        </w:trPr>
        <w:tc>
          <w:tcPr>
            <w:tcW w:w="4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Tangible assets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2,712,745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(27,389)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Tangible assets</w:t>
            </w:r>
          </w:p>
        </w:tc>
        <w:tc>
          <w:tcPr>
            <w:tcW w:w="15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3,209,778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2,712,745</w:t>
            </w:r>
          </w:p>
        </w:tc>
        <w:tc>
          <w:tcPr>
            <w:tcW w:w="0" w:type="dxa"/>
            <w:vAlign w:val="bottom"/>
          </w:tcPr>
          <w:p>
            <w:pPr>
              <w:spacing w:after="0"/>
              <w:rPr>
                <w:sz w:val="1"/>
                <w:szCs w:val="1"/>
                <w:color w:val="auto"/>
              </w:rPr>
            </w:pPr>
          </w:p>
        </w:tc>
      </w:tr>
      <w:tr>
        <w:trPr>
          <w:trHeight w:val="21"/>
        </w:trPr>
        <w:tc>
          <w:tcPr>
            <w:tcW w:w="4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18,036,115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14,771,520</w:t>
            </w:r>
          </w:p>
        </w:tc>
        <w:tc>
          <w:tcPr>
            <w:tcW w:w="0" w:type="dxa"/>
            <w:vAlign w:val="bottom"/>
          </w:tcPr>
          <w:p>
            <w:pPr>
              <w:spacing w:after="0"/>
              <w:rPr>
                <w:sz w:val="1"/>
                <w:szCs w:val="1"/>
                <w:color w:val="auto"/>
              </w:rPr>
            </w:pPr>
          </w:p>
        </w:tc>
      </w:tr>
      <w:tr>
        <w:trPr>
          <w:trHeight w:val="21"/>
        </w:trPr>
        <w:tc>
          <w:tcPr>
            <w:tcW w:w="4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1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1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866"/>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2020-01-24T05:29:19Z</dcterms:created>
  <dcterms:modified xsi:type="dcterms:W3CDTF">2020-01-24T05:29:19Z</dcterms:modified>
</cp:coreProperties>
</file>